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205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20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0585"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27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68"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0"/>
        <w:spacing w:after="0"/>
        <w:tabs>
          <w:tab w:leader="none" w:pos="28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7"/>
          <w:szCs w:val="17"/>
          <w:b w:val="1"/>
          <w:bCs w:val="1"/>
          <w:color w:val="auto"/>
        </w:rPr>
        <w:t>ANNUAL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163" w:lineRule="exact"/>
        <w:rPr>
          <w:sz w:val="24"/>
          <w:szCs w:val="24"/>
          <w:color w:val="auto"/>
        </w:rPr>
      </w:pPr>
    </w:p>
    <w:p>
      <w:pPr>
        <w:ind w:left="20"/>
        <w:spacing w:after="0"/>
        <w:tabs>
          <w:tab w:leader="none" w:pos="2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396"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001-38285</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Bandwidth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p>
      <w:pPr>
        <w:ind w:left="4500"/>
        <w:spacing w:after="0"/>
        <w:rPr>
          <w:sz w:val="20"/>
          <w:szCs w:val="20"/>
          <w:color w:val="auto"/>
        </w:rPr>
      </w:pPr>
      <w:r>
        <w:rPr>
          <w:rFonts w:ascii="Arial" w:cs="Arial" w:eastAsia="Arial" w:hAnsi="Arial"/>
          <w:sz w:val="11"/>
          <w:szCs w:val="11"/>
          <w:b w:val="1"/>
          <w:bCs w:val="1"/>
          <w:color w:val="auto"/>
        </w:rPr>
        <w:t>______________________________________________</w:t>
      </w:r>
    </w:p>
    <w:p>
      <w:pPr>
        <w:sectPr>
          <w:pgSz w:w="11900" w:h="16838" w:orient="portrait"/>
          <w:cols w:equalWidth="0" w:num="1">
            <w:col w:w="11420"/>
          </w:cols>
          <w:pgMar w:left="240" w:top="1012" w:right="239" w:bottom="1440" w:gutter="0" w:footer="0" w:header="0"/>
        </w:sectPr>
      </w:pPr>
    </w:p>
    <w:p>
      <w:pPr>
        <w:spacing w:after="0" w:line="234"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56-2242657</w:t>
      </w:r>
    </w:p>
    <w:p>
      <w:pPr>
        <w:spacing w:after="0" w:line="11"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(I.R.S. Employer</w:t>
      </w:r>
    </w:p>
    <w:p>
      <w:pPr>
        <w:jc w:val="center"/>
        <w:ind w:right="194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100" w:space="720"/>
            <w:col w:w="3600"/>
          </w:cols>
          <w:pgMar w:left="240" w:top="1012" w:right="239" w:bottom="1440" w:gutter="0" w:footer="0" w:header="0"/>
          <w:type w:val="continuous"/>
        </w:sectPr>
      </w:pP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900 Main Campus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Raleigh, NC 27606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 808-5150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360" w:type="dxa"/>
            <w:vAlign w:val="bottom"/>
          </w:tcPr>
          <w:p>
            <w:pPr>
              <w:spacing w:after="0"/>
              <w:rPr>
                <w:sz w:val="12"/>
                <w:szCs w:val="12"/>
                <w:color w:val="auto"/>
              </w:rPr>
            </w:pPr>
          </w:p>
        </w:tc>
        <w:tc>
          <w:tcPr>
            <w:tcW w:w="7000" w:type="dxa"/>
            <w:vAlign w:val="bottom"/>
            <w:gridSpan w:val="3"/>
          </w:tcPr>
          <w:p>
            <w:pPr>
              <w:jc w:val="right"/>
              <w:ind w:right="4310"/>
              <w:spacing w:after="0"/>
              <w:rPr>
                <w:sz w:val="20"/>
                <w:szCs w:val="20"/>
                <w:color w:val="auto"/>
              </w:rPr>
            </w:pPr>
            <w:r>
              <w:rPr>
                <w:rFonts w:ascii="Arial" w:cs="Arial" w:eastAsia="Arial" w:hAnsi="Arial"/>
                <w:sz w:val="11"/>
                <w:szCs w:val="11"/>
                <w:b w:val="1"/>
                <w:bCs w:val="1"/>
                <w:color w:val="auto"/>
                <w:w w:val="91"/>
              </w:rPr>
              <w:t>______________________________________________</w:t>
            </w:r>
          </w:p>
        </w:tc>
      </w:tr>
      <w:tr>
        <w:trPr>
          <w:trHeight w:val="367"/>
        </w:trPr>
        <w:tc>
          <w:tcPr>
            <w:tcW w:w="436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06"/>
        </w:trPr>
        <w:tc>
          <w:tcPr>
            <w:tcW w:w="4360" w:type="dxa"/>
            <w:vAlign w:val="bottom"/>
          </w:tcPr>
          <w:p>
            <w:pPr>
              <w:jc w:val="center"/>
              <w:ind w:left="333"/>
              <w:spacing w:after="0"/>
              <w:rPr>
                <w:sz w:val="20"/>
                <w:szCs w:val="20"/>
                <w:color w:val="auto"/>
              </w:rPr>
            </w:pPr>
            <w:r>
              <w:rPr>
                <w:rFonts w:ascii="Arial" w:cs="Arial" w:eastAsia="Arial" w:hAnsi="Arial"/>
                <w:sz w:val="18"/>
                <w:szCs w:val="18"/>
                <w:b w:val="1"/>
                <w:bCs w:val="1"/>
                <w:color w:val="auto"/>
                <w:w w:val="86"/>
              </w:rPr>
              <w:t>Title of each class</w:t>
            </w: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jc w:val="center"/>
              <w:ind w:left="333"/>
              <w:spacing w:after="0"/>
              <w:rPr>
                <w:sz w:val="20"/>
                <w:szCs w:val="20"/>
                <w:color w:val="auto"/>
              </w:rPr>
            </w:pPr>
            <w:r>
              <w:rPr>
                <w:rFonts w:ascii="Arial" w:cs="Arial" w:eastAsia="Arial" w:hAnsi="Arial"/>
                <w:sz w:val="18"/>
                <w:szCs w:val="18"/>
                <w:color w:val="auto"/>
                <w:w w:val="90"/>
              </w:rPr>
              <w:t>Class A Common Stock, par value $0.001 per share</w:t>
            </w: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36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______________________________________________</w:t>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color w:val="auto"/>
        </w:rPr>
        <w:t>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Arial" w:cs="Arial" w:eastAsia="Arial" w:hAnsi="Arial"/>
          <w:sz w:val="18"/>
          <w:szCs w:val="18"/>
          <w:color w:val="auto"/>
        </w:rPr>
        <w:t>o No x</w:t>
      </w:r>
    </w:p>
    <w:p>
      <w:pPr>
        <w:spacing w:after="0" w:line="257"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 No o</w:t>
      </w:r>
    </w:p>
    <w:p>
      <w:pPr>
        <w:spacing w:after="0" w:line="222" w:lineRule="exact"/>
        <w:rPr>
          <w:sz w:val="24"/>
          <w:szCs w:val="24"/>
          <w:color w:val="auto"/>
        </w:rPr>
      </w:pPr>
    </w:p>
    <w:p>
      <w:pPr>
        <w:jc w:val="both"/>
        <w:spacing w:after="0" w:line="297"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 No o</w:t>
      </w:r>
    </w:p>
    <w:p>
      <w:pPr>
        <w:sectPr>
          <w:pgSz w:w="11900" w:h="16838" w:orient="portrait"/>
          <w:cols w:equalWidth="0" w:num="1">
            <w:col w:w="11420"/>
          </w:cols>
          <w:pgMar w:left="240" w:top="1012" w:right="239" w:bottom="1440" w:gutter="0" w:footer="0" w:header="0"/>
          <w:type w:val="continuous"/>
        </w:sectPr>
      </w:pPr>
    </w:p>
    <w:bookmarkStart w:id="1" w:name="page2"/>
    <w:bookmarkEnd w:id="1"/>
    <w:p>
      <w:pPr>
        <w:jc w:val="both"/>
        <w:ind w:right="20"/>
        <w:spacing w:after="0" w:line="257"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the Form 10-K or any amendment to the Form 10-K. </w:t>
      </w:r>
      <w:r>
        <w:rPr>
          <w:rFonts w:ascii="Arial" w:cs="Arial" w:eastAsia="Arial" w:hAnsi="Arial"/>
          <w:sz w:val="18"/>
          <w:szCs w:val="18"/>
          <w:color w:val="auto"/>
        </w:rPr>
        <w:t>o</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20" w:type="dxa"/>
            <w:vAlign w:val="bottom"/>
          </w:tcPr>
          <w:p>
            <w:pPr>
              <w:ind w:left="960"/>
              <w:spacing w:after="0"/>
              <w:rPr>
                <w:sz w:val="20"/>
                <w:szCs w:val="20"/>
                <w:color w:val="auto"/>
              </w:rPr>
            </w:pPr>
            <w:r>
              <w:rPr>
                <w:rFonts w:ascii="Arial" w:cs="Arial" w:eastAsia="Arial" w:hAnsi="Arial"/>
                <w:sz w:val="18"/>
                <w:szCs w:val="18"/>
                <w:color w:val="auto"/>
              </w:rPr>
              <w:t>o</w:t>
            </w:r>
          </w:p>
        </w:tc>
        <w:tc>
          <w:tcPr>
            <w:tcW w:w="4700" w:type="dxa"/>
            <w:vAlign w:val="bottom"/>
          </w:tcPr>
          <w:p>
            <w:pPr>
              <w:ind w:left="198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30"/>
        </w:trPr>
        <w:tc>
          <w:tcPr>
            <w:tcW w:w="24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20" w:type="dxa"/>
            <w:vAlign w:val="bottom"/>
          </w:tcPr>
          <w:p>
            <w:pPr>
              <w:ind w:left="960"/>
              <w:spacing w:after="0"/>
              <w:rPr>
                <w:sz w:val="20"/>
                <w:szCs w:val="20"/>
                <w:color w:val="auto"/>
              </w:rPr>
            </w:pPr>
            <w:r>
              <w:rPr>
                <w:rFonts w:ascii="Arial" w:cs="Arial" w:eastAsia="Arial" w:hAnsi="Arial"/>
                <w:sz w:val="18"/>
                <w:szCs w:val="18"/>
                <w:color w:val="auto"/>
              </w:rPr>
              <w:t>x</w:t>
            </w:r>
          </w:p>
        </w:tc>
        <w:tc>
          <w:tcPr>
            <w:tcW w:w="4700" w:type="dxa"/>
            <w:vAlign w:val="bottom"/>
          </w:tcPr>
          <w:p>
            <w:pPr>
              <w:ind w:left="198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79"/>
              </w:rPr>
              <w:t>o</w:t>
            </w:r>
          </w:p>
        </w:tc>
      </w:tr>
      <w:tr>
        <w:trPr>
          <w:trHeight w:val="230"/>
        </w:trPr>
        <w:tc>
          <w:tcPr>
            <w:tcW w:w="24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700" w:type="dxa"/>
            <w:vAlign w:val="bottom"/>
          </w:tcPr>
          <w:p>
            <w:pPr>
              <w:ind w:left="198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40"/>
              <w:spacing w:after="0"/>
              <w:rPr>
                <w:sz w:val="20"/>
                <w:szCs w:val="20"/>
                <w:color w:val="auto"/>
              </w:rPr>
            </w:pPr>
            <w:r>
              <w:rPr>
                <w:rFonts w:ascii="Arial" w:cs="Arial" w:eastAsia="Arial" w:hAnsi="Arial"/>
                <w:sz w:val="18"/>
                <w:szCs w:val="18"/>
                <w:color w:val="auto"/>
                <w:w w:val="88"/>
              </w:rPr>
              <w:t>x</w:t>
            </w:r>
          </w:p>
        </w:tc>
      </w:tr>
    </w:tbl>
    <w:p>
      <w:pPr>
        <w:spacing w:after="0" w:line="34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57"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as of June 29, 2018, the last business day of the registrant’s most recently completed second fiscal quarter, was $416 million based upon the closing price reported for such date on the NASDAQ Global Select Market.</w:t>
      </w:r>
    </w:p>
    <w:p>
      <w:pPr>
        <w:spacing w:after="0" w:line="176" w:lineRule="exact"/>
        <w:rPr>
          <w:sz w:val="20"/>
          <w:szCs w:val="20"/>
          <w:color w:val="auto"/>
        </w:rPr>
      </w:pPr>
    </w:p>
    <w:p>
      <w:pPr>
        <w:ind w:right="800"/>
        <w:spacing w:after="0" w:line="275" w:lineRule="auto"/>
        <w:rPr>
          <w:sz w:val="20"/>
          <w:szCs w:val="20"/>
          <w:color w:val="auto"/>
        </w:rPr>
      </w:pPr>
      <w:r>
        <w:rPr>
          <w:rFonts w:ascii="Arial" w:cs="Arial" w:eastAsia="Arial" w:hAnsi="Arial"/>
          <w:sz w:val="16"/>
          <w:szCs w:val="16"/>
          <w:color w:val="auto"/>
        </w:rPr>
        <w:t>As of January 31, 2019, 13,287,851 shares of the registrant’s Class A common stock and 6,510,731 shares of registrant’s Class B common stock were outstanding, respectively.</w:t>
      </w:r>
    </w:p>
    <w:p>
      <w:pPr>
        <w:spacing w:after="0" w:line="196"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Definitive Proxy Statement for the 2019 Annual Meeting of Stockholders are incorporated herein by</w:t>
      </w:r>
    </w:p>
    <w:p>
      <w:pPr>
        <w:spacing w:after="0" w:line="5" w:lineRule="exact"/>
        <w:rPr>
          <w:sz w:val="20"/>
          <w:szCs w:val="20"/>
          <w:color w:val="auto"/>
        </w:rPr>
      </w:pPr>
    </w:p>
    <w:p>
      <w:pPr>
        <w:ind w:right="2240"/>
        <w:spacing w:after="0" w:line="272" w:lineRule="auto"/>
        <w:rPr>
          <w:sz w:val="20"/>
          <w:szCs w:val="20"/>
          <w:color w:val="auto"/>
        </w:rPr>
      </w:pPr>
      <w:r>
        <w:rPr>
          <w:rFonts w:ascii="Arial" w:cs="Arial" w:eastAsia="Arial" w:hAnsi="Arial"/>
          <w:sz w:val="15"/>
          <w:szCs w:val="15"/>
          <w:color w:val="auto"/>
        </w:rPr>
        <w:t>reference in Part II and Part III of this Annual Report on Form 10-K to the extent stated herein. Such Definitive Proxy Statement will be filed with the Securities and Exchange Commission within 120 days of the registrant’s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20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20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gridSpan w:val="16"/>
          </w:tcPr>
          <w:p>
            <w:pPr>
              <w:jc w:val="center"/>
              <w:ind w:right="3720"/>
              <w:spacing w:after="0"/>
              <w:rPr>
                <w:sz w:val="20"/>
                <w:szCs w:val="20"/>
                <w:color w:val="auto"/>
              </w:rPr>
            </w:pPr>
            <w:r>
              <w:rPr>
                <w:rFonts w:ascii="Arial" w:cs="Arial" w:eastAsia="Arial" w:hAnsi="Arial"/>
                <w:sz w:val="22"/>
                <w:szCs w:val="22"/>
                <w:b w:val="1"/>
                <w:bCs w:val="1"/>
                <w:color w:val="auto"/>
                <w:w w:val="90"/>
              </w:rPr>
              <w:t>Bandwidth Inc.</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40" w:type="dxa"/>
            <w:vAlign w:val="bottom"/>
            <w:gridSpan w:val="17"/>
          </w:tcPr>
          <w:p>
            <w:pPr>
              <w:jc w:val="center"/>
              <w:ind w:right="3280"/>
              <w:spacing w:after="0"/>
              <w:rPr>
                <w:sz w:val="20"/>
                <w:szCs w:val="20"/>
                <w:color w:val="auto"/>
              </w:rPr>
            </w:pPr>
            <w:r>
              <w:rPr>
                <w:rFonts w:ascii="Arial" w:cs="Arial" w:eastAsia="Arial" w:hAnsi="Arial"/>
                <w:sz w:val="20"/>
                <w:szCs w:val="20"/>
                <w:b w:val="1"/>
                <w:bCs w:val="1"/>
                <w:color w:val="auto"/>
                <w:w w:val="91"/>
              </w:rPr>
              <w:t>Annual Report on Form 10-K</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80" w:type="dxa"/>
            <w:vAlign w:val="bottom"/>
            <w:gridSpan w:val="19"/>
          </w:tcPr>
          <w:p>
            <w:pPr>
              <w:jc w:val="center"/>
              <w:ind w:right="2280"/>
              <w:spacing w:after="0"/>
              <w:rPr>
                <w:sz w:val="20"/>
                <w:szCs w:val="20"/>
                <w:color w:val="auto"/>
              </w:rPr>
            </w:pPr>
            <w:r>
              <w:rPr>
                <w:rFonts w:ascii="Arial" w:cs="Arial" w:eastAsia="Arial" w:hAnsi="Arial"/>
                <w:sz w:val="20"/>
                <w:szCs w:val="20"/>
                <w:b w:val="1"/>
                <w:bCs w:val="1"/>
                <w:color w:val="auto"/>
                <w:w w:val="89"/>
              </w:rPr>
              <w:t>For the Year Ended December 31, 2018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60" w:type="dxa"/>
            <w:vAlign w:val="bottom"/>
            <w:gridSpan w:val="16"/>
          </w:tcPr>
          <w:p>
            <w:pPr>
              <w:jc w:val="center"/>
              <w:ind w:right="3720"/>
              <w:spacing w:after="0"/>
              <w:rPr>
                <w:sz w:val="20"/>
                <w:szCs w:val="20"/>
                <w:color w:val="auto"/>
              </w:rPr>
            </w:pPr>
            <w:r>
              <w:rPr>
                <w:rFonts w:ascii="Arial" w:cs="Arial" w:eastAsia="Arial" w:hAnsi="Arial"/>
                <w:sz w:val="20"/>
                <w:szCs w:val="20"/>
                <w:b w:val="1"/>
                <w:bCs w:val="1"/>
                <w:color w:val="auto"/>
                <w:w w:val="8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4"/>
          </w:tcPr>
          <w:p>
            <w:pPr>
              <w:ind w:left="32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600" w:type="dxa"/>
            <w:vAlign w:val="bottom"/>
            <w:vMerge w:val="restart"/>
          </w:tcPr>
          <w:p>
            <w:pPr>
              <w:spacing w:after="0"/>
              <w:rPr>
                <w:rFonts w:ascii="Arial" w:cs="Arial" w:eastAsia="Arial" w:hAnsi="Arial"/>
                <w:sz w:val="20"/>
                <w:szCs w:val="20"/>
                <w:b w:val="1"/>
                <w:bCs w:val="1"/>
                <w:color w:val="0000FF"/>
                <w:w w:val="91"/>
              </w:rPr>
            </w:pPr>
            <w:hyperlink w:anchor="page6">
              <w:r>
                <w:rPr>
                  <w:rFonts w:ascii="Arial" w:cs="Arial" w:eastAsia="Arial" w:hAnsi="Arial"/>
                  <w:sz w:val="20"/>
                  <w:szCs w:val="20"/>
                  <w:b w:val="1"/>
                  <w:bCs w:val="1"/>
                  <w:color w:val="0000FF"/>
                  <w:w w:val="91"/>
                </w:rPr>
                <w:t>Item 1.</w:t>
              </w:r>
            </w:hyperlink>
          </w:p>
        </w:tc>
        <w:tc>
          <w:tcPr>
            <w:tcW w:w="560" w:type="dxa"/>
            <w:vAlign w:val="bottom"/>
            <w:gridSpan w:val="3"/>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90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4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900" w:type="dxa"/>
            <w:vAlign w:val="bottom"/>
            <w:gridSpan w:val="12"/>
            <w:vMerge w:val="restart"/>
          </w:tcPr>
          <w:p>
            <w:pPr>
              <w:jc w:val="center"/>
              <w:ind w:right="4260"/>
              <w:spacing w:after="0" w:line="226" w:lineRule="exact"/>
              <w:rPr>
                <w:rFonts w:ascii="Arial" w:cs="Arial" w:eastAsia="Arial" w:hAnsi="Arial"/>
                <w:sz w:val="20"/>
                <w:szCs w:val="20"/>
                <w:b w:val="1"/>
                <w:bCs w:val="1"/>
                <w:color w:val="0000FF"/>
                <w:w w:val="97"/>
              </w:rPr>
            </w:pPr>
            <w:hyperlink w:anchor="page5">
              <w:r>
                <w:rPr>
                  <w:rFonts w:ascii="Arial" w:cs="Arial" w:eastAsia="Arial" w:hAnsi="Arial"/>
                  <w:sz w:val="20"/>
                  <w:szCs w:val="20"/>
                  <w:b w:val="1"/>
                  <w:bCs w:val="1"/>
                  <w:color w:val="0000FF"/>
                  <w:w w:val="97"/>
                </w:rPr>
                <w:t>PART I</w:t>
              </w:r>
            </w:hyperlink>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 w:type="dxa"/>
            <w:vAlign w:val="bottom"/>
            <w:vMerge w:val="continue"/>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900" w:type="dxa"/>
            <w:vAlign w:val="bottom"/>
            <w:gridSpan w:val="1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 w:type="dxa"/>
            <w:vAlign w:val="bottom"/>
            <w:tcBorders>
              <w:bottom w:val="single" w:sz="8" w:color="0000FF"/>
            </w:tcBorders>
            <w:vMerge w:val="continue"/>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700" w:type="dxa"/>
            <w:vAlign w:val="bottom"/>
            <w:tcBorders>
              <w:bottom w:val="single" w:sz="8" w:color="0000FF"/>
            </w:tcBorders>
          </w:tcPr>
          <w:p>
            <w:pPr>
              <w:spacing w:after="0" w:line="223" w:lineRule="exact"/>
              <w:rPr>
                <w:rFonts w:ascii="Arial" w:cs="Arial" w:eastAsia="Arial" w:hAnsi="Arial"/>
                <w:sz w:val="20"/>
                <w:szCs w:val="20"/>
                <w:color w:val="0000FF"/>
                <w:w w:val="83"/>
              </w:rPr>
            </w:pPr>
            <w:hyperlink w:anchor="page6">
              <w:r>
                <w:rPr>
                  <w:rFonts w:ascii="Arial" w:cs="Arial" w:eastAsia="Arial" w:hAnsi="Arial"/>
                  <w:sz w:val="20"/>
                  <w:szCs w:val="20"/>
                  <w:color w:val="0000FF"/>
                  <w:w w:val="83"/>
                </w:rPr>
                <w:t>Business</w:t>
              </w:r>
            </w:hyperlink>
          </w:p>
        </w:tc>
        <w:tc>
          <w:tcPr>
            <w:tcW w:w="3520" w:type="dxa"/>
            <w:vAlign w:val="bottom"/>
            <w:gridSpan w:val="15"/>
          </w:tcPr>
          <w:p>
            <w:pPr>
              <w:spacing w:after="0"/>
              <w:rPr>
                <w:sz w:val="19"/>
                <w:szCs w:val="19"/>
                <w:color w:val="auto"/>
              </w:rPr>
            </w:pPr>
          </w:p>
        </w:tc>
        <w:tc>
          <w:tcPr>
            <w:tcW w:w="640" w:type="dxa"/>
            <w:vAlign w:val="bottom"/>
            <w:tcBorders>
              <w:top w:val="single" w:sz="8" w:color="0000FF"/>
            </w:tcBorders>
            <w:gridSpan w:val="3"/>
          </w:tcPr>
          <w:p>
            <w:pPr>
              <w:spacing w:after="0"/>
              <w:rPr>
                <w:sz w:val="19"/>
                <w:szCs w:val="19"/>
                <w:color w:val="auto"/>
              </w:rPr>
            </w:pPr>
          </w:p>
        </w:tc>
        <w:tc>
          <w:tcPr>
            <w:tcW w:w="4260" w:type="dxa"/>
            <w:vAlign w:val="bottom"/>
            <w:gridSpan w:val="9"/>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gridSpan w:val="3"/>
          </w:tcPr>
          <w:p>
            <w:pPr>
              <w:spacing w:after="0" w:line="223" w:lineRule="exact"/>
              <w:rPr>
                <w:rFonts w:ascii="Arial" w:cs="Arial" w:eastAsia="Arial" w:hAnsi="Arial"/>
                <w:sz w:val="20"/>
                <w:szCs w:val="20"/>
                <w:b w:val="1"/>
                <w:bCs w:val="1"/>
                <w:color w:val="0000FF"/>
                <w:w w:val="92"/>
              </w:rPr>
            </w:pPr>
            <w:hyperlink w:anchor="page15">
              <w:r>
                <w:rPr>
                  <w:rFonts w:ascii="Arial" w:cs="Arial" w:eastAsia="Arial" w:hAnsi="Arial"/>
                  <w:sz w:val="20"/>
                  <w:szCs w:val="20"/>
                  <w:b w:val="1"/>
                  <w:bCs w:val="1"/>
                  <w:color w:val="0000FF"/>
                  <w:w w:val="92"/>
                </w:rPr>
                <w:t>Item 1A.</w:t>
              </w:r>
            </w:hyperlink>
          </w:p>
        </w:tc>
        <w:tc>
          <w:tcPr>
            <w:tcW w:w="400" w:type="dxa"/>
            <w:vAlign w:val="bottom"/>
          </w:tcPr>
          <w:p>
            <w:pPr>
              <w:spacing w:after="0"/>
              <w:rPr>
                <w:sz w:val="19"/>
                <w:szCs w:val="19"/>
                <w:color w:val="auto"/>
              </w:rPr>
            </w:pPr>
          </w:p>
        </w:tc>
        <w:tc>
          <w:tcPr>
            <w:tcW w:w="9120" w:type="dxa"/>
            <w:vAlign w:val="bottom"/>
            <w:gridSpan w:val="28"/>
          </w:tcPr>
          <w:p>
            <w:pPr>
              <w:spacing w:after="0" w:line="223" w:lineRule="exact"/>
              <w:rPr>
                <w:rFonts w:ascii="Arial" w:cs="Arial" w:eastAsia="Arial" w:hAnsi="Arial"/>
                <w:sz w:val="20"/>
                <w:szCs w:val="20"/>
                <w:color w:val="0000FF"/>
              </w:rPr>
            </w:pPr>
            <w:hyperlink w:anchor="page15">
              <w:r>
                <w:rPr>
                  <w:rFonts w:ascii="Arial" w:cs="Arial" w:eastAsia="Arial" w:hAnsi="Arial"/>
                  <w:sz w:val="20"/>
                  <w:szCs w:val="20"/>
                  <w:color w:val="0000FF"/>
                </w:rPr>
                <w:t>Risk Factors</w:t>
              </w:r>
            </w:hyperlink>
          </w:p>
        </w:tc>
        <w:tc>
          <w:tcPr>
            <w:tcW w:w="640" w:type="dxa"/>
            <w:vAlign w:val="bottom"/>
            <w:gridSpan w:val="3"/>
          </w:tcPr>
          <w:p>
            <w:pPr>
              <w:jc w:val="center"/>
              <w:ind w:left="369"/>
              <w:spacing w:after="0"/>
              <w:rPr>
                <w:rFonts w:ascii="Arial" w:cs="Arial" w:eastAsia="Arial" w:hAnsi="Arial"/>
                <w:sz w:val="18"/>
                <w:szCs w:val="18"/>
                <w:color w:val="0000FF"/>
                <w:w w:val="89"/>
              </w:rPr>
            </w:pPr>
            <w:hyperlink w:anchor="page15">
              <w:r>
                <w:rPr>
                  <w:rFonts w:ascii="Arial" w:cs="Arial" w:eastAsia="Arial" w:hAnsi="Arial"/>
                  <w:sz w:val="18"/>
                  <w:szCs w:val="18"/>
                  <w:color w:val="0000FF"/>
                  <w:w w:val="89"/>
                </w:rPr>
                <w:t>14</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3"/>
          </w:tcPr>
          <w:p>
            <w:pPr>
              <w:spacing w:after="0" w:line="223" w:lineRule="exact"/>
              <w:rPr>
                <w:rFonts w:ascii="Arial" w:cs="Arial" w:eastAsia="Arial" w:hAnsi="Arial"/>
                <w:sz w:val="20"/>
                <w:szCs w:val="20"/>
                <w:b w:val="1"/>
                <w:bCs w:val="1"/>
                <w:color w:val="0000FF"/>
                <w:w w:val="92"/>
              </w:rPr>
            </w:pPr>
            <w:hyperlink w:anchor="page47">
              <w:r>
                <w:rPr>
                  <w:rFonts w:ascii="Arial" w:cs="Arial" w:eastAsia="Arial" w:hAnsi="Arial"/>
                  <w:sz w:val="20"/>
                  <w:szCs w:val="20"/>
                  <w:b w:val="1"/>
                  <w:bCs w:val="1"/>
                  <w:color w:val="0000FF"/>
                  <w:w w:val="92"/>
                </w:rPr>
                <w:t>Item 1B.</w:t>
              </w:r>
            </w:hyperlink>
          </w:p>
        </w:tc>
        <w:tc>
          <w:tcPr>
            <w:tcW w:w="400" w:type="dxa"/>
            <w:vAlign w:val="bottom"/>
          </w:tcPr>
          <w:p>
            <w:pPr>
              <w:spacing w:after="0"/>
              <w:rPr>
                <w:sz w:val="19"/>
                <w:szCs w:val="19"/>
                <w:color w:val="auto"/>
              </w:rPr>
            </w:pPr>
          </w:p>
        </w:tc>
        <w:tc>
          <w:tcPr>
            <w:tcW w:w="9120" w:type="dxa"/>
            <w:vAlign w:val="bottom"/>
            <w:gridSpan w:val="28"/>
          </w:tcPr>
          <w:p>
            <w:pPr>
              <w:spacing w:after="0" w:line="223" w:lineRule="exact"/>
              <w:rPr>
                <w:rFonts w:ascii="Arial" w:cs="Arial" w:eastAsia="Arial" w:hAnsi="Arial"/>
                <w:sz w:val="20"/>
                <w:szCs w:val="20"/>
                <w:color w:val="0000FF"/>
              </w:rPr>
            </w:pPr>
            <w:hyperlink w:anchor="page47">
              <w:r>
                <w:rPr>
                  <w:rFonts w:ascii="Arial" w:cs="Arial" w:eastAsia="Arial" w:hAnsi="Arial"/>
                  <w:sz w:val="20"/>
                  <w:szCs w:val="20"/>
                  <w:color w:val="0000FF"/>
                </w:rPr>
                <w:t>Unresolved Staff Comments</w:t>
              </w:r>
            </w:hyperlink>
          </w:p>
        </w:tc>
        <w:tc>
          <w:tcPr>
            <w:tcW w:w="640" w:type="dxa"/>
            <w:vAlign w:val="bottom"/>
            <w:gridSpan w:val="3"/>
          </w:tcPr>
          <w:p>
            <w:pPr>
              <w:jc w:val="center"/>
              <w:ind w:left="369"/>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Borders>
              <w:top w:val="single" w:sz="8" w:color="0000FF"/>
              <w:bottom w:val="single" w:sz="8" w:color="0000FF"/>
            </w:tcBorders>
          </w:tcPr>
          <w:p>
            <w:pPr>
              <w:spacing w:after="0" w:line="223" w:lineRule="exact"/>
              <w:rPr>
                <w:rFonts w:ascii="Arial" w:cs="Arial" w:eastAsia="Arial" w:hAnsi="Arial"/>
                <w:sz w:val="20"/>
                <w:szCs w:val="20"/>
                <w:b w:val="1"/>
                <w:bCs w:val="1"/>
                <w:color w:val="0000FF"/>
                <w:w w:val="91"/>
              </w:rPr>
            </w:pPr>
            <w:hyperlink w:anchor="page47">
              <w:r>
                <w:rPr>
                  <w:rFonts w:ascii="Arial" w:cs="Arial" w:eastAsia="Arial" w:hAnsi="Arial"/>
                  <w:sz w:val="20"/>
                  <w:szCs w:val="20"/>
                  <w:b w:val="1"/>
                  <w:bCs w:val="1"/>
                  <w:color w:val="0000FF"/>
                  <w:w w:val="91"/>
                </w:rPr>
                <w:t>Item 2.</w:t>
              </w:r>
            </w:hyperlink>
          </w:p>
        </w:tc>
        <w:tc>
          <w:tcPr>
            <w:tcW w:w="160" w:type="dxa"/>
            <w:vAlign w:val="bottom"/>
            <w:tcBorders>
              <w:top w:val="single" w:sz="8" w:color="0000FF"/>
            </w:tcBorders>
            <w:gridSpan w:val="2"/>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Borders>
              <w:top w:val="single" w:sz="8" w:color="0000FF"/>
              <w:bottom w:val="single" w:sz="8" w:color="0000FF"/>
            </w:tcBorders>
            <w:gridSpan w:val="2"/>
          </w:tcPr>
          <w:p>
            <w:pPr>
              <w:spacing w:after="0" w:line="223" w:lineRule="exact"/>
              <w:rPr>
                <w:rFonts w:ascii="Arial" w:cs="Arial" w:eastAsia="Arial" w:hAnsi="Arial"/>
                <w:sz w:val="20"/>
                <w:szCs w:val="20"/>
                <w:color w:val="0000FF"/>
                <w:w w:val="85"/>
              </w:rPr>
            </w:pPr>
            <w:hyperlink w:anchor="page47">
              <w:r>
                <w:rPr>
                  <w:rFonts w:ascii="Arial" w:cs="Arial" w:eastAsia="Arial" w:hAnsi="Arial"/>
                  <w:sz w:val="20"/>
                  <w:szCs w:val="20"/>
                  <w:color w:val="0000FF"/>
                  <w:w w:val="85"/>
                </w:rPr>
                <w:t>Properties</w:t>
              </w:r>
            </w:hyperlink>
          </w:p>
        </w:tc>
        <w:tc>
          <w:tcPr>
            <w:tcW w:w="1440" w:type="dxa"/>
            <w:vAlign w:val="bottom"/>
            <w:tcBorders>
              <w:top w:val="single" w:sz="8" w:color="0000FF"/>
            </w:tcBorders>
            <w:gridSpan w:val="7"/>
          </w:tcPr>
          <w:p>
            <w:pPr>
              <w:spacing w:after="0"/>
              <w:rPr>
                <w:sz w:val="21"/>
                <w:szCs w:val="21"/>
                <w:color w:val="auto"/>
              </w:rPr>
            </w:pPr>
          </w:p>
        </w:tc>
        <w:tc>
          <w:tcPr>
            <w:tcW w:w="6880" w:type="dxa"/>
            <w:vAlign w:val="bottom"/>
            <w:gridSpan w:val="19"/>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47">
              <w:r>
                <w:rPr>
                  <w:rFonts w:ascii="Arial" w:cs="Arial" w:eastAsia="Arial" w:hAnsi="Arial"/>
                  <w:sz w:val="17"/>
                  <w:szCs w:val="17"/>
                  <w:color w:val="0000FF"/>
                  <w:w w:val="73"/>
                </w:rPr>
                <w:t>45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00" w:type="dxa"/>
            <w:vAlign w:val="bottom"/>
          </w:tcPr>
          <w:p>
            <w:pPr>
              <w:spacing w:after="0" w:line="203" w:lineRule="exact"/>
              <w:rPr>
                <w:rFonts w:ascii="Arial" w:cs="Arial" w:eastAsia="Arial" w:hAnsi="Arial"/>
                <w:sz w:val="20"/>
                <w:szCs w:val="20"/>
                <w:b w:val="1"/>
                <w:bCs w:val="1"/>
                <w:color w:val="0000FF"/>
                <w:w w:val="91"/>
              </w:rPr>
            </w:pPr>
            <w:hyperlink w:anchor="page47">
              <w:r>
                <w:rPr>
                  <w:rFonts w:ascii="Arial" w:cs="Arial" w:eastAsia="Arial" w:hAnsi="Arial"/>
                  <w:sz w:val="20"/>
                  <w:szCs w:val="20"/>
                  <w:b w:val="1"/>
                  <w:bCs w:val="1"/>
                  <w:color w:val="0000FF"/>
                  <w:w w:val="91"/>
                </w:rPr>
                <w:t>Item 3.</w:t>
              </w:r>
            </w:hyperlink>
          </w:p>
        </w:tc>
        <w:tc>
          <w:tcPr>
            <w:tcW w:w="560" w:type="dxa"/>
            <w:vAlign w:val="bottom"/>
            <w:gridSpan w:val="3"/>
          </w:tcPr>
          <w:p>
            <w:pPr>
              <w:spacing w:after="0"/>
              <w:rPr>
                <w:sz w:val="17"/>
                <w:szCs w:val="17"/>
                <w:color w:val="auto"/>
              </w:rPr>
            </w:pPr>
          </w:p>
        </w:tc>
        <w:tc>
          <w:tcPr>
            <w:tcW w:w="9120" w:type="dxa"/>
            <w:vAlign w:val="bottom"/>
            <w:gridSpan w:val="28"/>
          </w:tcPr>
          <w:p>
            <w:pPr>
              <w:spacing w:after="0" w:line="203" w:lineRule="exact"/>
              <w:rPr>
                <w:rFonts w:ascii="Arial" w:cs="Arial" w:eastAsia="Arial" w:hAnsi="Arial"/>
                <w:sz w:val="20"/>
                <w:szCs w:val="20"/>
                <w:color w:val="0000FF"/>
              </w:rPr>
            </w:pPr>
            <w:hyperlink w:anchor="page47">
              <w:r>
                <w:rPr>
                  <w:rFonts w:ascii="Arial" w:cs="Arial" w:eastAsia="Arial" w:hAnsi="Arial"/>
                  <w:sz w:val="20"/>
                  <w:szCs w:val="20"/>
                  <w:color w:val="0000FF"/>
                </w:rPr>
                <w:t>Legal Proceedings</w:t>
              </w:r>
            </w:hyperlink>
          </w:p>
        </w:tc>
        <w:tc>
          <w:tcPr>
            <w:tcW w:w="640" w:type="dxa"/>
            <w:vAlign w:val="bottom"/>
            <w:gridSpan w:val="3"/>
          </w:tcPr>
          <w:p>
            <w:pPr>
              <w:jc w:val="center"/>
              <w:ind w:left="369"/>
              <w:spacing w:after="0" w:line="203"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Borders>
              <w:bottom w:val="single" w:sz="8" w:color="0000FF"/>
            </w:tcBorders>
          </w:tcPr>
          <w:p>
            <w:pPr>
              <w:spacing w:after="0" w:line="223" w:lineRule="exact"/>
              <w:rPr>
                <w:rFonts w:ascii="Arial" w:cs="Arial" w:eastAsia="Arial" w:hAnsi="Arial"/>
                <w:sz w:val="20"/>
                <w:szCs w:val="20"/>
                <w:b w:val="1"/>
                <w:bCs w:val="1"/>
                <w:color w:val="0000FF"/>
                <w:w w:val="91"/>
              </w:rPr>
            </w:pPr>
            <w:hyperlink w:anchor="page49">
              <w:r>
                <w:rPr>
                  <w:rFonts w:ascii="Arial" w:cs="Arial" w:eastAsia="Arial" w:hAnsi="Arial"/>
                  <w:sz w:val="20"/>
                  <w:szCs w:val="20"/>
                  <w:b w:val="1"/>
                  <w:bCs w:val="1"/>
                  <w:color w:val="0000FF"/>
                  <w:w w:val="91"/>
                </w:rPr>
                <w:t>Item 4.</w:t>
              </w:r>
            </w:hyperlink>
          </w:p>
        </w:tc>
        <w:tc>
          <w:tcPr>
            <w:tcW w:w="560" w:type="dxa"/>
            <w:vAlign w:val="bottom"/>
            <w:gridSpan w:val="3"/>
          </w:tcPr>
          <w:p>
            <w:pPr>
              <w:spacing w:after="0"/>
              <w:rPr>
                <w:sz w:val="19"/>
                <w:szCs w:val="19"/>
                <w:color w:val="auto"/>
              </w:rPr>
            </w:pPr>
          </w:p>
        </w:tc>
        <w:tc>
          <w:tcPr>
            <w:tcW w:w="1940" w:type="dxa"/>
            <w:vAlign w:val="bottom"/>
            <w:tcBorders>
              <w:bottom w:val="single" w:sz="8" w:color="0000FF"/>
            </w:tcBorders>
            <w:gridSpan w:val="7"/>
          </w:tcPr>
          <w:p>
            <w:pPr>
              <w:spacing w:after="0" w:line="223" w:lineRule="exact"/>
              <w:rPr>
                <w:rFonts w:ascii="Arial" w:cs="Arial" w:eastAsia="Arial" w:hAnsi="Arial"/>
                <w:sz w:val="20"/>
                <w:szCs w:val="20"/>
                <w:color w:val="0000FF"/>
                <w:w w:val="89"/>
              </w:rPr>
            </w:pPr>
            <w:hyperlink w:anchor="page49">
              <w:r>
                <w:rPr>
                  <w:rFonts w:ascii="Arial" w:cs="Arial" w:eastAsia="Arial" w:hAnsi="Arial"/>
                  <w:sz w:val="20"/>
                  <w:szCs w:val="20"/>
                  <w:color w:val="0000FF"/>
                  <w:w w:val="89"/>
                </w:rPr>
                <w:t>Mine Safety Disclosures</w:t>
              </w:r>
            </w:hyperlink>
          </w:p>
        </w:tc>
        <w:tc>
          <w:tcPr>
            <w:tcW w:w="7180" w:type="dxa"/>
            <w:vAlign w:val="bottom"/>
            <w:gridSpan w:val="21"/>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49">
              <w:r>
                <w:rPr>
                  <w:rFonts w:ascii="Arial" w:cs="Arial" w:eastAsia="Arial" w:hAnsi="Arial"/>
                  <w:sz w:val="17"/>
                  <w:szCs w:val="17"/>
                  <w:color w:val="0000FF"/>
                  <w:w w:val="73"/>
                </w:rPr>
                <w:t>47</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vMerge w:val="restart"/>
          </w:tcPr>
          <w:p>
            <w:pPr>
              <w:spacing w:after="0"/>
              <w:rPr>
                <w:rFonts w:ascii="Arial" w:cs="Arial" w:eastAsia="Arial" w:hAnsi="Arial"/>
                <w:sz w:val="20"/>
                <w:szCs w:val="20"/>
                <w:b w:val="1"/>
                <w:bCs w:val="1"/>
                <w:color w:val="0000FF"/>
                <w:w w:val="91"/>
              </w:rPr>
            </w:pPr>
            <w:hyperlink w:anchor="page50">
              <w:r>
                <w:rPr>
                  <w:rFonts w:ascii="Arial" w:cs="Arial" w:eastAsia="Arial" w:hAnsi="Arial"/>
                  <w:sz w:val="20"/>
                  <w:szCs w:val="20"/>
                  <w:b w:val="1"/>
                  <w:bCs w:val="1"/>
                  <w:color w:val="0000FF"/>
                  <w:w w:val="91"/>
                </w:rPr>
                <w:t>Item 5.</w:t>
              </w:r>
            </w:hyperlink>
          </w:p>
        </w:tc>
        <w:tc>
          <w:tcPr>
            <w:tcW w:w="560" w:type="dxa"/>
            <w:vAlign w:val="bottom"/>
            <w:gridSpan w:val="3"/>
            <w:vMerge w:val="restart"/>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gridSpan w:val="13"/>
          </w:tcPr>
          <w:p>
            <w:pPr>
              <w:jc w:val="center"/>
              <w:ind w:right="4220"/>
              <w:spacing w:after="0" w:line="223" w:lineRule="exact"/>
              <w:rPr>
                <w:rFonts w:ascii="Arial" w:cs="Arial" w:eastAsia="Arial" w:hAnsi="Arial"/>
                <w:sz w:val="20"/>
                <w:szCs w:val="20"/>
                <w:b w:val="1"/>
                <w:bCs w:val="1"/>
                <w:color w:val="0000FF"/>
              </w:rPr>
            </w:pPr>
            <w:hyperlink w:anchor="page49">
              <w:r>
                <w:rPr>
                  <w:rFonts w:ascii="Arial" w:cs="Arial" w:eastAsia="Arial" w:hAnsi="Arial"/>
                  <w:sz w:val="20"/>
                  <w:szCs w:val="20"/>
                  <w:b w:val="1"/>
                  <w:bCs w:val="1"/>
                  <w:color w:val="0000FF"/>
                </w:rPr>
                <w:t>PART II</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560" w:type="dxa"/>
            <w:vAlign w:val="bottom"/>
            <w:gridSpan w:val="3"/>
            <w:vMerge w:val="continu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Borders>
              <w:bottom w:val="single" w:sz="8" w:color="0000FF"/>
            </w:tcBorders>
            <w:vMerge w:val="continue"/>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8880" w:type="dxa"/>
            <w:vAlign w:val="bottom"/>
            <w:tcBorders>
              <w:bottom w:val="single" w:sz="8" w:color="0000FF"/>
            </w:tcBorders>
            <w:gridSpan w:val="27"/>
          </w:tcPr>
          <w:p>
            <w:pPr>
              <w:spacing w:after="0" w:line="223" w:lineRule="exact"/>
              <w:rPr>
                <w:rFonts w:ascii="Arial" w:cs="Arial" w:eastAsia="Arial" w:hAnsi="Arial"/>
                <w:sz w:val="20"/>
                <w:szCs w:val="20"/>
                <w:color w:val="0000FF"/>
                <w:w w:val="89"/>
              </w:rPr>
            </w:pPr>
            <w:hyperlink w:anchor="page50">
              <w:r>
                <w:rPr>
                  <w:rFonts w:ascii="Arial" w:cs="Arial" w:eastAsia="Arial" w:hAnsi="Arial"/>
                  <w:sz w:val="20"/>
                  <w:szCs w:val="20"/>
                  <w:color w:val="0000FF"/>
                  <w:w w:val="89"/>
                </w:rPr>
                <w:t>Market for Registrant’s Common Equity, Related Stockholder Matters and Issuer Purchases of Equity Securities</w:t>
              </w:r>
            </w:hyperlink>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48</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Borders>
              <w:bottom w:val="single" w:sz="8" w:color="0000FF"/>
            </w:tcBorders>
          </w:tcPr>
          <w:p>
            <w:pPr>
              <w:spacing w:after="0" w:line="223" w:lineRule="exact"/>
              <w:rPr>
                <w:rFonts w:ascii="Arial" w:cs="Arial" w:eastAsia="Arial" w:hAnsi="Arial"/>
                <w:sz w:val="20"/>
                <w:szCs w:val="20"/>
                <w:b w:val="1"/>
                <w:bCs w:val="1"/>
                <w:color w:val="0000FF"/>
                <w:w w:val="91"/>
              </w:rPr>
            </w:pPr>
            <w:hyperlink w:anchor="page52">
              <w:r>
                <w:rPr>
                  <w:rFonts w:ascii="Arial" w:cs="Arial" w:eastAsia="Arial" w:hAnsi="Arial"/>
                  <w:sz w:val="20"/>
                  <w:szCs w:val="20"/>
                  <w:b w:val="1"/>
                  <w:bCs w:val="1"/>
                  <w:color w:val="0000FF"/>
                  <w:w w:val="91"/>
                </w:rPr>
                <w:t>Item 6.</w:t>
              </w:r>
            </w:hyperlink>
          </w:p>
        </w:tc>
        <w:tc>
          <w:tcPr>
            <w:tcW w:w="560" w:type="dxa"/>
            <w:vAlign w:val="bottom"/>
            <w:gridSpan w:val="3"/>
          </w:tcPr>
          <w:p>
            <w:pPr>
              <w:spacing w:after="0"/>
              <w:rPr>
                <w:sz w:val="19"/>
                <w:szCs w:val="19"/>
                <w:color w:val="auto"/>
              </w:rPr>
            </w:pPr>
          </w:p>
        </w:tc>
        <w:tc>
          <w:tcPr>
            <w:tcW w:w="1880" w:type="dxa"/>
            <w:vAlign w:val="bottom"/>
            <w:tcBorders>
              <w:bottom w:val="single" w:sz="8" w:color="0000FF"/>
            </w:tcBorders>
            <w:gridSpan w:val="6"/>
          </w:tcPr>
          <w:p>
            <w:pPr>
              <w:spacing w:after="0" w:line="223" w:lineRule="exact"/>
              <w:rPr>
                <w:rFonts w:ascii="Arial" w:cs="Arial" w:eastAsia="Arial" w:hAnsi="Arial"/>
                <w:sz w:val="20"/>
                <w:szCs w:val="20"/>
                <w:color w:val="0000FF"/>
                <w:w w:val="88"/>
              </w:rPr>
            </w:pPr>
            <w:hyperlink w:anchor="page52">
              <w:r>
                <w:rPr>
                  <w:rFonts w:ascii="Arial" w:cs="Arial" w:eastAsia="Arial" w:hAnsi="Arial"/>
                  <w:sz w:val="20"/>
                  <w:szCs w:val="20"/>
                  <w:color w:val="0000FF"/>
                  <w:w w:val="88"/>
                </w:rPr>
                <w:t>Selected Financial Data</w:t>
              </w:r>
            </w:hyperlink>
          </w:p>
        </w:tc>
        <w:tc>
          <w:tcPr>
            <w:tcW w:w="7240" w:type="dxa"/>
            <w:vAlign w:val="bottom"/>
            <w:gridSpan w:val="22"/>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50</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0" w:type="dxa"/>
            <w:vAlign w:val="bottom"/>
            <w:tcBorders>
              <w:bottom w:val="single" w:sz="8" w:color="0000FF"/>
            </w:tcBorders>
          </w:tcPr>
          <w:p>
            <w:pPr>
              <w:spacing w:after="0" w:line="223" w:lineRule="exact"/>
              <w:rPr>
                <w:rFonts w:ascii="Arial" w:cs="Arial" w:eastAsia="Arial" w:hAnsi="Arial"/>
                <w:sz w:val="20"/>
                <w:szCs w:val="20"/>
                <w:b w:val="1"/>
                <w:bCs w:val="1"/>
                <w:color w:val="0000FF"/>
                <w:w w:val="91"/>
              </w:rPr>
            </w:pPr>
            <w:hyperlink w:anchor="page59">
              <w:r>
                <w:rPr>
                  <w:rFonts w:ascii="Arial" w:cs="Arial" w:eastAsia="Arial" w:hAnsi="Arial"/>
                  <w:sz w:val="20"/>
                  <w:szCs w:val="20"/>
                  <w:b w:val="1"/>
                  <w:bCs w:val="1"/>
                  <w:color w:val="0000FF"/>
                  <w:w w:val="91"/>
                </w:rPr>
                <w:t>Item 7.</w:t>
              </w:r>
            </w:hyperlink>
          </w:p>
        </w:tc>
        <w:tc>
          <w:tcPr>
            <w:tcW w:w="560" w:type="dxa"/>
            <w:vAlign w:val="bottom"/>
            <w:gridSpan w:val="3"/>
          </w:tcPr>
          <w:p>
            <w:pPr>
              <w:spacing w:after="0"/>
              <w:rPr>
                <w:sz w:val="21"/>
                <w:szCs w:val="21"/>
                <w:color w:val="auto"/>
              </w:rPr>
            </w:pPr>
          </w:p>
        </w:tc>
        <w:tc>
          <w:tcPr>
            <w:tcW w:w="7100" w:type="dxa"/>
            <w:vAlign w:val="bottom"/>
            <w:tcBorders>
              <w:bottom w:val="single" w:sz="8" w:color="0000FF"/>
            </w:tcBorders>
            <w:gridSpan w:val="24"/>
          </w:tcPr>
          <w:p>
            <w:pPr>
              <w:spacing w:after="0" w:line="223" w:lineRule="exact"/>
              <w:rPr>
                <w:rFonts w:ascii="Arial" w:cs="Arial" w:eastAsia="Arial" w:hAnsi="Arial"/>
                <w:sz w:val="20"/>
                <w:szCs w:val="20"/>
                <w:color w:val="0000FF"/>
                <w:w w:val="89"/>
              </w:rPr>
            </w:pPr>
            <w:hyperlink w:anchor="page59">
              <w:r>
                <w:rPr>
                  <w:rFonts w:ascii="Arial" w:cs="Arial" w:eastAsia="Arial" w:hAnsi="Arial"/>
                  <w:sz w:val="20"/>
                  <w:szCs w:val="20"/>
                  <w:color w:val="0000FF"/>
                  <w:w w:val="89"/>
                </w:rPr>
                <w:t>Management’s Discussion and Analysis of Financial Condition and Results of Operations</w:t>
              </w:r>
            </w:hyperlink>
          </w:p>
        </w:tc>
        <w:tc>
          <w:tcPr>
            <w:tcW w:w="2020" w:type="dxa"/>
            <w:vAlign w:val="bottom"/>
            <w:gridSpan w:val="4"/>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Borders>
              <w:bottom w:val="single" w:sz="8" w:color="0000FF"/>
            </w:tcBorders>
            <w:gridSpan w:val="2"/>
          </w:tcPr>
          <w:p>
            <w:pPr>
              <w:jc w:val="center"/>
              <w:spacing w:after="0"/>
              <w:rPr>
                <w:rFonts w:ascii="Arial" w:cs="Arial" w:eastAsia="Arial" w:hAnsi="Arial"/>
                <w:sz w:val="17"/>
                <w:szCs w:val="17"/>
                <w:color w:val="0000FF"/>
                <w:w w:val="73"/>
              </w:rPr>
            </w:pPr>
            <w:hyperlink w:anchor="page59">
              <w:r>
                <w:rPr>
                  <w:rFonts w:ascii="Arial" w:cs="Arial" w:eastAsia="Arial" w:hAnsi="Arial"/>
                  <w:sz w:val="17"/>
                  <w:szCs w:val="17"/>
                  <w:color w:val="0000FF"/>
                  <w:w w:val="73"/>
                </w:rPr>
                <w:t>58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gridSpan w:val="3"/>
          </w:tcPr>
          <w:p>
            <w:pPr>
              <w:spacing w:after="0" w:line="203" w:lineRule="exact"/>
              <w:rPr>
                <w:rFonts w:ascii="Arial" w:cs="Arial" w:eastAsia="Arial" w:hAnsi="Arial"/>
                <w:sz w:val="20"/>
                <w:szCs w:val="20"/>
                <w:b w:val="1"/>
                <w:bCs w:val="1"/>
                <w:color w:val="0000FF"/>
                <w:w w:val="92"/>
              </w:rPr>
            </w:pPr>
            <w:hyperlink w:anchor="page79">
              <w:r>
                <w:rPr>
                  <w:rFonts w:ascii="Arial" w:cs="Arial" w:eastAsia="Arial" w:hAnsi="Arial"/>
                  <w:sz w:val="20"/>
                  <w:szCs w:val="20"/>
                  <w:b w:val="1"/>
                  <w:bCs w:val="1"/>
                  <w:color w:val="0000FF"/>
                  <w:w w:val="92"/>
                </w:rPr>
                <w:t>Item 7A.</w:t>
              </w:r>
            </w:hyperlink>
          </w:p>
        </w:tc>
        <w:tc>
          <w:tcPr>
            <w:tcW w:w="400" w:type="dxa"/>
            <w:vAlign w:val="bottom"/>
          </w:tcPr>
          <w:p>
            <w:pPr>
              <w:spacing w:after="0"/>
              <w:rPr>
                <w:sz w:val="17"/>
                <w:szCs w:val="17"/>
                <w:color w:val="auto"/>
              </w:rPr>
            </w:pPr>
          </w:p>
        </w:tc>
        <w:tc>
          <w:tcPr>
            <w:tcW w:w="9120" w:type="dxa"/>
            <w:vAlign w:val="bottom"/>
            <w:gridSpan w:val="28"/>
          </w:tcPr>
          <w:p>
            <w:pPr>
              <w:spacing w:after="0" w:line="203" w:lineRule="exact"/>
              <w:rPr>
                <w:rFonts w:ascii="Arial" w:cs="Arial" w:eastAsia="Arial" w:hAnsi="Arial"/>
                <w:sz w:val="20"/>
                <w:szCs w:val="20"/>
                <w:color w:val="0000FF"/>
              </w:rPr>
            </w:pPr>
            <w:hyperlink w:anchor="page79">
              <w:r>
                <w:rPr>
                  <w:rFonts w:ascii="Arial" w:cs="Arial" w:eastAsia="Arial" w:hAnsi="Arial"/>
                  <w:sz w:val="20"/>
                  <w:szCs w:val="20"/>
                  <w:color w:val="0000FF"/>
                </w:rPr>
                <w:t>Quantitative and Qualitative Disclosures About Market Risk</w:t>
              </w:r>
            </w:hyperlink>
          </w:p>
        </w:tc>
        <w:tc>
          <w:tcPr>
            <w:tcW w:w="640" w:type="dxa"/>
            <w:vAlign w:val="bottom"/>
            <w:gridSpan w:val="3"/>
          </w:tcPr>
          <w:p>
            <w:pPr>
              <w:jc w:val="center"/>
              <w:ind w:left="369"/>
              <w:spacing w:after="0" w:line="203"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77</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0" w:type="dxa"/>
            <w:vAlign w:val="bottom"/>
            <w:tcBorders>
              <w:top w:val="single" w:sz="8" w:color="0000FF"/>
              <w:bottom w:val="single" w:sz="8" w:color="0000FF"/>
            </w:tcBorders>
          </w:tcPr>
          <w:p>
            <w:pPr>
              <w:spacing w:after="0" w:line="223" w:lineRule="exact"/>
              <w:rPr>
                <w:rFonts w:ascii="Arial" w:cs="Arial" w:eastAsia="Arial" w:hAnsi="Arial"/>
                <w:sz w:val="20"/>
                <w:szCs w:val="20"/>
                <w:b w:val="1"/>
                <w:bCs w:val="1"/>
                <w:color w:val="0000FF"/>
                <w:w w:val="91"/>
              </w:rPr>
            </w:pPr>
            <w:hyperlink w:anchor="page81">
              <w:r>
                <w:rPr>
                  <w:rFonts w:ascii="Arial" w:cs="Arial" w:eastAsia="Arial" w:hAnsi="Arial"/>
                  <w:sz w:val="20"/>
                  <w:szCs w:val="20"/>
                  <w:b w:val="1"/>
                  <w:bCs w:val="1"/>
                  <w:color w:val="0000FF"/>
                  <w:w w:val="91"/>
                </w:rPr>
                <w:t>Item 8.</w:t>
              </w:r>
            </w:hyperlink>
          </w:p>
        </w:tc>
        <w:tc>
          <w:tcPr>
            <w:tcW w:w="160" w:type="dxa"/>
            <w:vAlign w:val="bottom"/>
            <w:tcBorders>
              <w:top w:val="single" w:sz="8" w:color="0000FF"/>
            </w:tcBorders>
            <w:gridSpan w:val="2"/>
          </w:tcPr>
          <w:p>
            <w:pPr>
              <w:spacing w:after="0"/>
              <w:rPr>
                <w:sz w:val="19"/>
                <w:szCs w:val="19"/>
                <w:color w:val="auto"/>
              </w:rPr>
            </w:pPr>
          </w:p>
        </w:tc>
        <w:tc>
          <w:tcPr>
            <w:tcW w:w="400" w:type="dxa"/>
            <w:vAlign w:val="bottom"/>
          </w:tcPr>
          <w:p>
            <w:pPr>
              <w:spacing w:after="0"/>
              <w:rPr>
                <w:sz w:val="19"/>
                <w:szCs w:val="19"/>
                <w:color w:val="auto"/>
              </w:rPr>
            </w:pPr>
          </w:p>
        </w:tc>
        <w:tc>
          <w:tcPr>
            <w:tcW w:w="3660" w:type="dxa"/>
            <w:vAlign w:val="bottom"/>
            <w:tcBorders>
              <w:top w:val="single" w:sz="8" w:color="0000FF"/>
              <w:bottom w:val="single" w:sz="8" w:color="0000FF"/>
            </w:tcBorders>
            <w:gridSpan w:val="12"/>
          </w:tcPr>
          <w:p>
            <w:pPr>
              <w:spacing w:after="0" w:line="223" w:lineRule="exact"/>
              <w:rPr>
                <w:rFonts w:ascii="Arial" w:cs="Arial" w:eastAsia="Arial" w:hAnsi="Arial"/>
                <w:sz w:val="20"/>
                <w:szCs w:val="20"/>
                <w:color w:val="0000FF"/>
                <w:w w:val="88"/>
              </w:rPr>
            </w:pPr>
            <w:hyperlink w:anchor="page81">
              <w:r>
                <w:rPr>
                  <w:rFonts w:ascii="Arial" w:cs="Arial" w:eastAsia="Arial" w:hAnsi="Arial"/>
                  <w:sz w:val="20"/>
                  <w:szCs w:val="20"/>
                  <w:color w:val="0000FF"/>
                  <w:w w:val="88"/>
                </w:rPr>
                <w:t>Financial Statements and Supplementary Data</w:t>
              </w:r>
            </w:hyperlink>
          </w:p>
        </w:tc>
        <w:tc>
          <w:tcPr>
            <w:tcW w:w="1120" w:type="dxa"/>
            <w:vAlign w:val="bottom"/>
            <w:tcBorders>
              <w:top w:val="single" w:sz="8" w:color="0000FF"/>
            </w:tcBorders>
            <w:gridSpan w:val="6"/>
          </w:tcPr>
          <w:p>
            <w:pPr>
              <w:spacing w:after="0"/>
              <w:rPr>
                <w:sz w:val="19"/>
                <w:szCs w:val="19"/>
                <w:color w:val="auto"/>
              </w:rPr>
            </w:pPr>
          </w:p>
        </w:tc>
        <w:tc>
          <w:tcPr>
            <w:tcW w:w="4340" w:type="dxa"/>
            <w:vAlign w:val="bottom"/>
            <w:gridSpan w:val="10"/>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0000FF"/>
              <w:bottom w:val="single" w:sz="8" w:color="0000FF"/>
            </w:tcBorders>
            <w:gridSpan w:val="2"/>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79</w:t>
              </w:r>
            </w:hyperlink>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line="223" w:lineRule="exact"/>
              <w:rPr>
                <w:rFonts w:ascii="Arial" w:cs="Arial" w:eastAsia="Arial" w:hAnsi="Arial"/>
                <w:sz w:val="20"/>
                <w:szCs w:val="20"/>
                <w:b w:val="1"/>
                <w:bCs w:val="1"/>
                <w:color w:val="0000FF"/>
                <w:w w:val="91"/>
              </w:rPr>
            </w:pPr>
            <w:hyperlink w:anchor="page122">
              <w:r>
                <w:rPr>
                  <w:rFonts w:ascii="Arial" w:cs="Arial" w:eastAsia="Arial" w:hAnsi="Arial"/>
                  <w:sz w:val="20"/>
                  <w:szCs w:val="20"/>
                  <w:b w:val="1"/>
                  <w:bCs w:val="1"/>
                  <w:color w:val="0000FF"/>
                  <w:w w:val="91"/>
                </w:rPr>
                <w:t>Item 9.</w:t>
              </w:r>
            </w:hyperlink>
          </w:p>
        </w:tc>
        <w:tc>
          <w:tcPr>
            <w:tcW w:w="560" w:type="dxa"/>
            <w:vAlign w:val="bottom"/>
            <w:gridSpan w:val="3"/>
          </w:tcPr>
          <w:p>
            <w:pPr>
              <w:spacing w:after="0"/>
              <w:rPr>
                <w:sz w:val="19"/>
                <w:szCs w:val="19"/>
                <w:color w:val="auto"/>
              </w:rPr>
            </w:pPr>
          </w:p>
        </w:tc>
        <w:tc>
          <w:tcPr>
            <w:tcW w:w="7120" w:type="dxa"/>
            <w:vAlign w:val="bottom"/>
            <w:gridSpan w:val="25"/>
          </w:tcPr>
          <w:p>
            <w:pPr>
              <w:spacing w:after="0" w:line="223" w:lineRule="exact"/>
              <w:rPr>
                <w:rFonts w:ascii="Arial" w:cs="Arial" w:eastAsia="Arial" w:hAnsi="Arial"/>
                <w:sz w:val="20"/>
                <w:szCs w:val="20"/>
                <w:color w:val="0000FF"/>
                <w:w w:val="89"/>
              </w:rPr>
            </w:pPr>
            <w:hyperlink w:anchor="page122">
              <w:r>
                <w:rPr>
                  <w:rFonts w:ascii="Arial" w:cs="Arial" w:eastAsia="Arial" w:hAnsi="Arial"/>
                  <w:sz w:val="20"/>
                  <w:szCs w:val="20"/>
                  <w:color w:val="0000FF"/>
                  <w:w w:val="89"/>
                </w:rPr>
                <w:t>Changes in and Disagreements with Accountants on Accounting and Financial Disclosure</w:t>
              </w:r>
            </w:hyperlink>
          </w:p>
        </w:tc>
        <w:tc>
          <w:tcPr>
            <w:tcW w:w="2000" w:type="dxa"/>
            <w:vAlign w:val="bottom"/>
            <w:gridSpan w:val="3"/>
          </w:tcPr>
          <w:p>
            <w:pPr>
              <w:spacing w:after="0"/>
              <w:rPr>
                <w:sz w:val="19"/>
                <w:szCs w:val="19"/>
                <w:color w:val="auto"/>
              </w:rPr>
            </w:pPr>
          </w:p>
        </w:tc>
        <w:tc>
          <w:tcPr>
            <w:tcW w:w="1100" w:type="dxa"/>
            <w:vAlign w:val="bottom"/>
            <w:gridSpan w:val="4"/>
          </w:tcPr>
          <w:p>
            <w:pPr>
              <w:jc w:val="center"/>
              <w:spacing w:after="0"/>
              <w:rPr>
                <w:rFonts w:ascii="Arial" w:cs="Arial" w:eastAsia="Arial" w:hAnsi="Arial"/>
                <w:sz w:val="18"/>
                <w:szCs w:val="18"/>
                <w:color w:val="0000FF"/>
                <w:w w:val="86"/>
              </w:rPr>
            </w:pPr>
            <w:hyperlink w:anchor="page122">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tcBorders>
              <w:bottom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gridSpan w:val="3"/>
            <w:shd w:val="clear" w:color="auto" w:fill="0000FF"/>
          </w:tcPr>
          <w:p>
            <w:pPr>
              <w:spacing w:after="0" w:line="20" w:lineRule="exact"/>
              <w:rPr>
                <w:sz w:val="1"/>
                <w:szCs w:val="1"/>
                <w:color w:val="auto"/>
              </w:rPr>
            </w:pPr>
          </w:p>
        </w:tc>
        <w:tc>
          <w:tcPr>
            <w:tcW w:w="1160" w:type="dxa"/>
            <w:vAlign w:val="bottom"/>
            <w:tcBorders>
              <w:bottom w:val="single" w:sz="8" w:color="0000FF"/>
            </w:tcBorders>
            <w:gridSpan w:val="2"/>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960" w:type="dxa"/>
            <w:vAlign w:val="bottom"/>
            <w:tcBorders>
              <w:bottom w:val="single" w:sz="8" w:color="0000FF"/>
            </w:tcBorders>
            <w:gridSpan w:val="2"/>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340" w:type="dxa"/>
            <w:vAlign w:val="bottom"/>
            <w:tcBorders>
              <w:bottom w:val="single" w:sz="8" w:color="0000FF"/>
            </w:tcBorders>
            <w:gridSpan w:val="3"/>
            <w:shd w:val="clear" w:color="auto" w:fill="0000FF"/>
          </w:tcPr>
          <w:p>
            <w:pPr>
              <w:spacing w:after="0" w:line="20" w:lineRule="exact"/>
              <w:rPr>
                <w:sz w:val="1"/>
                <w:szCs w:val="1"/>
                <w:color w:val="auto"/>
              </w:rPr>
            </w:pPr>
          </w:p>
        </w:tc>
        <w:tc>
          <w:tcPr>
            <w:tcW w:w="440" w:type="dxa"/>
            <w:vAlign w:val="bottom"/>
            <w:tcBorders>
              <w:bottom w:val="single" w:sz="8" w:color="0000FF"/>
            </w:tcBorders>
            <w:gridSpan w:val="4"/>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980" w:type="dxa"/>
            <w:vAlign w:val="bottom"/>
            <w:tcBorders>
              <w:bottom w:val="single" w:sz="8" w:color="0000FF"/>
            </w:tcBorders>
            <w:shd w:val="clear" w:color="auto" w:fill="0000FF"/>
          </w:tcPr>
          <w:p>
            <w:pPr>
              <w:spacing w:after="0" w:line="20" w:lineRule="exact"/>
              <w:rPr>
                <w:sz w:val="1"/>
                <w:szCs w:val="1"/>
                <w:color w:val="auto"/>
              </w:rPr>
            </w:pPr>
          </w:p>
        </w:tc>
        <w:tc>
          <w:tcPr>
            <w:tcW w:w="1180" w:type="dxa"/>
            <w:vAlign w:val="bottom"/>
            <w:tcBorders>
              <w:bottom w:val="single" w:sz="8" w:color="0000FF"/>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gridSpan w:val="3"/>
          </w:tcPr>
          <w:p>
            <w:pPr>
              <w:spacing w:after="0" w:line="203" w:lineRule="exact"/>
              <w:rPr>
                <w:rFonts w:ascii="Arial" w:cs="Arial" w:eastAsia="Arial" w:hAnsi="Arial"/>
                <w:sz w:val="20"/>
                <w:szCs w:val="20"/>
                <w:b w:val="1"/>
                <w:bCs w:val="1"/>
                <w:color w:val="0000FF"/>
                <w:w w:val="92"/>
              </w:rPr>
            </w:pPr>
            <w:hyperlink w:anchor="page123">
              <w:r>
                <w:rPr>
                  <w:rFonts w:ascii="Arial" w:cs="Arial" w:eastAsia="Arial" w:hAnsi="Arial"/>
                  <w:sz w:val="20"/>
                  <w:szCs w:val="20"/>
                  <w:b w:val="1"/>
                  <w:bCs w:val="1"/>
                  <w:color w:val="0000FF"/>
                  <w:w w:val="92"/>
                </w:rPr>
                <w:t>Item 9A.</w:t>
              </w:r>
            </w:hyperlink>
          </w:p>
        </w:tc>
        <w:tc>
          <w:tcPr>
            <w:tcW w:w="400" w:type="dxa"/>
            <w:vAlign w:val="bottom"/>
          </w:tcPr>
          <w:p>
            <w:pPr>
              <w:spacing w:after="0"/>
              <w:rPr>
                <w:sz w:val="17"/>
                <w:szCs w:val="17"/>
                <w:color w:val="auto"/>
              </w:rPr>
            </w:pPr>
          </w:p>
        </w:tc>
        <w:tc>
          <w:tcPr>
            <w:tcW w:w="1940" w:type="dxa"/>
            <w:vAlign w:val="bottom"/>
            <w:gridSpan w:val="7"/>
          </w:tcPr>
          <w:p>
            <w:pPr>
              <w:spacing w:after="0" w:line="203" w:lineRule="exact"/>
              <w:rPr>
                <w:rFonts w:ascii="Arial" w:cs="Arial" w:eastAsia="Arial" w:hAnsi="Arial"/>
                <w:sz w:val="20"/>
                <w:szCs w:val="20"/>
                <w:color w:val="0000FF"/>
                <w:w w:val="86"/>
              </w:rPr>
            </w:pPr>
            <w:hyperlink w:anchor="page123">
              <w:r>
                <w:rPr>
                  <w:rFonts w:ascii="Arial" w:cs="Arial" w:eastAsia="Arial" w:hAnsi="Arial"/>
                  <w:sz w:val="20"/>
                  <w:szCs w:val="20"/>
                  <w:color w:val="0000FF"/>
                  <w:w w:val="86"/>
                </w:rPr>
                <w:t>Controls and Procedures</w:t>
              </w:r>
            </w:hyperlink>
          </w:p>
        </w:tc>
        <w:tc>
          <w:tcPr>
            <w:tcW w:w="7180" w:type="dxa"/>
            <w:vAlign w:val="bottom"/>
            <w:gridSpan w:val="21"/>
          </w:tcPr>
          <w:p>
            <w:pPr>
              <w:spacing w:after="0"/>
              <w:rPr>
                <w:sz w:val="17"/>
                <w:szCs w:val="17"/>
                <w:color w:val="auto"/>
              </w:rPr>
            </w:pPr>
          </w:p>
        </w:tc>
        <w:tc>
          <w:tcPr>
            <w:tcW w:w="1100" w:type="dxa"/>
            <w:vAlign w:val="bottom"/>
            <w:gridSpan w:val="4"/>
          </w:tcPr>
          <w:p>
            <w:pPr>
              <w:jc w:val="center"/>
              <w:spacing w:after="0" w:line="203" w:lineRule="exact"/>
              <w:rPr>
                <w:rFonts w:ascii="Arial" w:cs="Arial" w:eastAsia="Arial" w:hAnsi="Arial"/>
                <w:sz w:val="18"/>
                <w:szCs w:val="18"/>
                <w:color w:val="0000FF"/>
                <w:w w:val="86"/>
              </w:rPr>
            </w:pPr>
            <w:hyperlink w:anchor="page123">
              <w:r>
                <w:rPr>
                  <w:rFonts w:ascii="Arial" w:cs="Arial" w:eastAsia="Arial" w:hAnsi="Arial"/>
                  <w:sz w:val="18"/>
                  <w:szCs w:val="18"/>
                  <w:color w:val="0000FF"/>
                  <w:w w:val="86"/>
                </w:rPr>
                <w:t>121</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gridSpan w:val="3"/>
          </w:tcPr>
          <w:p>
            <w:pPr>
              <w:spacing w:after="0" w:line="223" w:lineRule="exact"/>
              <w:rPr>
                <w:rFonts w:ascii="Arial" w:cs="Arial" w:eastAsia="Arial" w:hAnsi="Arial"/>
                <w:sz w:val="20"/>
                <w:szCs w:val="20"/>
                <w:b w:val="1"/>
                <w:bCs w:val="1"/>
                <w:color w:val="0000FF"/>
                <w:w w:val="92"/>
              </w:rPr>
            </w:pPr>
            <w:hyperlink w:anchor="page123">
              <w:r>
                <w:rPr>
                  <w:rFonts w:ascii="Arial" w:cs="Arial" w:eastAsia="Arial" w:hAnsi="Arial"/>
                  <w:sz w:val="20"/>
                  <w:szCs w:val="20"/>
                  <w:b w:val="1"/>
                  <w:bCs w:val="1"/>
                  <w:color w:val="0000FF"/>
                  <w:w w:val="92"/>
                </w:rPr>
                <w:t>Item 9B.</w:t>
              </w:r>
            </w:hyperlink>
          </w:p>
        </w:tc>
        <w:tc>
          <w:tcPr>
            <w:tcW w:w="400" w:type="dxa"/>
            <w:vAlign w:val="bottom"/>
          </w:tcPr>
          <w:p>
            <w:pPr>
              <w:spacing w:after="0"/>
              <w:rPr>
                <w:sz w:val="19"/>
                <w:szCs w:val="19"/>
                <w:color w:val="auto"/>
              </w:rPr>
            </w:pPr>
          </w:p>
        </w:tc>
        <w:tc>
          <w:tcPr>
            <w:tcW w:w="1460" w:type="dxa"/>
            <w:vAlign w:val="bottom"/>
            <w:gridSpan w:val="4"/>
          </w:tcPr>
          <w:p>
            <w:pPr>
              <w:spacing w:after="0" w:line="223" w:lineRule="exact"/>
              <w:rPr>
                <w:rFonts w:ascii="Arial" w:cs="Arial" w:eastAsia="Arial" w:hAnsi="Arial"/>
                <w:sz w:val="20"/>
                <w:szCs w:val="20"/>
                <w:color w:val="0000FF"/>
                <w:w w:val="91"/>
              </w:rPr>
            </w:pPr>
            <w:hyperlink w:anchor="page123">
              <w:r>
                <w:rPr>
                  <w:rFonts w:ascii="Arial" w:cs="Arial" w:eastAsia="Arial" w:hAnsi="Arial"/>
                  <w:sz w:val="20"/>
                  <w:szCs w:val="20"/>
                  <w:color w:val="0000FF"/>
                  <w:w w:val="91"/>
                </w:rPr>
                <w:t>Other Information</w:t>
              </w:r>
            </w:hyperlink>
          </w:p>
        </w:tc>
        <w:tc>
          <w:tcPr>
            <w:tcW w:w="480" w:type="dxa"/>
            <w:vAlign w:val="bottom"/>
            <w:gridSpan w:val="3"/>
          </w:tcPr>
          <w:p>
            <w:pPr>
              <w:spacing w:after="0"/>
              <w:rPr>
                <w:sz w:val="19"/>
                <w:szCs w:val="19"/>
                <w:color w:val="auto"/>
              </w:rPr>
            </w:pPr>
          </w:p>
        </w:tc>
        <w:tc>
          <w:tcPr>
            <w:tcW w:w="7180" w:type="dxa"/>
            <w:vAlign w:val="bottom"/>
            <w:gridSpan w:val="21"/>
          </w:tcPr>
          <w:p>
            <w:pPr>
              <w:spacing w:after="0"/>
              <w:rPr>
                <w:sz w:val="19"/>
                <w:szCs w:val="19"/>
                <w:color w:val="auto"/>
              </w:rPr>
            </w:pPr>
          </w:p>
        </w:tc>
        <w:tc>
          <w:tcPr>
            <w:tcW w:w="1100" w:type="dxa"/>
            <w:vAlign w:val="bottom"/>
            <w:gridSpan w:val="4"/>
          </w:tcPr>
          <w:p>
            <w:pPr>
              <w:jc w:val="center"/>
              <w:spacing w:after="0"/>
              <w:rPr>
                <w:rFonts w:ascii="Arial" w:cs="Arial" w:eastAsia="Arial" w:hAnsi="Arial"/>
                <w:sz w:val="18"/>
                <w:szCs w:val="18"/>
                <w:color w:val="0000FF"/>
                <w:w w:val="86"/>
              </w:rPr>
            </w:pPr>
            <w:hyperlink w:anchor="page123">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23"/>
        </w:trPr>
        <w:tc>
          <w:tcPr>
            <w:tcW w:w="680" w:type="dxa"/>
            <w:vAlign w:val="bottom"/>
            <w:tcBorders>
              <w:top w:val="single" w:sz="8" w:color="0000FF"/>
              <w:bottom w:val="single" w:sz="8" w:color="0000FF"/>
            </w:tcBorders>
            <w:gridSpan w:val="2"/>
            <w:vMerge w:val="restart"/>
          </w:tcPr>
          <w:p>
            <w:pPr>
              <w:spacing w:after="0"/>
              <w:rPr>
                <w:rFonts w:ascii="Arial" w:cs="Arial" w:eastAsia="Arial" w:hAnsi="Arial"/>
                <w:sz w:val="20"/>
                <w:szCs w:val="20"/>
                <w:b w:val="1"/>
                <w:bCs w:val="1"/>
                <w:color w:val="0000FF"/>
                <w:w w:val="85"/>
              </w:rPr>
            </w:pPr>
            <w:hyperlink w:anchor="page124">
              <w:r>
                <w:rPr>
                  <w:rFonts w:ascii="Arial" w:cs="Arial" w:eastAsia="Arial" w:hAnsi="Arial"/>
                  <w:sz w:val="20"/>
                  <w:szCs w:val="20"/>
                  <w:b w:val="1"/>
                  <w:bCs w:val="1"/>
                  <w:color w:val="0000FF"/>
                  <w:w w:val="85"/>
                </w:rPr>
                <w:t>Item 10.</w:t>
              </w:r>
            </w:hyperlink>
          </w:p>
        </w:tc>
        <w:tc>
          <w:tcPr>
            <w:tcW w:w="80" w:type="dxa"/>
            <w:vAlign w:val="bottom"/>
            <w:tcBorders>
              <w:top w:val="single" w:sz="8" w:color="0000FF"/>
              <w:bottom w:val="single" w:sz="8" w:color="0000FF"/>
            </w:tcBorders>
            <w:vMerge w:val="restart"/>
          </w:tcPr>
          <w:p>
            <w:pPr>
              <w:spacing w:after="0"/>
              <w:rPr>
                <w:sz w:val="19"/>
                <w:szCs w:val="19"/>
                <w:color w:val="auto"/>
              </w:rPr>
            </w:pPr>
          </w:p>
        </w:tc>
        <w:tc>
          <w:tcPr>
            <w:tcW w:w="400" w:type="dxa"/>
            <w:vAlign w:val="bottom"/>
            <w:vMerge w:val="restart"/>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bottom w:val="single" w:sz="8" w:color="0000FF"/>
            </w:tcBorders>
            <w:gridSpan w:val="9"/>
          </w:tcPr>
          <w:p>
            <w:pPr>
              <w:jc w:val="center"/>
              <w:ind w:right="20"/>
              <w:spacing w:after="0" w:line="223" w:lineRule="exact"/>
              <w:rPr>
                <w:rFonts w:ascii="Arial" w:cs="Arial" w:eastAsia="Arial" w:hAnsi="Arial"/>
                <w:sz w:val="20"/>
                <w:szCs w:val="20"/>
                <w:b w:val="1"/>
                <w:bCs w:val="1"/>
                <w:color w:val="0000FF"/>
              </w:rPr>
            </w:pPr>
            <w:hyperlink w:anchor="page124">
              <w:r>
                <w:rPr>
                  <w:rFonts w:ascii="Arial" w:cs="Arial" w:eastAsia="Arial" w:hAnsi="Arial"/>
                  <w:sz w:val="20"/>
                  <w:szCs w:val="20"/>
                  <w:b w:val="1"/>
                  <w:bCs w:val="1"/>
                  <w:color w:val="0000FF"/>
                </w:rPr>
                <w:t>PART III</w:t>
              </w:r>
            </w:hyperlink>
          </w:p>
        </w:tc>
        <w:tc>
          <w:tcPr>
            <w:tcW w:w="4160" w:type="dxa"/>
            <w:vAlign w:val="bottom"/>
            <w:gridSpan w:val="6"/>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4500" w:type="dxa"/>
            <w:vAlign w:val="bottom"/>
            <w:gridSpan w:val="17"/>
          </w:tcPr>
          <w:p>
            <w:pPr>
              <w:spacing w:after="0" w:line="223" w:lineRule="exact"/>
              <w:rPr>
                <w:rFonts w:ascii="Arial" w:cs="Arial" w:eastAsia="Arial" w:hAnsi="Arial"/>
                <w:sz w:val="20"/>
                <w:szCs w:val="20"/>
                <w:color w:val="0000FF"/>
                <w:w w:val="89"/>
              </w:rPr>
            </w:pPr>
            <w:hyperlink w:anchor="page124">
              <w:r>
                <w:rPr>
                  <w:rFonts w:ascii="Arial" w:cs="Arial" w:eastAsia="Arial" w:hAnsi="Arial"/>
                  <w:sz w:val="20"/>
                  <w:szCs w:val="20"/>
                  <w:color w:val="0000FF"/>
                  <w:w w:val="89"/>
                </w:rPr>
                <w:t>Directors, Executive Officers and Corporate Governance</w:t>
              </w:r>
            </w:hyperlink>
          </w:p>
        </w:tc>
        <w:tc>
          <w:tcPr>
            <w:tcW w:w="4620" w:type="dxa"/>
            <w:vAlign w:val="bottom"/>
            <w:gridSpan w:val="11"/>
          </w:tcPr>
          <w:p>
            <w:pPr>
              <w:spacing w:after="0"/>
              <w:rPr>
                <w:sz w:val="19"/>
                <w:szCs w:val="19"/>
                <w:color w:val="auto"/>
              </w:rPr>
            </w:pPr>
          </w:p>
        </w:tc>
        <w:tc>
          <w:tcPr>
            <w:tcW w:w="1100" w:type="dxa"/>
            <w:vAlign w:val="bottom"/>
            <w:gridSpan w:val="4"/>
          </w:tcPr>
          <w:p>
            <w:pPr>
              <w:jc w:val="center"/>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0"/>
        </w:trPr>
        <w:tc>
          <w:tcPr>
            <w:tcW w:w="680" w:type="dxa"/>
            <w:vAlign w:val="bottom"/>
            <w:tcBorders>
              <w:top w:val="single" w:sz="8" w:color="0000FF"/>
            </w:tcBorders>
            <w:gridSpan w:val="2"/>
            <w:vMerge w:val="restart"/>
          </w:tcPr>
          <w:p>
            <w:pPr>
              <w:spacing w:after="0" w:line="223" w:lineRule="exact"/>
              <w:rPr>
                <w:rFonts w:ascii="Arial" w:cs="Arial" w:eastAsia="Arial" w:hAnsi="Arial"/>
                <w:sz w:val="20"/>
                <w:szCs w:val="20"/>
                <w:b w:val="1"/>
                <w:bCs w:val="1"/>
                <w:color w:val="0000FF"/>
                <w:w w:val="85"/>
              </w:rPr>
            </w:pPr>
            <w:hyperlink w:anchor="page124">
              <w:r>
                <w:rPr>
                  <w:rFonts w:ascii="Arial" w:cs="Arial" w:eastAsia="Arial" w:hAnsi="Arial"/>
                  <w:sz w:val="20"/>
                  <w:szCs w:val="20"/>
                  <w:b w:val="1"/>
                  <w:bCs w:val="1"/>
                  <w:color w:val="0000FF"/>
                  <w:w w:val="85"/>
                </w:rPr>
                <w:t>Item 11.</w:t>
              </w:r>
            </w:hyperlink>
          </w:p>
        </w:tc>
        <w:tc>
          <w:tcPr>
            <w:tcW w:w="480" w:type="dxa"/>
            <w:vAlign w:val="bottom"/>
            <w:gridSpan w:val="2"/>
            <w:vMerge w:val="restart"/>
          </w:tcPr>
          <w:p>
            <w:pPr>
              <w:spacing w:after="0" w:line="20" w:lineRule="exact"/>
              <w:rPr>
                <w:sz w:val="1"/>
                <w:szCs w:val="1"/>
                <w:color w:val="auto"/>
              </w:rPr>
            </w:pPr>
          </w:p>
        </w:tc>
        <w:tc>
          <w:tcPr>
            <w:tcW w:w="1700" w:type="dxa"/>
            <w:vAlign w:val="bottom"/>
            <w:tcBorders>
              <w:top w:val="single" w:sz="8" w:color="0000FF"/>
            </w:tcBorders>
            <w:gridSpan w:val="5"/>
            <w:shd w:val="clear" w:color="auto" w:fill="0000FF"/>
          </w:tcPr>
          <w:p>
            <w:pPr>
              <w:spacing w:after="0" w:line="20" w:lineRule="exact"/>
              <w:rPr>
                <w:sz w:val="1"/>
                <w:szCs w:val="1"/>
                <w:color w:val="auto"/>
              </w:rPr>
            </w:pPr>
          </w:p>
        </w:tc>
        <w:tc>
          <w:tcPr>
            <w:tcW w:w="280" w:type="dxa"/>
            <w:vAlign w:val="bottom"/>
            <w:tcBorders>
              <w:top w:val="single" w:sz="8" w:color="0000FF"/>
            </w:tcBorders>
            <w:gridSpan w:val="3"/>
            <w:shd w:val="clear" w:color="auto" w:fill="0000FF"/>
          </w:tcPr>
          <w:p>
            <w:pPr>
              <w:spacing w:after="0" w:line="20" w:lineRule="exact"/>
              <w:rPr>
                <w:sz w:val="1"/>
                <w:szCs w:val="1"/>
                <w:color w:val="auto"/>
              </w:rPr>
            </w:pPr>
          </w:p>
        </w:tc>
        <w:tc>
          <w:tcPr>
            <w:tcW w:w="1160" w:type="dxa"/>
            <w:vAlign w:val="bottom"/>
            <w:tcBorders>
              <w:top w:val="single" w:sz="8" w:color="0000FF"/>
            </w:tcBorders>
            <w:gridSpan w:val="2"/>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980" w:type="dxa"/>
            <w:vAlign w:val="bottom"/>
            <w:tcBorders>
              <w:top w:val="single" w:sz="8" w:color="0000FF"/>
            </w:tcBorders>
            <w:gridSpan w:val="3"/>
            <w:shd w:val="clear" w:color="auto" w:fill="0000FF"/>
          </w:tcPr>
          <w:p>
            <w:pPr>
              <w:spacing w:after="0" w:line="20" w:lineRule="exact"/>
              <w:rPr>
                <w:sz w:val="1"/>
                <w:szCs w:val="1"/>
                <w:color w:val="auto"/>
              </w:rPr>
            </w:pPr>
          </w:p>
        </w:tc>
        <w:tc>
          <w:tcPr>
            <w:tcW w:w="340" w:type="dxa"/>
            <w:vAlign w:val="bottom"/>
            <w:tcBorders>
              <w:top w:val="single" w:sz="8" w:color="0000FF"/>
            </w:tcBorders>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4500" w:type="dxa"/>
            <w:vAlign w:val="bottom"/>
            <w:gridSpan w:val="17"/>
          </w:tcPr>
          <w:p>
            <w:pPr>
              <w:spacing w:after="0" w:line="203" w:lineRule="exact"/>
              <w:rPr>
                <w:rFonts w:ascii="Arial" w:cs="Arial" w:eastAsia="Arial" w:hAnsi="Arial"/>
                <w:sz w:val="20"/>
                <w:szCs w:val="20"/>
                <w:color w:val="0000FF"/>
              </w:rPr>
            </w:pPr>
            <w:hyperlink w:anchor="page124">
              <w:r>
                <w:rPr>
                  <w:rFonts w:ascii="Arial" w:cs="Arial" w:eastAsia="Arial" w:hAnsi="Arial"/>
                  <w:sz w:val="20"/>
                  <w:szCs w:val="20"/>
                  <w:color w:val="0000FF"/>
                </w:rPr>
                <w:t>Executive Compensation</w:t>
              </w:r>
            </w:hyperlink>
          </w:p>
        </w:tc>
        <w:tc>
          <w:tcPr>
            <w:tcW w:w="4620" w:type="dxa"/>
            <w:vAlign w:val="bottom"/>
            <w:gridSpan w:val="11"/>
          </w:tcPr>
          <w:p>
            <w:pPr>
              <w:spacing w:after="0"/>
              <w:rPr>
                <w:sz w:val="17"/>
                <w:szCs w:val="17"/>
                <w:color w:val="auto"/>
              </w:rPr>
            </w:pPr>
          </w:p>
        </w:tc>
        <w:tc>
          <w:tcPr>
            <w:tcW w:w="1100" w:type="dxa"/>
            <w:vAlign w:val="bottom"/>
            <w:gridSpan w:val="4"/>
          </w:tcPr>
          <w:p>
            <w:pPr>
              <w:jc w:val="center"/>
              <w:spacing w:after="0" w:line="203"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00" w:type="dxa"/>
            <w:vAlign w:val="bottom"/>
            <w:tcBorders>
              <w:bottom w:val="single" w:sz="8" w:color="0000FF"/>
            </w:tcBorders>
            <w:gridSpan w:val="5"/>
            <w:shd w:val="clear" w:color="auto" w:fill="0000FF"/>
          </w:tcPr>
          <w:p>
            <w:pPr>
              <w:spacing w:after="0" w:line="20" w:lineRule="exact"/>
              <w:rPr>
                <w:sz w:val="1"/>
                <w:szCs w:val="1"/>
                <w:color w:val="auto"/>
              </w:rPr>
            </w:pPr>
          </w:p>
        </w:tc>
        <w:tc>
          <w:tcPr>
            <w:tcW w:w="280" w:type="dxa"/>
            <w:vAlign w:val="bottom"/>
            <w:tcBorders>
              <w:bottom w:val="single" w:sz="8" w:color="0000FF"/>
            </w:tcBorders>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2"/>
          </w:tcPr>
          <w:p>
            <w:pPr>
              <w:spacing w:after="0" w:line="203" w:lineRule="exact"/>
              <w:rPr>
                <w:rFonts w:ascii="Arial" w:cs="Arial" w:eastAsia="Arial" w:hAnsi="Arial"/>
                <w:sz w:val="20"/>
                <w:szCs w:val="20"/>
                <w:b w:val="1"/>
                <w:bCs w:val="1"/>
                <w:color w:val="0000FF"/>
                <w:w w:val="85"/>
              </w:rPr>
            </w:pPr>
            <w:hyperlink w:anchor="page124">
              <w:r>
                <w:rPr>
                  <w:rFonts w:ascii="Arial" w:cs="Arial" w:eastAsia="Arial" w:hAnsi="Arial"/>
                  <w:sz w:val="20"/>
                  <w:szCs w:val="20"/>
                  <w:b w:val="1"/>
                  <w:bCs w:val="1"/>
                  <w:color w:val="0000FF"/>
                  <w:w w:val="85"/>
                </w:rPr>
                <w:t>Item 12.</w:t>
              </w:r>
            </w:hyperlink>
          </w:p>
        </w:tc>
        <w:tc>
          <w:tcPr>
            <w:tcW w:w="480" w:type="dxa"/>
            <w:vAlign w:val="bottom"/>
            <w:gridSpan w:val="2"/>
          </w:tcPr>
          <w:p>
            <w:pPr>
              <w:spacing w:after="0"/>
              <w:rPr>
                <w:sz w:val="17"/>
                <w:szCs w:val="17"/>
                <w:color w:val="auto"/>
              </w:rPr>
            </w:pPr>
          </w:p>
        </w:tc>
        <w:tc>
          <w:tcPr>
            <w:tcW w:w="8020" w:type="dxa"/>
            <w:vAlign w:val="bottom"/>
            <w:gridSpan w:val="26"/>
          </w:tcPr>
          <w:p>
            <w:pPr>
              <w:spacing w:after="0" w:line="203" w:lineRule="exact"/>
              <w:rPr>
                <w:rFonts w:ascii="Arial" w:cs="Arial" w:eastAsia="Arial" w:hAnsi="Arial"/>
                <w:sz w:val="20"/>
                <w:szCs w:val="20"/>
                <w:color w:val="0000FF"/>
                <w:w w:val="89"/>
              </w:rPr>
            </w:pPr>
            <w:hyperlink w:anchor="page124">
              <w:r>
                <w:rPr>
                  <w:rFonts w:ascii="Arial" w:cs="Arial" w:eastAsia="Arial" w:hAnsi="Arial"/>
                  <w:sz w:val="20"/>
                  <w:szCs w:val="20"/>
                  <w:color w:val="0000FF"/>
                  <w:w w:val="89"/>
                </w:rPr>
                <w:t>Security Ownership of Certain Beneficial Owners and Management and Related Stockholder Matters</w:t>
              </w:r>
            </w:hyperlink>
          </w:p>
        </w:tc>
        <w:tc>
          <w:tcPr>
            <w:tcW w:w="1100" w:type="dxa"/>
            <w:vAlign w:val="bottom"/>
            <w:gridSpan w:val="2"/>
          </w:tcPr>
          <w:p>
            <w:pPr>
              <w:spacing w:after="0"/>
              <w:rPr>
                <w:sz w:val="17"/>
                <w:szCs w:val="17"/>
                <w:color w:val="auto"/>
              </w:rPr>
            </w:pPr>
          </w:p>
        </w:tc>
        <w:tc>
          <w:tcPr>
            <w:tcW w:w="1100" w:type="dxa"/>
            <w:vAlign w:val="bottom"/>
            <w:gridSpan w:val="4"/>
          </w:tcPr>
          <w:p>
            <w:pPr>
              <w:jc w:val="center"/>
              <w:spacing w:after="0" w:line="203"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 w:type="dxa"/>
            <w:vAlign w:val="bottom"/>
            <w:gridSpan w:val="2"/>
          </w:tcPr>
          <w:p>
            <w:pPr>
              <w:spacing w:after="0" w:line="223" w:lineRule="exact"/>
              <w:rPr>
                <w:rFonts w:ascii="Arial" w:cs="Arial" w:eastAsia="Arial" w:hAnsi="Arial"/>
                <w:sz w:val="20"/>
                <w:szCs w:val="20"/>
                <w:b w:val="1"/>
                <w:bCs w:val="1"/>
                <w:color w:val="0000FF"/>
                <w:w w:val="85"/>
              </w:rPr>
            </w:pPr>
            <w:hyperlink w:anchor="page124">
              <w:r>
                <w:rPr>
                  <w:rFonts w:ascii="Arial" w:cs="Arial" w:eastAsia="Arial" w:hAnsi="Arial"/>
                  <w:sz w:val="20"/>
                  <w:szCs w:val="20"/>
                  <w:b w:val="1"/>
                  <w:bCs w:val="1"/>
                  <w:color w:val="0000FF"/>
                  <w:w w:val="85"/>
                </w:rPr>
                <w:t>Item 13.</w:t>
              </w:r>
            </w:hyperlink>
          </w:p>
        </w:tc>
        <w:tc>
          <w:tcPr>
            <w:tcW w:w="480" w:type="dxa"/>
            <w:vAlign w:val="bottom"/>
            <w:gridSpan w:val="2"/>
          </w:tcPr>
          <w:p>
            <w:pPr>
              <w:spacing w:after="0"/>
              <w:rPr>
                <w:sz w:val="19"/>
                <w:szCs w:val="19"/>
                <w:color w:val="auto"/>
              </w:rPr>
            </w:pPr>
          </w:p>
        </w:tc>
        <w:tc>
          <w:tcPr>
            <w:tcW w:w="5940" w:type="dxa"/>
            <w:vAlign w:val="bottom"/>
            <w:gridSpan w:val="23"/>
          </w:tcPr>
          <w:p>
            <w:pPr>
              <w:spacing w:after="0" w:line="223" w:lineRule="exact"/>
              <w:rPr>
                <w:rFonts w:ascii="Arial" w:cs="Arial" w:eastAsia="Arial" w:hAnsi="Arial"/>
                <w:sz w:val="20"/>
                <w:szCs w:val="20"/>
                <w:color w:val="0000FF"/>
                <w:w w:val="88"/>
              </w:rPr>
            </w:pPr>
            <w:hyperlink w:anchor="page124">
              <w:r>
                <w:rPr>
                  <w:rFonts w:ascii="Arial" w:cs="Arial" w:eastAsia="Arial" w:hAnsi="Arial"/>
                  <w:sz w:val="20"/>
                  <w:szCs w:val="20"/>
                  <w:color w:val="0000FF"/>
                  <w:w w:val="88"/>
                </w:rPr>
                <w:t>Certain Relationships and Related Transactions and Director Independence</w:t>
              </w:r>
            </w:hyperlink>
          </w:p>
        </w:tc>
        <w:tc>
          <w:tcPr>
            <w:tcW w:w="2080" w:type="dxa"/>
            <w:vAlign w:val="bottom"/>
            <w:gridSpan w:val="3"/>
          </w:tcPr>
          <w:p>
            <w:pPr>
              <w:spacing w:after="0"/>
              <w:rPr>
                <w:sz w:val="19"/>
                <w:szCs w:val="19"/>
                <w:color w:val="auto"/>
              </w:rPr>
            </w:pPr>
          </w:p>
        </w:tc>
        <w:tc>
          <w:tcPr>
            <w:tcW w:w="1100" w:type="dxa"/>
            <w:vAlign w:val="bottom"/>
            <w:gridSpan w:val="2"/>
          </w:tcPr>
          <w:p>
            <w:pPr>
              <w:spacing w:after="0"/>
              <w:rPr>
                <w:sz w:val="19"/>
                <w:szCs w:val="19"/>
                <w:color w:val="auto"/>
              </w:rPr>
            </w:pPr>
          </w:p>
        </w:tc>
        <w:tc>
          <w:tcPr>
            <w:tcW w:w="1100" w:type="dxa"/>
            <w:vAlign w:val="bottom"/>
            <w:gridSpan w:val="4"/>
          </w:tcPr>
          <w:p>
            <w:pPr>
              <w:jc w:val="center"/>
              <w:spacing w:after="0"/>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0"/>
        </w:trPr>
        <w:tc>
          <w:tcPr>
            <w:tcW w:w="680" w:type="dxa"/>
            <w:vAlign w:val="bottom"/>
            <w:tcBorders>
              <w:top w:val="single" w:sz="8" w:color="0000FF"/>
            </w:tcBorders>
            <w:gridSpan w:val="2"/>
            <w:vMerge w:val="restart"/>
          </w:tcPr>
          <w:p>
            <w:pPr>
              <w:spacing w:after="0" w:line="223" w:lineRule="exact"/>
              <w:rPr>
                <w:rFonts w:ascii="Arial" w:cs="Arial" w:eastAsia="Arial" w:hAnsi="Arial"/>
                <w:sz w:val="20"/>
                <w:szCs w:val="20"/>
                <w:b w:val="1"/>
                <w:bCs w:val="1"/>
                <w:color w:val="0000FF"/>
                <w:w w:val="85"/>
              </w:rPr>
            </w:pPr>
            <w:hyperlink w:anchor="page124">
              <w:r>
                <w:rPr>
                  <w:rFonts w:ascii="Arial" w:cs="Arial" w:eastAsia="Arial" w:hAnsi="Arial"/>
                  <w:sz w:val="20"/>
                  <w:szCs w:val="20"/>
                  <w:b w:val="1"/>
                  <w:bCs w:val="1"/>
                  <w:color w:val="0000FF"/>
                  <w:w w:val="85"/>
                </w:rPr>
                <w:t>Item 14.</w:t>
              </w:r>
            </w:hyperlink>
          </w:p>
        </w:tc>
        <w:tc>
          <w:tcPr>
            <w:tcW w:w="480" w:type="dxa"/>
            <w:vAlign w:val="bottom"/>
            <w:gridSpan w:val="2"/>
            <w:vMerge w:val="restart"/>
          </w:tcPr>
          <w:p>
            <w:pPr>
              <w:spacing w:after="0" w:line="20" w:lineRule="exact"/>
              <w:rPr>
                <w:sz w:val="1"/>
                <w:szCs w:val="1"/>
                <w:color w:val="auto"/>
              </w:rPr>
            </w:pPr>
          </w:p>
        </w:tc>
        <w:tc>
          <w:tcPr>
            <w:tcW w:w="1700" w:type="dxa"/>
            <w:vAlign w:val="bottom"/>
            <w:tcBorders>
              <w:top w:val="single" w:sz="8" w:color="0000FF"/>
            </w:tcBorders>
            <w:gridSpan w:val="5"/>
            <w:shd w:val="clear" w:color="auto" w:fill="0000FF"/>
          </w:tcPr>
          <w:p>
            <w:pPr>
              <w:spacing w:after="0" w:line="20" w:lineRule="exact"/>
              <w:rPr>
                <w:sz w:val="1"/>
                <w:szCs w:val="1"/>
                <w:color w:val="auto"/>
              </w:rPr>
            </w:pPr>
          </w:p>
        </w:tc>
        <w:tc>
          <w:tcPr>
            <w:tcW w:w="1440" w:type="dxa"/>
            <w:vAlign w:val="bottom"/>
            <w:tcBorders>
              <w:top w:val="single" w:sz="8" w:color="0000FF"/>
            </w:tcBorders>
            <w:gridSpan w:val="5"/>
            <w:shd w:val="clear" w:color="auto" w:fill="0000FF"/>
          </w:tcPr>
          <w:p>
            <w:pPr>
              <w:spacing w:after="0" w:line="20" w:lineRule="exact"/>
              <w:rPr>
                <w:sz w:val="1"/>
                <w:szCs w:val="1"/>
                <w:color w:val="auto"/>
              </w:rPr>
            </w:pPr>
          </w:p>
        </w:tc>
        <w:tc>
          <w:tcPr>
            <w:tcW w:w="40" w:type="dxa"/>
            <w:vAlign w:val="bottom"/>
            <w:tcBorders>
              <w:top w:val="single" w:sz="8" w:color="0000FF"/>
            </w:tcBorders>
            <w:shd w:val="clear" w:color="auto" w:fill="0000FF"/>
          </w:tcPr>
          <w:p>
            <w:pPr>
              <w:spacing w:after="0" w:line="20" w:lineRule="exact"/>
              <w:rPr>
                <w:sz w:val="1"/>
                <w:szCs w:val="1"/>
                <w:color w:val="auto"/>
              </w:rPr>
            </w:pPr>
          </w:p>
        </w:tc>
        <w:tc>
          <w:tcPr>
            <w:tcW w:w="980" w:type="dxa"/>
            <w:vAlign w:val="bottom"/>
            <w:tcBorders>
              <w:top w:val="single" w:sz="8" w:color="0000FF"/>
            </w:tcBorders>
            <w:gridSpan w:val="3"/>
            <w:shd w:val="clear" w:color="auto" w:fill="0000FF"/>
          </w:tcPr>
          <w:p>
            <w:pPr>
              <w:spacing w:after="0" w:line="20" w:lineRule="exact"/>
              <w:rPr>
                <w:sz w:val="1"/>
                <w:szCs w:val="1"/>
                <w:color w:val="auto"/>
              </w:rPr>
            </w:pPr>
          </w:p>
        </w:tc>
        <w:tc>
          <w:tcPr>
            <w:tcW w:w="780" w:type="dxa"/>
            <w:vAlign w:val="bottom"/>
            <w:tcBorders>
              <w:top w:val="single" w:sz="8" w:color="0000FF"/>
            </w:tcBorders>
            <w:gridSpan w:val="7"/>
            <w:shd w:val="clear" w:color="auto" w:fill="0000FF"/>
          </w:tcPr>
          <w:p>
            <w:pPr>
              <w:spacing w:after="0" w:line="20" w:lineRule="exact"/>
              <w:rPr>
                <w:sz w:val="1"/>
                <w:szCs w:val="1"/>
                <w:color w:val="auto"/>
              </w:rPr>
            </w:pPr>
          </w:p>
        </w:tc>
        <w:tc>
          <w:tcPr>
            <w:tcW w:w="1000" w:type="dxa"/>
            <w:vAlign w:val="bottom"/>
            <w:tcBorders>
              <w:top w:val="single" w:sz="8" w:color="0000FF"/>
            </w:tcBorders>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3140" w:type="dxa"/>
            <w:vAlign w:val="bottom"/>
            <w:gridSpan w:val="10"/>
          </w:tcPr>
          <w:p>
            <w:pPr>
              <w:spacing w:after="0" w:line="203" w:lineRule="exact"/>
              <w:rPr>
                <w:rFonts w:ascii="Arial" w:cs="Arial" w:eastAsia="Arial" w:hAnsi="Arial"/>
                <w:sz w:val="20"/>
                <w:szCs w:val="20"/>
                <w:color w:val="0000FF"/>
                <w:w w:val="88"/>
              </w:rPr>
            </w:pPr>
            <w:hyperlink w:anchor="page124">
              <w:r>
                <w:rPr>
                  <w:rFonts w:ascii="Arial" w:cs="Arial" w:eastAsia="Arial" w:hAnsi="Arial"/>
                  <w:sz w:val="20"/>
                  <w:szCs w:val="20"/>
                  <w:color w:val="0000FF"/>
                  <w:w w:val="88"/>
                </w:rPr>
                <w:t>Principal Accountant Fees and Services</w:t>
              </w:r>
            </w:hyperlink>
          </w:p>
        </w:tc>
        <w:tc>
          <w:tcPr>
            <w:tcW w:w="2800" w:type="dxa"/>
            <w:vAlign w:val="bottom"/>
            <w:gridSpan w:val="13"/>
          </w:tcPr>
          <w:p>
            <w:pPr>
              <w:spacing w:after="0"/>
              <w:rPr>
                <w:sz w:val="17"/>
                <w:szCs w:val="17"/>
                <w:color w:val="auto"/>
              </w:rPr>
            </w:pPr>
          </w:p>
        </w:tc>
        <w:tc>
          <w:tcPr>
            <w:tcW w:w="3180" w:type="dxa"/>
            <w:vAlign w:val="bottom"/>
            <w:gridSpan w:val="5"/>
          </w:tcPr>
          <w:p>
            <w:pPr>
              <w:spacing w:after="0"/>
              <w:rPr>
                <w:sz w:val="17"/>
                <w:szCs w:val="17"/>
                <w:color w:val="auto"/>
              </w:rPr>
            </w:pPr>
          </w:p>
        </w:tc>
        <w:tc>
          <w:tcPr>
            <w:tcW w:w="1100" w:type="dxa"/>
            <w:vAlign w:val="bottom"/>
            <w:gridSpan w:val="4"/>
          </w:tcPr>
          <w:p>
            <w:pPr>
              <w:jc w:val="center"/>
              <w:spacing w:after="0" w:line="203"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122</w:t>
              </w:r>
            </w:hyperlink>
          </w:p>
        </w:tc>
        <w:tc>
          <w:tcPr>
            <w:tcW w:w="0" w:type="dxa"/>
            <w:vAlign w:val="bottom"/>
          </w:tcPr>
          <w:p>
            <w:pPr>
              <w:spacing w:after="0"/>
              <w:rPr>
                <w:sz w:val="1"/>
                <w:szCs w:val="1"/>
                <w:color w:val="auto"/>
              </w:rPr>
            </w:pPr>
          </w:p>
        </w:tc>
      </w:tr>
      <w:tr>
        <w:trPr>
          <w:trHeight w:val="223"/>
        </w:trPr>
        <w:tc>
          <w:tcPr>
            <w:tcW w:w="680" w:type="dxa"/>
            <w:vAlign w:val="bottom"/>
            <w:tcBorders>
              <w:top w:val="single" w:sz="8" w:color="0000FF"/>
            </w:tcBorders>
            <w:gridSpan w:val="2"/>
            <w:vMerge w:val="restart"/>
          </w:tcPr>
          <w:p>
            <w:pPr>
              <w:spacing w:after="0"/>
              <w:rPr>
                <w:rFonts w:ascii="Arial" w:cs="Arial" w:eastAsia="Arial" w:hAnsi="Arial"/>
                <w:sz w:val="20"/>
                <w:szCs w:val="20"/>
                <w:b w:val="1"/>
                <w:bCs w:val="1"/>
                <w:color w:val="0000FF"/>
                <w:w w:val="85"/>
              </w:rPr>
            </w:pPr>
            <w:hyperlink w:anchor="page125">
              <w:r>
                <w:rPr>
                  <w:rFonts w:ascii="Arial" w:cs="Arial" w:eastAsia="Arial" w:hAnsi="Arial"/>
                  <w:sz w:val="20"/>
                  <w:szCs w:val="20"/>
                  <w:b w:val="1"/>
                  <w:bCs w:val="1"/>
                  <w:color w:val="0000FF"/>
                  <w:w w:val="85"/>
                </w:rPr>
                <w:t>Item 15.</w:t>
              </w:r>
            </w:hyperlink>
          </w:p>
        </w:tc>
        <w:tc>
          <w:tcPr>
            <w:tcW w:w="480" w:type="dxa"/>
            <w:vAlign w:val="bottom"/>
            <w:gridSpan w:val="2"/>
            <w:vMerge w:val="restart"/>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gridSpan w:val="14"/>
          </w:tcPr>
          <w:p>
            <w:pPr>
              <w:jc w:val="center"/>
              <w:ind w:right="4180"/>
              <w:spacing w:after="0" w:line="223" w:lineRule="exact"/>
              <w:rPr>
                <w:rFonts w:ascii="Arial" w:cs="Arial" w:eastAsia="Arial" w:hAnsi="Arial"/>
                <w:sz w:val="20"/>
                <w:szCs w:val="20"/>
                <w:b w:val="1"/>
                <w:bCs w:val="1"/>
                <w:color w:val="0000FF"/>
                <w:w w:val="98"/>
              </w:rPr>
            </w:pPr>
            <w:hyperlink w:anchor="page125">
              <w:r>
                <w:rPr>
                  <w:rFonts w:ascii="Arial" w:cs="Arial" w:eastAsia="Arial" w:hAnsi="Arial"/>
                  <w:sz w:val="20"/>
                  <w:szCs w:val="20"/>
                  <w:b w:val="1"/>
                  <w:bCs w:val="1"/>
                  <w:color w:val="0000FF"/>
                  <w:w w:val="98"/>
                </w:rPr>
                <w:t>PART IV</w:t>
              </w:r>
            </w:hyperlink>
          </w:p>
        </w:tc>
        <w:tc>
          <w:tcPr>
            <w:tcW w:w="500" w:type="dxa"/>
            <w:vAlign w:val="bottom"/>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Borders>
              <w:top w:val="single" w:sz="8" w:color="0000FF"/>
            </w:tcBorders>
            <w:gridSpan w:val="2"/>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4160" w:type="dxa"/>
            <w:vAlign w:val="bottom"/>
            <w:gridSpan w:val="14"/>
          </w:tcPr>
          <w:p>
            <w:pPr>
              <w:spacing w:after="0" w:line="223" w:lineRule="exact"/>
              <w:rPr>
                <w:rFonts w:ascii="Arial" w:cs="Arial" w:eastAsia="Arial" w:hAnsi="Arial"/>
                <w:sz w:val="20"/>
                <w:szCs w:val="20"/>
                <w:color w:val="0000FF"/>
              </w:rPr>
            </w:pPr>
            <w:hyperlink w:anchor="page125">
              <w:r>
                <w:rPr>
                  <w:rFonts w:ascii="Arial" w:cs="Arial" w:eastAsia="Arial" w:hAnsi="Arial"/>
                  <w:sz w:val="20"/>
                  <w:szCs w:val="20"/>
                  <w:color w:val="0000FF"/>
                </w:rPr>
                <w:t>Exhibits, Financial Statement Schedules</w:t>
              </w:r>
            </w:hyperlink>
          </w:p>
        </w:tc>
        <w:tc>
          <w:tcPr>
            <w:tcW w:w="780" w:type="dxa"/>
            <w:vAlign w:val="bottom"/>
            <w:tcBorders>
              <w:top w:val="single" w:sz="8" w:color="0000FF"/>
            </w:tcBorders>
            <w:gridSpan w:val="7"/>
          </w:tcPr>
          <w:p>
            <w:pPr>
              <w:spacing w:after="0"/>
              <w:rPr>
                <w:sz w:val="19"/>
                <w:szCs w:val="19"/>
                <w:color w:val="auto"/>
              </w:rPr>
            </w:pPr>
          </w:p>
        </w:tc>
        <w:tc>
          <w:tcPr>
            <w:tcW w:w="4180" w:type="dxa"/>
            <w:vAlign w:val="bottom"/>
            <w:gridSpan w:val="7"/>
          </w:tcPr>
          <w:p>
            <w:pPr>
              <w:spacing w:after="0"/>
              <w:rPr>
                <w:sz w:val="19"/>
                <w:szCs w:val="19"/>
                <w:color w:val="auto"/>
              </w:rPr>
            </w:pPr>
          </w:p>
        </w:tc>
        <w:tc>
          <w:tcPr>
            <w:tcW w:w="1100" w:type="dxa"/>
            <w:vAlign w:val="bottom"/>
            <w:gridSpan w:val="4"/>
          </w:tcPr>
          <w:p>
            <w:pPr>
              <w:jc w:val="center"/>
              <w:spacing w:after="0"/>
              <w:rPr>
                <w:rFonts w:ascii="Arial" w:cs="Arial" w:eastAsia="Arial" w:hAnsi="Arial"/>
                <w:sz w:val="18"/>
                <w:szCs w:val="18"/>
                <w:color w:val="0000FF"/>
                <w:w w:val="86"/>
              </w:rPr>
            </w:pPr>
            <w:hyperlink w:anchor="page125">
              <w:r>
                <w:rPr>
                  <w:rFonts w:ascii="Arial" w:cs="Arial" w:eastAsia="Arial" w:hAnsi="Arial"/>
                  <w:sz w:val="18"/>
                  <w:szCs w:val="18"/>
                  <w:color w:val="0000FF"/>
                  <w:w w:val="86"/>
                </w:rPr>
                <w:t>123</w:t>
              </w:r>
            </w:hyperlink>
          </w:p>
        </w:tc>
        <w:tc>
          <w:tcPr>
            <w:tcW w:w="0" w:type="dxa"/>
            <w:vAlign w:val="bottom"/>
          </w:tcPr>
          <w:p>
            <w:pPr>
              <w:spacing w:after="0"/>
              <w:rPr>
                <w:sz w:val="1"/>
                <w:szCs w:val="1"/>
                <w:color w:val="auto"/>
              </w:rPr>
            </w:pPr>
          </w:p>
        </w:tc>
      </w:tr>
      <w:tr>
        <w:trPr>
          <w:trHeight w:val="20"/>
        </w:trPr>
        <w:tc>
          <w:tcPr>
            <w:tcW w:w="680" w:type="dxa"/>
            <w:vAlign w:val="bottom"/>
            <w:tcBorders>
              <w:top w:val="single" w:sz="8" w:color="0000FF"/>
            </w:tcBorders>
            <w:gridSpan w:val="2"/>
            <w:vMerge w:val="restart"/>
          </w:tcPr>
          <w:p>
            <w:pPr>
              <w:spacing w:after="0" w:line="223" w:lineRule="exact"/>
              <w:rPr>
                <w:rFonts w:ascii="Arial" w:cs="Arial" w:eastAsia="Arial" w:hAnsi="Arial"/>
                <w:sz w:val="20"/>
                <w:szCs w:val="20"/>
                <w:b w:val="1"/>
                <w:bCs w:val="1"/>
                <w:color w:val="0000FF"/>
                <w:w w:val="85"/>
              </w:rPr>
            </w:pPr>
            <w:hyperlink w:anchor="page127">
              <w:r>
                <w:rPr>
                  <w:rFonts w:ascii="Arial" w:cs="Arial" w:eastAsia="Arial" w:hAnsi="Arial"/>
                  <w:sz w:val="20"/>
                  <w:szCs w:val="20"/>
                  <w:b w:val="1"/>
                  <w:bCs w:val="1"/>
                  <w:color w:val="0000FF"/>
                  <w:w w:val="85"/>
                </w:rPr>
                <w:t>Item 16.</w:t>
              </w:r>
            </w:hyperlink>
          </w:p>
        </w:tc>
        <w:tc>
          <w:tcPr>
            <w:tcW w:w="480" w:type="dxa"/>
            <w:vAlign w:val="bottom"/>
            <w:gridSpan w:val="2"/>
            <w:vMerge w:val="restart"/>
          </w:tcPr>
          <w:p>
            <w:pPr>
              <w:spacing w:after="0" w:line="20" w:lineRule="exact"/>
              <w:rPr>
                <w:sz w:val="1"/>
                <w:szCs w:val="1"/>
                <w:color w:val="auto"/>
              </w:rPr>
            </w:pPr>
          </w:p>
        </w:tc>
        <w:tc>
          <w:tcPr>
            <w:tcW w:w="1700" w:type="dxa"/>
            <w:vAlign w:val="bottom"/>
            <w:tcBorders>
              <w:top w:val="single" w:sz="8" w:color="0000FF"/>
            </w:tcBorders>
            <w:gridSpan w:val="5"/>
            <w:shd w:val="clear" w:color="auto" w:fill="0000FF"/>
          </w:tcPr>
          <w:p>
            <w:pPr>
              <w:spacing w:after="0" w:line="20" w:lineRule="exact"/>
              <w:rPr>
                <w:sz w:val="1"/>
                <w:szCs w:val="1"/>
                <w:color w:val="auto"/>
              </w:rPr>
            </w:pPr>
          </w:p>
        </w:tc>
        <w:tc>
          <w:tcPr>
            <w:tcW w:w="1480" w:type="dxa"/>
            <w:vAlign w:val="bottom"/>
            <w:tcBorders>
              <w:top w:val="single" w:sz="8" w:color="0000FF"/>
            </w:tcBorders>
            <w:gridSpan w:val="6"/>
            <w:shd w:val="clear" w:color="auto" w:fill="0000FF"/>
          </w:tcPr>
          <w:p>
            <w:pPr>
              <w:spacing w:after="0" w:line="20" w:lineRule="exact"/>
              <w:rPr>
                <w:sz w:val="1"/>
                <w:szCs w:val="1"/>
                <w:color w:val="auto"/>
              </w:rPr>
            </w:pPr>
          </w:p>
        </w:tc>
        <w:tc>
          <w:tcPr>
            <w:tcW w:w="5940" w:type="dxa"/>
            <w:vAlign w:val="bottom"/>
            <w:gridSpan w:val="1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FF"/>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gridSpan w:val="2"/>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700" w:type="dxa"/>
            <w:vAlign w:val="bottom"/>
            <w:gridSpan w:val="5"/>
          </w:tcPr>
          <w:p>
            <w:pPr>
              <w:spacing w:after="0" w:line="203" w:lineRule="exact"/>
              <w:rPr>
                <w:rFonts w:ascii="Arial" w:cs="Arial" w:eastAsia="Arial" w:hAnsi="Arial"/>
                <w:sz w:val="20"/>
                <w:szCs w:val="20"/>
                <w:color w:val="0000FF"/>
                <w:w w:val="90"/>
              </w:rPr>
            </w:pPr>
            <w:hyperlink w:anchor="page127">
              <w:r>
                <w:rPr>
                  <w:rFonts w:ascii="Arial" w:cs="Arial" w:eastAsia="Arial" w:hAnsi="Arial"/>
                  <w:sz w:val="20"/>
                  <w:szCs w:val="20"/>
                  <w:color w:val="0000FF"/>
                  <w:w w:val="90"/>
                </w:rPr>
                <w:t>Form 10-K Summary</w:t>
              </w:r>
            </w:hyperlink>
          </w:p>
        </w:tc>
        <w:tc>
          <w:tcPr>
            <w:tcW w:w="1480" w:type="dxa"/>
            <w:vAlign w:val="bottom"/>
            <w:gridSpan w:val="6"/>
          </w:tcPr>
          <w:p>
            <w:pPr>
              <w:spacing w:after="0"/>
              <w:rPr>
                <w:sz w:val="17"/>
                <w:szCs w:val="17"/>
                <w:color w:val="auto"/>
              </w:rPr>
            </w:pPr>
          </w:p>
        </w:tc>
        <w:tc>
          <w:tcPr>
            <w:tcW w:w="5940" w:type="dxa"/>
            <w:vAlign w:val="bottom"/>
            <w:gridSpan w:val="17"/>
          </w:tcPr>
          <w:p>
            <w:pPr>
              <w:spacing w:after="0"/>
              <w:rPr>
                <w:sz w:val="17"/>
                <w:szCs w:val="17"/>
                <w:color w:val="auto"/>
              </w:rPr>
            </w:pPr>
          </w:p>
        </w:tc>
        <w:tc>
          <w:tcPr>
            <w:tcW w:w="1100" w:type="dxa"/>
            <w:vAlign w:val="bottom"/>
            <w:gridSpan w:val="4"/>
          </w:tcPr>
          <w:p>
            <w:pPr>
              <w:jc w:val="center"/>
              <w:spacing w:after="0" w:line="203" w:lineRule="exact"/>
              <w:rPr>
                <w:rFonts w:ascii="Arial" w:cs="Arial" w:eastAsia="Arial" w:hAnsi="Arial"/>
                <w:sz w:val="18"/>
                <w:szCs w:val="18"/>
                <w:color w:val="0000FF"/>
                <w:w w:val="86"/>
              </w:rPr>
            </w:pPr>
            <w:hyperlink w:anchor="page127">
              <w:r>
                <w:rPr>
                  <w:rFonts w:ascii="Arial" w:cs="Arial" w:eastAsia="Arial" w:hAnsi="Arial"/>
                  <w:sz w:val="18"/>
                  <w:szCs w:val="18"/>
                  <w:color w:val="0000FF"/>
                  <w:w w:val="86"/>
                </w:rPr>
                <w:t>125</w:t>
              </w:r>
            </w:hyperlink>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Annual Report on Form 10-K include, but are not limited to, statements about:</w:t>
      </w:r>
    </w:p>
    <w:p>
      <w:pPr>
        <w:spacing w:after="0" w:line="193"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attract and retain customers, including large enterprises;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approach to identifying, attracting and keeping new and existing customers, as well as our expectations regarding customer turnover;</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network traffic growth and other trends related to the usage of our products and services;</w:t>
      </w:r>
    </w:p>
    <w:p>
      <w:pPr>
        <w:spacing w:after="0" w:line="242" w:lineRule="exact"/>
        <w:rPr>
          <w:rFonts w:ascii="Arial" w:cs="Arial" w:eastAsia="Arial" w:hAnsi="Arial"/>
          <w:sz w:val="20"/>
          <w:szCs w:val="20"/>
          <w:color w:val="auto"/>
        </w:rPr>
      </w:pPr>
    </w:p>
    <w:p>
      <w:pPr>
        <w:ind w:left="660" w:right="360" w:hanging="328"/>
        <w:spacing w:after="0" w:line="261" w:lineRule="auto"/>
        <w:tabs>
          <w:tab w:leader="none" w:pos="655" w:val="left"/>
        </w:tabs>
        <w:numPr>
          <w:ilvl w:val="0"/>
          <w:numId w:val="1"/>
        </w:numPr>
        <w:rPr>
          <w:rFonts w:ascii="Arial" w:cs="Arial" w:eastAsia="Arial" w:hAnsi="Arial"/>
          <w:sz w:val="21"/>
          <w:szCs w:val="21"/>
          <w:color w:val="auto"/>
        </w:rPr>
      </w:pPr>
      <w:r>
        <w:rPr>
          <w:rFonts w:ascii="Arial" w:cs="Arial" w:eastAsia="Arial" w:hAnsi="Arial"/>
          <w:sz w:val="19"/>
          <w:szCs w:val="19"/>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175" w:lineRule="exact"/>
        <w:rPr>
          <w:rFonts w:ascii="Arial" w:cs="Arial" w:eastAsia="Arial" w:hAnsi="Arial"/>
          <w:sz w:val="21"/>
          <w:szCs w:val="21"/>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the growth of our business and how that impacts our liquidity and capital resources requirements;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sufficiency of our cash and cash equivalents to meet our liquidity needs;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attract, train, and retain qualified employees and key personnel;</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the expense and productivity of and competition for our sales force;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headcount;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maintain and benefit from our corporate culture;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to further invest in and grow our business, and our ability to effectively manage our growth and associated investments;</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introduce new products and services and enhance existing products and services;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compete successfully against current and future competitors;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evolution of technology affecting our products, services and markets;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impact of certain new accounting standards and guidance as well as the time and cost of continued compliance with existing rules and standards;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beliefs regarding the use of Non-GAAP financial measures;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ability to maintain, protect and enhance our intellectual property;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expectations regarding litigation and other pending or potential disputes;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comply with modified or new laws and regulations;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increased expenses associated with being a public company.</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We caution you that the foregoing list may not contain all the forward-looking statements made in this Annual Report on Form 10-K.</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For more than a decade, we have pioneered the Communications Platform-as-a-Service (“CPaaS”) space through our innovation-rich culture and focus on empowering enterprises with end-to-end communications solutions.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solutions address enterprises’ communications needs and we believe they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customers currently include only enterprises, which includes large enterprises, small and medium-sized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Cisco-Webex, Dialpad, RingCentral,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usage-based revenue model allows us to grow with our customers and increase our revenue base as our customers expand their usage of our solutions. Our dollar-based net retention rate, which measures our customers’ increased utilization of our platform, was 111%, 107% and 118% for the years ended December 31, 2016, 2017 and 2018,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continued growing our business in recent periods. For the years ended December 31, 2016, 2017 and 2018, our revenue was $152.1 million, $163.0 million and $204.1 million, respectively, and our net income was $22.4 million, $6.0 million and $17.9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have two reportable segments, CPaaS and Other. Segments are evaluated based on revenue and gross profit. We do not allocate operating expenses, interest expense or income tax expense to our segments. Accordingly, we do not report such information. 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The remainder of our revenue is generated by our Other segment. Other revenue is composed of revenue earned from our legacy services and indirect revenue. See Note 9, “Segment and Geographic Information,” in our consolidated financial statements included elsewhere in this Annual Report on Form 10-K, for additional information about our segments.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Platform</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Bandwidth Communications Platform empowers enterprises to create and scale voice, messaging and 911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cloud-based platform is a proprietary CPaaS offering consisting of voice and messaging solutions: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Voice Software API. </w:t>
      </w:r>
      <w:r>
        <w:rPr>
          <w:rFonts w:ascii="Arial" w:cs="Arial" w:eastAsia="Arial" w:hAnsi="Arial"/>
          <w:sz w:val="20"/>
          <w:szCs w:val="20"/>
          <w:color w:val="auto"/>
        </w:rPr>
        <w:t>We provide flexible software APIs that are used to build voice calling within applications, innovative call flows</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users or machines, call recording, text-to-speech for interactive 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195" w:lineRule="exact"/>
        <w:rPr>
          <w:sz w:val="20"/>
          <w:szCs w:val="20"/>
          <w:color w:val="auto"/>
        </w:rPr>
      </w:pPr>
    </w:p>
    <w:p>
      <w:pPr>
        <w:jc w:val="both"/>
        <w:ind w:left="660" w:hanging="328"/>
        <w:spacing w:after="0" w:line="250" w:lineRule="auto"/>
        <w:tabs>
          <w:tab w:leader="none" w:pos="648"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Enabling local and toll-free numbers via software API</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platform empowers enterprises with a capability to activate and manage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phone numbers instantly and at scale. Using our easy to use software APIs, our enterprise customers can easily add additional lines to their business as well as for their end users.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right="20" w:hanging="328"/>
        <w:spacing w:after="0" w:line="260" w:lineRule="auto"/>
        <w:tabs>
          <w:tab w:leader="none" w:pos="648"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Automating voice communication while preserving privacy</w:t>
      </w:r>
      <w:r>
        <w:rPr>
          <w:rFonts w:ascii="Arial" w:cs="Arial" w:eastAsia="Arial" w:hAnsi="Arial"/>
          <w:sz w:val="20"/>
          <w:szCs w:val="20"/>
          <w:color w:val="auto"/>
        </w:rPr>
        <w:t>: Our software APIs enable voice communication capabilities from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mobile application to an individual or a group with or without disclosing personal identity.</w:t>
      </w:r>
    </w:p>
    <w:p>
      <w:pPr>
        <w:spacing w:after="0" w:line="176" w:lineRule="exact"/>
        <w:rPr>
          <w:rFonts w:ascii="Arial" w:cs="Arial" w:eastAsia="Arial" w:hAnsi="Arial"/>
          <w:sz w:val="20"/>
          <w:szCs w:val="20"/>
          <w:b w:val="1"/>
          <w:bCs w:val="1"/>
          <w:i w:val="1"/>
          <w:iCs w:val="1"/>
          <w:color w:val="auto"/>
        </w:rPr>
      </w:pPr>
    </w:p>
    <w:p>
      <w:pPr>
        <w:jc w:val="both"/>
        <w:ind w:left="660" w:hanging="328"/>
        <w:spacing w:after="0" w:line="250" w:lineRule="auto"/>
        <w:tabs>
          <w:tab w:leader="none" w:pos="648"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Embedding ‘click-to-call’ communication feature</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enhance our enterprise customers’ mobile and web marketing capabilities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embedding click-to-call functionality in their customer outreach, including advertising campaigns, that enables them to connect with consumers instantly.</w:t>
      </w:r>
    </w:p>
    <w:p>
      <w:pPr>
        <w:spacing w:after="0" w:line="186" w:lineRule="exact"/>
        <w:rPr>
          <w:rFonts w:ascii="Arial" w:cs="Arial" w:eastAsia="Arial" w:hAnsi="Arial"/>
          <w:sz w:val="20"/>
          <w:szCs w:val="20"/>
          <w:b w:val="1"/>
          <w:bCs w:val="1"/>
          <w:i w:val="1"/>
          <w:iCs w:val="1"/>
          <w:color w:val="auto"/>
        </w:rPr>
      </w:pPr>
    </w:p>
    <w:p>
      <w:pPr>
        <w:jc w:val="both"/>
        <w:ind w:left="660" w:hanging="328"/>
        <w:spacing w:after="0" w:line="250" w:lineRule="auto"/>
        <w:tabs>
          <w:tab w:leader="none" w:pos="648"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Real-time call analytics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provide our enterprise customers with real-time call analytics through our dashboard that correlates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raw data from calls with CRM records, including the call duration, customer sentiment and other attributes, in order to provide meaningful contextual sales and other business insights.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Messaging Software API. </w:t>
      </w:r>
      <w:r>
        <w:rPr>
          <w:rFonts w:ascii="Arial" w:cs="Arial" w:eastAsia="Arial" w:hAnsi="Arial"/>
          <w:sz w:val="20"/>
          <w:szCs w:val="20"/>
          <w:color w:val="auto"/>
        </w:rPr>
        <w:t>Our software APIs for messaging deliver a complete wireless experience for both P2P and A2P messaging</w:t>
      </w:r>
      <w:r>
        <w:rPr>
          <w:rFonts w:ascii="Arial" w:cs="Arial" w:eastAsia="Arial" w:hAnsi="Arial"/>
          <w:sz w:val="20"/>
          <w:szCs w:val="20"/>
          <w:i w:val="1"/>
          <w:iCs w:val="1"/>
          <w:color w:val="auto"/>
        </w:rPr>
        <w:t xml:space="preserve"> </w:t>
      </w:r>
      <w:r>
        <w:rPr>
          <w:rFonts w:ascii="Arial" w:cs="Arial" w:eastAsia="Arial" w:hAnsi="Arial"/>
          <w:sz w:val="20"/>
          <w:szCs w:val="20"/>
          <w:color w:val="auto"/>
        </w:rPr>
        <w:t>including: delivery receipts, SMS, MMS, long text support, emoji support and bi-directional unicode (international characters) and short codes interoperability. Bandwidth’s messaging services are enabled for both local and toll-free phone numbers. While we provide a wide range of functionalities, some of the common use cases are:</w:t>
      </w:r>
    </w:p>
    <w:p>
      <w:pPr>
        <w:spacing w:after="0" w:line="192" w:lineRule="exact"/>
        <w:rPr>
          <w:sz w:val="20"/>
          <w:szCs w:val="20"/>
          <w:color w:val="auto"/>
        </w:rPr>
      </w:pPr>
    </w:p>
    <w:p>
      <w:pPr>
        <w:jc w:val="both"/>
        <w:ind w:left="660" w:hanging="328"/>
        <w:spacing w:after="0" w:line="246" w:lineRule="auto"/>
        <w:tabs>
          <w:tab w:leader="none" w:pos="648"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Automated real-time notification and alerts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software APIs empower our enterprise customers with predefined functionalities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send and 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191" w:lineRule="exact"/>
        <w:rPr>
          <w:rFonts w:ascii="Arial" w:cs="Arial" w:eastAsia="Arial" w:hAnsi="Arial"/>
          <w:sz w:val="20"/>
          <w:szCs w:val="20"/>
          <w:b w:val="1"/>
          <w:bCs w:val="1"/>
          <w:i w:val="1"/>
          <w:iCs w:val="1"/>
          <w:color w:val="auto"/>
        </w:rPr>
      </w:pPr>
    </w:p>
    <w:p>
      <w:pPr>
        <w:ind w:left="660" w:hanging="328"/>
        <w:spacing w:after="0" w:line="287" w:lineRule="auto"/>
        <w:tabs>
          <w:tab w:leader="none" w:pos="648" w:val="left"/>
        </w:tabs>
        <w:numPr>
          <w:ilvl w:val="0"/>
          <w:numId w:val="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Two-factor authentication</w:t>
      </w:r>
      <w:r>
        <w:rPr>
          <w:rFonts w:ascii="Arial" w:cs="Arial" w:eastAsia="Arial" w:hAnsi="Arial"/>
          <w:sz w:val="19"/>
          <w:szCs w:val="19"/>
          <w:color w:val="auto"/>
        </w:rPr>
        <w:t>: We enable enterprises to verify the identity and maintain security of end users through our software-based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SMS verification service that sends unique codes to end users in order to log in to mobile and web applications.</w:t>
      </w:r>
    </w:p>
    <w:p>
      <w:pPr>
        <w:spacing w:after="0" w:line="152" w:lineRule="exact"/>
        <w:rPr>
          <w:rFonts w:ascii="Arial" w:cs="Arial" w:eastAsia="Arial" w:hAnsi="Arial"/>
          <w:sz w:val="19"/>
          <w:szCs w:val="19"/>
          <w:b w:val="1"/>
          <w:bCs w:val="1"/>
          <w:i w:val="1"/>
          <w:iCs w:val="1"/>
          <w:color w:val="auto"/>
        </w:rPr>
      </w:pPr>
    </w:p>
    <w:p>
      <w:pPr>
        <w:ind w:left="660" w:right="20" w:hanging="328"/>
        <w:spacing w:after="0" w:line="386" w:lineRule="auto"/>
        <w:tabs>
          <w:tab w:leader="none" w:pos="648"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Group messaging</w:t>
      </w:r>
      <w:r>
        <w:rPr>
          <w:rFonts w:ascii="Arial" w:cs="Arial" w:eastAsia="Arial" w:hAnsi="Arial"/>
          <w:sz w:val="16"/>
          <w:szCs w:val="16"/>
          <w:color w:val="auto"/>
        </w:rPr>
        <w:t>: Enterprises utilize our platform to collaborate with their end users on a real-time basis by enabling group messaging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their user community to share messages, videos, carry out polls and surveys amongst other uses without leaving the application.</w:t>
      </w:r>
    </w:p>
    <w:p>
      <w:pPr>
        <w:spacing w:after="0" w:line="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911 Software API. </w:t>
      </w:r>
      <w:r>
        <w:rPr>
          <w:rFonts w:ascii="Arial" w:cs="Arial" w:eastAsia="Arial" w:hAnsi="Arial"/>
          <w:sz w:val="20"/>
          <w:szCs w:val="20"/>
          <w:color w:val="auto"/>
        </w:rPr>
        <w:t>We are the only software platform that provides complete communications solutions with integrated 911 services.</w:t>
      </w:r>
      <w:r>
        <w:rPr>
          <w:rFonts w:ascii="Arial" w:cs="Arial" w:eastAsia="Arial" w:hAnsi="Arial"/>
          <w:sz w:val="20"/>
          <w:szCs w:val="20"/>
          <w:i w:val="1"/>
          <w:iCs w:val="1"/>
          <w:color w:val="auto"/>
        </w:rPr>
        <w:t xml:space="preserve"> </w:t>
      </w:r>
      <w:r>
        <w:rPr>
          <w:rFonts w:ascii="Arial" w:cs="Arial" w:eastAsia="Arial" w:hAnsi="Arial"/>
          <w:sz w:val="20"/>
          <w:szCs w:val="20"/>
          <w:color w:val="auto"/>
        </w:rPr>
        <w:t>We can 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99% of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Benefits of Our Software Platform</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Bandwidth Communications Platform provides the following benefits to the enterprises we serve:</w:t>
      </w:r>
    </w:p>
    <w:p>
      <w:pPr>
        <w:spacing w:after="0" w:line="216" w:lineRule="exact"/>
        <w:rPr>
          <w:sz w:val="20"/>
          <w:szCs w:val="20"/>
          <w:color w:val="auto"/>
        </w:rPr>
      </w:pPr>
    </w:p>
    <w:p>
      <w:pPr>
        <w:jc w:val="both"/>
        <w:ind w:left="660" w:hanging="328"/>
        <w:spacing w:after="0" w:line="246" w:lineRule="auto"/>
        <w:tabs>
          <w:tab w:leader="none" w:pos="648" w:val="left"/>
        </w:tabs>
        <w:numPr>
          <w:ilvl w:val="0"/>
          <w:numId w:val="6"/>
        </w:numPr>
        <w:rPr>
          <w:rFonts w:ascii="Arial" w:cs="Arial" w:eastAsia="Arial" w:hAnsi="Arial"/>
          <w:sz w:val="20"/>
          <w:szCs w:val="20"/>
          <w:i w:val="1"/>
          <w:iCs w:val="1"/>
          <w:color w:val="auto"/>
        </w:rPr>
      </w:pPr>
      <w:r>
        <w:rPr>
          <w:rFonts w:ascii="Arial" w:cs="Arial" w:eastAsia="Arial" w:hAnsi="Arial"/>
          <w:sz w:val="20"/>
          <w:szCs w:val="20"/>
          <w:i w:val="1"/>
          <w:iCs w:val="1"/>
          <w:color w:val="auto"/>
        </w:rPr>
        <w:t>Easy to Build and Deploy</w:t>
      </w:r>
      <w:r>
        <w:rPr>
          <w:rFonts w:ascii="Arial" w:cs="Arial" w:eastAsia="Arial" w:hAnsi="Arial"/>
          <w:sz w:val="20"/>
          <w:szCs w:val="20"/>
          <w:color w:val="auto"/>
        </w:rPr>
        <w:t>. Our easy-to-use, intuitive software APIs are ready to launch and scale from day one. We enable enterprises</w:t>
      </w:r>
      <w:r>
        <w:rPr>
          <w:rFonts w:ascii="Arial" w:cs="Arial" w:eastAsia="Arial" w:hAnsi="Arial"/>
          <w:sz w:val="20"/>
          <w:szCs w:val="20"/>
          <w:i w:val="1"/>
          <w:iCs w:val="1"/>
          <w:color w:val="auto"/>
        </w:rPr>
        <w:t xml:space="preserve"> </w:t>
      </w:r>
      <w:r>
        <w:rPr>
          <w:rFonts w:ascii="Arial" w:cs="Arial" w:eastAsia="Arial" w:hAnsi="Arial"/>
          <w:sz w:val="20"/>
          <w:szCs w:val="20"/>
          <w:color w:val="auto"/>
        </w:rPr>
        <w:t>to rapidly 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hanging="328"/>
        <w:spacing w:after="0" w:line="260" w:lineRule="auto"/>
        <w:tabs>
          <w:tab w:leader="none" w:pos="648" w:val="left"/>
        </w:tabs>
        <w:numPr>
          <w:ilvl w:val="0"/>
          <w:numId w:val="7"/>
        </w:numPr>
        <w:rPr>
          <w:rFonts w:ascii="Arial" w:cs="Arial" w:eastAsia="Arial" w:hAnsi="Arial"/>
          <w:sz w:val="19"/>
          <w:szCs w:val="19"/>
          <w:i w:val="1"/>
          <w:iCs w:val="1"/>
          <w:color w:val="auto"/>
        </w:rPr>
      </w:pPr>
      <w:r>
        <w:rPr>
          <w:rFonts w:ascii="Arial" w:cs="Arial" w:eastAsia="Arial" w:hAnsi="Arial"/>
          <w:sz w:val="19"/>
          <w:szCs w:val="19"/>
          <w:i w:val="1"/>
          <w:iCs w:val="1"/>
          <w:color w:val="auto"/>
        </w:rPr>
        <w:t>Easy to Scale</w:t>
      </w:r>
      <w:r>
        <w:rPr>
          <w:rFonts w:ascii="Arial" w:cs="Arial" w:eastAsia="Arial" w:hAnsi="Arial"/>
          <w:sz w:val="19"/>
          <w:szCs w:val="19"/>
          <w:color w:val="auto"/>
        </w:rPr>
        <w:t>. We enable enterprises to easily scale nationwide at launch, without sacrificing quality, while meeting the most stringent</w:t>
      </w:r>
      <w:r>
        <w:rPr>
          <w:rFonts w:ascii="Arial" w:cs="Arial" w:eastAsia="Arial" w:hAnsi="Arial"/>
          <w:sz w:val="19"/>
          <w:szCs w:val="19"/>
          <w:i w:val="1"/>
          <w:iCs w:val="1"/>
          <w:color w:val="auto"/>
        </w:rPr>
        <w:t xml:space="preserve"> </w:t>
      </w:r>
      <w:r>
        <w:rPr>
          <w:rFonts w:ascii="Arial" w:cs="Arial" w:eastAsia="Arial" w:hAnsi="Arial"/>
          <w:sz w:val="19"/>
          <w:szCs w:val="19"/>
          <w:color w:val="auto"/>
        </w:rPr>
        <w:t>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180" w:lineRule="exact"/>
        <w:rPr>
          <w:rFonts w:ascii="Arial" w:cs="Arial" w:eastAsia="Arial" w:hAnsi="Arial"/>
          <w:sz w:val="19"/>
          <w:szCs w:val="19"/>
          <w:i w:val="1"/>
          <w:iCs w:val="1"/>
          <w:color w:val="auto"/>
        </w:rPr>
      </w:pPr>
    </w:p>
    <w:p>
      <w:pPr>
        <w:jc w:val="both"/>
        <w:ind w:left="660" w:right="20" w:hanging="328"/>
        <w:spacing w:after="0" w:line="291" w:lineRule="auto"/>
        <w:tabs>
          <w:tab w:leader="none" w:pos="648"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software APIs are easy to deploy and use and allow for the creation of solutions to address a broad array of use cases.</w:t>
      </w:r>
      <w:r>
        <w:rPr>
          <w:rFonts w:ascii="Arial" w:cs="Arial" w:eastAsia="Arial" w:hAnsi="Arial"/>
          <w:sz w:val="18"/>
          <w:szCs w:val="18"/>
          <w:i w:val="1"/>
          <w:iCs w:val="1"/>
          <w:color w:val="auto"/>
        </w:rPr>
        <w:t xml:space="preserve"> </w:t>
      </w:r>
      <w:r>
        <w:rPr>
          <w:rFonts w:ascii="Arial" w:cs="Arial" w:eastAsia="Arial" w:hAnsi="Arial"/>
          <w:sz w:val="18"/>
          <w:szCs w:val="18"/>
          <w:color w:val="auto"/>
        </w:rPr>
        <w:t>Our 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Benefits of Our Network</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owned and managed IP voice network provides the following benefits to the enterprises we serve:</w:t>
      </w:r>
    </w:p>
    <w:p>
      <w:pPr>
        <w:spacing w:after="0" w:line="216" w:lineRule="exact"/>
        <w:rPr>
          <w:sz w:val="20"/>
          <w:szCs w:val="20"/>
          <w:color w:val="auto"/>
        </w:rPr>
      </w:pPr>
    </w:p>
    <w:p>
      <w:pPr>
        <w:jc w:val="both"/>
        <w:ind w:left="660" w:hanging="328"/>
        <w:spacing w:after="0" w:line="250" w:lineRule="auto"/>
        <w:tabs>
          <w:tab w:leader="none" w:pos="648" w:val="left"/>
        </w:tabs>
        <w:numPr>
          <w:ilvl w:val="0"/>
          <w:numId w:val="8"/>
        </w:numPr>
        <w:rPr>
          <w:rFonts w:ascii="Arial" w:cs="Arial" w:eastAsia="Arial" w:hAnsi="Arial"/>
          <w:sz w:val="20"/>
          <w:szCs w:val="20"/>
          <w:i w:val="1"/>
          <w:iCs w:val="1"/>
          <w:color w:val="auto"/>
        </w:rPr>
      </w:pPr>
      <w:r>
        <w:rPr>
          <w:rFonts w:ascii="Arial" w:cs="Arial" w:eastAsia="Arial" w:hAnsi="Arial"/>
          <w:sz w:val="20"/>
          <w:szCs w:val="20"/>
          <w:i w:val="1"/>
          <w:iCs w:val="1"/>
          <w:color w:val="auto"/>
        </w:rPr>
        <w:t>Enhanced Quality and Reliability</w:t>
      </w:r>
      <w:r>
        <w:rPr>
          <w:rFonts w:ascii="Arial" w:cs="Arial" w:eastAsia="Arial" w:hAnsi="Arial"/>
          <w:sz w:val="20"/>
          <w:szCs w:val="20"/>
          <w:color w:val="auto"/>
        </w:rPr>
        <w:t>. We offer greater levels of quality and delivery assurance than providers offering services across the</w:t>
      </w:r>
      <w:r>
        <w:rPr>
          <w:rFonts w:ascii="Arial" w:cs="Arial" w:eastAsia="Arial" w:hAnsi="Arial"/>
          <w:sz w:val="20"/>
          <w:szCs w:val="20"/>
          <w:i w:val="1"/>
          <w:iCs w:val="1"/>
          <w:color w:val="auto"/>
        </w:rPr>
        <w:t xml:space="preserve"> </w:t>
      </w:r>
      <w:r>
        <w:rPr>
          <w:rFonts w:ascii="Arial" w:cs="Arial" w:eastAsia="Arial" w:hAnsi="Arial"/>
          <w:sz w:val="20"/>
          <w:szCs w:val="20"/>
          <w:color w:val="auto"/>
        </w:rPr>
        <w:t>public Internet or through partnerships. As a result, the enterprises we serve have enjoyed 99.9% network uptime in 2018 and we have not experienced any material system failures in the past three years.</w:t>
      </w:r>
    </w:p>
    <w:p>
      <w:pPr>
        <w:spacing w:after="0" w:line="186" w:lineRule="exact"/>
        <w:rPr>
          <w:rFonts w:ascii="Arial" w:cs="Arial" w:eastAsia="Arial" w:hAnsi="Arial"/>
          <w:sz w:val="20"/>
          <w:szCs w:val="20"/>
          <w:i w:val="1"/>
          <w:iCs w:val="1"/>
          <w:color w:val="auto"/>
        </w:rPr>
      </w:pPr>
    </w:p>
    <w:p>
      <w:pPr>
        <w:jc w:val="both"/>
        <w:ind w:left="660" w:hanging="328"/>
        <w:spacing w:after="0" w:line="260" w:lineRule="auto"/>
        <w:tabs>
          <w:tab w:leader="none" w:pos="648"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Total Accountability. </w:t>
      </w:r>
      <w:r>
        <w:rPr>
          <w:rFonts w:ascii="Arial" w:cs="Arial" w:eastAsia="Arial" w:hAnsi="Arial"/>
          <w:sz w:val="19"/>
          <w:szCs w:val="19"/>
          <w:color w:val="auto"/>
        </w:rPr>
        <w:t>The ability to vertically integrate our software platform with our own IP voice network provides us with a</w:t>
      </w:r>
      <w:r>
        <w:rPr>
          <w:rFonts w:ascii="Arial" w:cs="Arial" w:eastAsia="Arial" w:hAnsi="Arial"/>
          <w:sz w:val="19"/>
          <w:szCs w:val="19"/>
          <w:i w:val="1"/>
          <w:iCs w:val="1"/>
          <w:color w:val="auto"/>
        </w:rPr>
        <w:t xml:space="preserve"> </w:t>
      </w:r>
      <w:r>
        <w:rPr>
          <w:rFonts w:ascii="Arial" w:cs="Arial" w:eastAsia="Arial" w:hAnsi="Arial"/>
          <w:sz w:val="19"/>
          <w:szCs w:val="19"/>
          <w:color w:val="auto"/>
        </w:rPr>
        <w:t>differentiated 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 that we provide high quality service and give them peace of mind and confidence in our service.</w:t>
      </w:r>
    </w:p>
    <w:p>
      <w:pPr>
        <w:spacing w:after="0" w:line="180" w:lineRule="exact"/>
        <w:rPr>
          <w:rFonts w:ascii="Arial" w:cs="Arial" w:eastAsia="Arial" w:hAnsi="Arial"/>
          <w:sz w:val="19"/>
          <w:szCs w:val="19"/>
          <w:i w:val="1"/>
          <w:iCs w:val="1"/>
          <w:color w:val="auto"/>
        </w:rPr>
      </w:pPr>
    </w:p>
    <w:p>
      <w:pPr>
        <w:jc w:val="both"/>
        <w:ind w:left="660" w:hanging="328"/>
        <w:spacing w:after="0" w:line="263" w:lineRule="auto"/>
        <w:tabs>
          <w:tab w:leader="none" w:pos="648"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Lower Total Cost to Our Customers</w:t>
      </w:r>
      <w:r>
        <w:rPr>
          <w:rFonts w:ascii="Arial" w:cs="Arial" w:eastAsia="Arial" w:hAnsi="Arial"/>
          <w:sz w:val="19"/>
          <w:szCs w:val="19"/>
          <w:color w:val="auto"/>
        </w:rPr>
        <w:t>. The differentiated pairing of our software combined with owning the delivery capability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our IP 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Competitive Strengths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our 20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United States that we have built and operate. Our innovation-rich culture, customer-centric solutions and track record of successful execution provide us with the following competitive strengths:</w:t>
      </w:r>
    </w:p>
    <w:p>
      <w:pPr>
        <w:spacing w:after="0" w:line="195" w:lineRule="exact"/>
        <w:rPr>
          <w:sz w:val="20"/>
          <w:szCs w:val="20"/>
          <w:color w:val="auto"/>
        </w:rPr>
      </w:pPr>
    </w:p>
    <w:p>
      <w:pPr>
        <w:jc w:val="both"/>
        <w:ind w:left="660" w:hanging="328"/>
        <w:spacing w:after="0" w:line="244" w:lineRule="auto"/>
        <w:tabs>
          <w:tab w:leader="none" w:pos="648" w:val="left"/>
        </w:tabs>
        <w:numPr>
          <w:ilvl w:val="0"/>
          <w:numId w:val="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Highly Scalable Platform Built for the Enterprise. </w:t>
      </w:r>
      <w:r>
        <w:rPr>
          <w:rFonts w:ascii="Arial" w:cs="Arial" w:eastAsia="Arial" w:hAnsi="Arial"/>
          <w:sz w:val="20"/>
          <w:szCs w:val="20"/>
          <w:color w:val="auto"/>
        </w:rPr>
        <w:t>We built our Bandwidth Communications Platform from the ground up as an</w:t>
      </w:r>
      <w:r>
        <w:rPr>
          <w:rFonts w:ascii="Arial" w:cs="Arial" w:eastAsia="Arial" w:hAnsi="Arial"/>
          <w:sz w:val="20"/>
          <w:szCs w:val="20"/>
          <w:i w:val="1"/>
          <w:iCs w:val="1"/>
          <w:color w:val="auto"/>
        </w:rPr>
        <w:t xml:space="preserve"> </w:t>
      </w:r>
      <w:r>
        <w:rPr>
          <w:rFonts w:ascii="Arial" w:cs="Arial" w:eastAsia="Arial" w:hAnsi="Arial"/>
          <w:sz w:val="20"/>
          <w:szCs w:val="20"/>
          <w:color w:val="auto"/>
        </w:rPr>
        <w:t>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194" w:lineRule="exact"/>
        <w:rPr>
          <w:rFonts w:ascii="Arial" w:cs="Arial" w:eastAsia="Arial" w:hAnsi="Arial"/>
          <w:sz w:val="20"/>
          <w:szCs w:val="20"/>
          <w:i w:val="1"/>
          <w:iCs w:val="1"/>
          <w:color w:val="auto"/>
        </w:rPr>
      </w:pPr>
    </w:p>
    <w:p>
      <w:pPr>
        <w:jc w:val="both"/>
        <w:ind w:left="660" w:hanging="328"/>
        <w:spacing w:after="0" w:line="269" w:lineRule="auto"/>
        <w:tabs>
          <w:tab w:leader="none" w:pos="648" w:val="left"/>
        </w:tabs>
        <w:numPr>
          <w:ilvl w:val="0"/>
          <w:numId w:val="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Broadest, Most Complete Solutions in the Industry. </w:t>
      </w:r>
      <w:r>
        <w:rPr>
          <w:rFonts w:ascii="Arial" w:cs="Arial" w:eastAsia="Arial" w:hAnsi="Arial"/>
          <w:sz w:val="19"/>
          <w:szCs w:val="19"/>
          <w:color w:val="auto"/>
        </w:rPr>
        <w:t>We provide enterprises the broadest, most complete communications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solutions in the industry through our integrated software and IP voice network. Our large library of voice and text APIs enables our customers to incorporate into their products and services a broad range of capabilities not otherwise attainable.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hanging="328"/>
        <w:spacing w:after="0" w:line="282" w:lineRule="auto"/>
        <w:tabs>
          <w:tab w:leader="none" w:pos="648"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IP Voice Network. </w:t>
      </w:r>
      <w:r>
        <w:rPr>
          <w:rFonts w:ascii="Arial" w:cs="Arial" w:eastAsia="Arial" w:hAnsi="Arial"/>
          <w:sz w:val="18"/>
          <w:szCs w:val="18"/>
          <w:color w:val="auto"/>
        </w:rPr>
        <w:t>Our Bandwidth Communications Platform’s IP voice network, which we own and operate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w:t>
      </w:r>
    </w:p>
    <w:p>
      <w:pPr>
        <w:spacing w:after="0" w:line="161" w:lineRule="exact"/>
        <w:rPr>
          <w:rFonts w:ascii="Arial" w:cs="Arial" w:eastAsia="Arial" w:hAnsi="Arial"/>
          <w:sz w:val="18"/>
          <w:szCs w:val="18"/>
          <w:i w:val="1"/>
          <w:iCs w:val="1"/>
          <w:color w:val="auto"/>
        </w:rPr>
      </w:pPr>
    </w:p>
    <w:p>
      <w:pPr>
        <w:jc w:val="both"/>
        <w:ind w:left="660" w:hanging="328"/>
        <w:spacing w:after="0" w:line="269" w:lineRule="auto"/>
        <w:tabs>
          <w:tab w:leader="none" w:pos="648" w:val="left"/>
        </w:tabs>
        <w:numPr>
          <w:ilvl w:val="0"/>
          <w:numId w:val="1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Deep Experience and Expertise in Voice and Messaging. </w:t>
      </w:r>
      <w:r>
        <w:rPr>
          <w:rFonts w:ascii="Arial" w:cs="Arial" w:eastAsia="Arial" w:hAnsi="Arial"/>
          <w:sz w:val="19"/>
          <w:szCs w:val="19"/>
          <w:color w:val="auto"/>
        </w:rPr>
        <w:t>The combination of our versatile software API platform and our IP voice</w:t>
      </w:r>
      <w:r>
        <w:rPr>
          <w:rFonts w:ascii="Arial" w:cs="Arial" w:eastAsia="Arial" w:hAnsi="Arial"/>
          <w:sz w:val="19"/>
          <w:szCs w:val="19"/>
          <w:i w:val="1"/>
          <w:iCs w:val="1"/>
          <w:color w:val="auto"/>
        </w:rPr>
        <w:t xml:space="preserve"> </w:t>
      </w:r>
      <w:r>
        <w:rPr>
          <w:rFonts w:ascii="Arial" w:cs="Arial" w:eastAsia="Arial" w:hAnsi="Arial"/>
          <w:sz w:val="19"/>
          <w:szCs w:val="19"/>
          <w:color w:val="auto"/>
        </w:rPr>
        <w:t>network control allows us to offer not just best efforts, but best-in-class voice and messaging solutions for enterprises. Our senior leadership team has a combined 132 years of industry experience and an average tenure with Bandwidth of 11 years.</w:t>
      </w:r>
    </w:p>
    <w:p>
      <w:pPr>
        <w:spacing w:after="0" w:line="170" w:lineRule="exact"/>
        <w:rPr>
          <w:rFonts w:ascii="Arial" w:cs="Arial" w:eastAsia="Arial" w:hAnsi="Arial"/>
          <w:sz w:val="19"/>
          <w:szCs w:val="19"/>
          <w:i w:val="1"/>
          <w:iCs w:val="1"/>
          <w:color w:val="auto"/>
        </w:rPr>
      </w:pPr>
    </w:p>
    <w:p>
      <w:pPr>
        <w:jc w:val="both"/>
        <w:ind w:left="660" w:hanging="328"/>
        <w:spacing w:after="0" w:line="243" w:lineRule="auto"/>
        <w:tabs>
          <w:tab w:leader="none" w:pos="648" w:val="left"/>
        </w:tabs>
        <w:numPr>
          <w:ilvl w:val="0"/>
          <w:numId w:val="1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Growing, Long-Term Relationships with Low Customer Churn. </w:t>
      </w:r>
      <w:r>
        <w:rPr>
          <w:rFonts w:ascii="Arial" w:cs="Arial" w:eastAsia="Arial" w:hAnsi="Arial"/>
          <w:sz w:val="20"/>
          <w:szCs w:val="20"/>
          <w:color w:val="auto"/>
        </w:rPr>
        <w:t>We deliver comprehensive solutions that address the unique and</w:t>
      </w:r>
      <w:r>
        <w:rPr>
          <w:rFonts w:ascii="Arial" w:cs="Arial" w:eastAsia="Arial" w:hAnsi="Arial"/>
          <w:sz w:val="20"/>
          <w:szCs w:val="20"/>
          <w:i w:val="1"/>
          <w:iCs w:val="1"/>
          <w:color w:val="auto"/>
        </w:rPr>
        <w:t xml:space="preserve"> </w:t>
      </w:r>
      <w:r>
        <w:rPr>
          <w:rFonts w:ascii="Arial" w:cs="Arial" w:eastAsia="Arial" w:hAnsi="Arial"/>
          <w:sz w:val="20"/>
          <w:szCs w:val="20"/>
          <w:color w:val="auto"/>
        </w:rPr>
        <w:t>complex 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in 2018, our customers have expressed a 97% satisfaction rate.</w:t>
      </w:r>
    </w:p>
    <w:p>
      <w:pPr>
        <w:spacing w:after="0" w:line="193" w:lineRule="exact"/>
        <w:rPr>
          <w:rFonts w:ascii="Arial" w:cs="Arial" w:eastAsia="Arial" w:hAnsi="Arial"/>
          <w:sz w:val="20"/>
          <w:szCs w:val="20"/>
          <w:i w:val="1"/>
          <w:iCs w:val="1"/>
          <w:color w:val="auto"/>
        </w:rPr>
      </w:pPr>
    </w:p>
    <w:p>
      <w:pPr>
        <w:jc w:val="both"/>
        <w:ind w:left="660" w:hanging="328"/>
        <w:spacing w:after="0" w:line="246" w:lineRule="auto"/>
        <w:tabs>
          <w:tab w:leader="none" w:pos="648" w:val="left"/>
        </w:tabs>
        <w:numPr>
          <w:ilvl w:val="0"/>
          <w:numId w:val="1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CPaaS-Based 911 Network Capabilities. </w:t>
      </w:r>
      <w:r>
        <w:rPr>
          <w:rFonts w:ascii="Arial" w:cs="Arial" w:eastAsia="Arial" w:hAnsi="Arial"/>
          <w:sz w:val="20"/>
          <w:szCs w:val="20"/>
          <w:color w:val="auto"/>
        </w:rPr>
        <w:t>We believe we are the only CPaaS software provider with 911 capabilities. We believe our 911</w:t>
      </w:r>
      <w:r>
        <w:rPr>
          <w:rFonts w:ascii="Arial" w:cs="Arial" w:eastAsia="Arial" w:hAnsi="Arial"/>
          <w:sz w:val="20"/>
          <w:szCs w:val="20"/>
          <w:i w:val="1"/>
          <w:iCs w:val="1"/>
          <w:color w:val="auto"/>
        </w:rPr>
        <w:t xml:space="preserve"> </w:t>
      </w:r>
      <w:r>
        <w:rPr>
          <w:rFonts w:ascii="Arial" w:cs="Arial" w:eastAsia="Arial" w:hAnsi="Arial"/>
          <w:sz w:val="20"/>
          <w:szCs w:val="20"/>
          <w:color w:val="auto"/>
        </w:rPr>
        <w:t>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Growth Strategy</w:t>
      </w:r>
    </w:p>
    <w:p>
      <w:pPr>
        <w:spacing w:after="0" w:line="222" w:lineRule="exact"/>
        <w:rPr>
          <w:sz w:val="20"/>
          <w:szCs w:val="20"/>
          <w:color w:val="auto"/>
        </w:rPr>
      </w:pPr>
    </w:p>
    <w:p>
      <w:pPr>
        <w:jc w:val="both"/>
        <w:ind w:left="660" w:hanging="328"/>
        <w:spacing w:after="0" w:line="291" w:lineRule="auto"/>
        <w:tabs>
          <w:tab w:leader="none" w:pos="648"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Existing Enterprise Relationships. </w:t>
      </w:r>
      <w:r>
        <w:rPr>
          <w:rFonts w:ascii="Arial" w:cs="Arial" w:eastAsia="Arial" w:hAnsi="Arial"/>
          <w:sz w:val="18"/>
          <w:szCs w:val="18"/>
          <w:color w:val="auto"/>
        </w:rPr>
        <w:t>We will continue to expand our relationships with our existing enterprise customers.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151" w:lineRule="exact"/>
        <w:rPr>
          <w:rFonts w:ascii="Arial" w:cs="Arial" w:eastAsia="Arial" w:hAnsi="Arial"/>
          <w:sz w:val="18"/>
          <w:szCs w:val="18"/>
          <w:i w:val="1"/>
          <w:iCs w:val="1"/>
          <w:color w:val="auto"/>
        </w:rPr>
      </w:pPr>
    </w:p>
    <w:p>
      <w:pPr>
        <w:jc w:val="both"/>
        <w:ind w:left="660" w:hanging="328"/>
        <w:spacing w:after="0" w:line="250" w:lineRule="auto"/>
        <w:tabs>
          <w:tab w:leader="none" w:pos="648" w:val="left"/>
        </w:tabs>
        <w:numPr>
          <w:ilvl w:val="0"/>
          <w:numId w:val="1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Grow Our Enterprise Customer Base. </w:t>
      </w:r>
      <w:r>
        <w:rPr>
          <w:rFonts w:ascii="Arial" w:cs="Arial" w:eastAsia="Arial" w:hAnsi="Arial"/>
          <w:sz w:val="20"/>
          <w:szCs w:val="20"/>
          <w:color w:val="auto"/>
        </w:rPr>
        <w:t>We believe there is a substantial opportunity to increase our enterprise customer base across a</w:t>
      </w:r>
      <w:r>
        <w:rPr>
          <w:rFonts w:ascii="Arial" w:cs="Arial" w:eastAsia="Arial" w:hAnsi="Arial"/>
          <w:sz w:val="20"/>
          <w:szCs w:val="20"/>
          <w:i w:val="1"/>
          <w:iCs w:val="1"/>
          <w:color w:val="auto"/>
        </w:rPr>
        <w:t xml:space="preserve"> </w:t>
      </w:r>
      <w:r>
        <w:rPr>
          <w:rFonts w:ascii="Arial" w:cs="Arial" w:eastAsia="Arial" w:hAnsi="Arial"/>
          <w:sz w:val="20"/>
          <w:szCs w:val="20"/>
          <w:color w:val="auto"/>
        </w:rPr>
        <w:t>broad range of industries and companies. We plan to continue to grow and invest in our direct sales force and marketing to increase our enterprise customer base.</w:t>
      </w:r>
    </w:p>
    <w:p>
      <w:pPr>
        <w:spacing w:after="0" w:line="186" w:lineRule="exact"/>
        <w:rPr>
          <w:rFonts w:ascii="Arial" w:cs="Arial" w:eastAsia="Arial" w:hAnsi="Arial"/>
          <w:sz w:val="20"/>
          <w:szCs w:val="20"/>
          <w:i w:val="1"/>
          <w:iCs w:val="1"/>
          <w:color w:val="auto"/>
        </w:rPr>
      </w:pPr>
    </w:p>
    <w:p>
      <w:pPr>
        <w:jc w:val="both"/>
        <w:ind w:left="660" w:hanging="328"/>
        <w:spacing w:after="0" w:line="259" w:lineRule="auto"/>
        <w:tabs>
          <w:tab w:leader="none" w:pos="648" w:val="left"/>
        </w:tabs>
        <w:numPr>
          <w:ilvl w:val="0"/>
          <w:numId w:val="1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Continue to Innovate Our Platform. </w:t>
      </w:r>
      <w:r>
        <w:rPr>
          <w:rFonts w:ascii="Arial" w:cs="Arial" w:eastAsia="Arial" w:hAnsi="Arial"/>
          <w:sz w:val="19"/>
          <w:szCs w:val="19"/>
          <w:color w:val="auto"/>
        </w:rPr>
        <w:t>We are committed to building on our track record of leveraging our innovative product capabilities</w:t>
      </w:r>
      <w:r>
        <w:rPr>
          <w:rFonts w:ascii="Arial" w:cs="Arial" w:eastAsia="Arial" w:hAnsi="Arial"/>
          <w:sz w:val="19"/>
          <w:szCs w:val="19"/>
          <w:i w:val="1"/>
          <w:iCs w:val="1"/>
          <w:color w:val="auto"/>
        </w:rPr>
        <w:t xml:space="preserve"> </w:t>
      </w:r>
      <w:r>
        <w:rPr>
          <w:rFonts w:ascii="Arial" w:cs="Arial" w:eastAsia="Arial" w:hAnsi="Arial"/>
          <w:sz w:val="19"/>
          <w:szCs w:val="19"/>
          <w:color w:val="auto"/>
        </w:rPr>
        <w:t>to meet our customers’ needs, just as we have done throughout our history,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and help our enterprise customers succeed as communications technologies evolve.</w:t>
      </w:r>
    </w:p>
    <w:p>
      <w:pPr>
        <w:spacing w:after="0" w:line="178" w:lineRule="exact"/>
        <w:rPr>
          <w:rFonts w:ascii="Arial" w:cs="Arial" w:eastAsia="Arial" w:hAnsi="Arial"/>
          <w:sz w:val="19"/>
          <w:szCs w:val="19"/>
          <w:i w:val="1"/>
          <w:iCs w:val="1"/>
          <w:color w:val="auto"/>
        </w:rPr>
      </w:pPr>
    </w:p>
    <w:p>
      <w:pPr>
        <w:jc w:val="both"/>
        <w:ind w:left="660" w:hanging="328"/>
        <w:spacing w:after="0" w:line="246" w:lineRule="auto"/>
        <w:tabs>
          <w:tab w:leader="none" w:pos="648" w:val="left"/>
        </w:tabs>
        <w:numPr>
          <w:ilvl w:val="0"/>
          <w:numId w:val="1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Continue Our Focus on Enterprise Customer Satisfaction. </w:t>
      </w:r>
      <w:r>
        <w:rPr>
          <w:rFonts w:ascii="Arial" w:cs="Arial" w:eastAsia="Arial" w:hAnsi="Arial"/>
          <w:sz w:val="20"/>
          <w:szCs w:val="20"/>
          <w:color w:val="auto"/>
        </w:rPr>
        <w:t>We intend to continue focusing on delivering world-class services and</w:t>
      </w:r>
      <w:r>
        <w:rPr>
          <w:rFonts w:ascii="Arial" w:cs="Arial" w:eastAsia="Arial" w:hAnsi="Arial"/>
          <w:sz w:val="20"/>
          <w:szCs w:val="20"/>
          <w:i w:val="1"/>
          <w:iCs w:val="1"/>
          <w:color w:val="auto"/>
        </w:rPr>
        <w:t xml:space="preserve"> </w:t>
      </w:r>
      <w:r>
        <w:rPr>
          <w:rFonts w:ascii="Arial" w:cs="Arial" w:eastAsia="Arial" w:hAnsi="Arial"/>
          <w:sz w:val="20"/>
          <w:szCs w:val="20"/>
          <w:color w:val="auto"/>
        </w:rPr>
        <w:t>support to 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hanging="328"/>
        <w:spacing w:after="0" w:line="246" w:lineRule="auto"/>
        <w:tabs>
          <w:tab w:leader="none" w:pos="648" w:val="left"/>
        </w:tabs>
        <w:numPr>
          <w:ilvl w:val="0"/>
          <w:numId w:val="1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Explore the Development and Growth of Our International Offerings. </w:t>
      </w:r>
      <w:r>
        <w:rPr>
          <w:rFonts w:ascii="Arial" w:cs="Arial" w:eastAsia="Arial" w:hAnsi="Arial"/>
          <w:sz w:val="20"/>
          <w:szCs w:val="20"/>
          <w:color w:val="auto"/>
        </w:rPr>
        <w:t>Today, our international services are limited to outbound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 calling and outbound international messaging. Some of our enterprise customers operate globally or have plans to do so. Accordingly, we are actively exploring international expansion opportunities, including those where we might have a cost or quality advantage in serving our customers.</w:t>
      </w:r>
    </w:p>
    <w:p>
      <w:pPr>
        <w:spacing w:after="0" w:line="191"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12"/>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Pursue Acquisitions and Strategic Investments Selectively. </w:t>
      </w:r>
      <w:r>
        <w:rPr>
          <w:rFonts w:ascii="Arial" w:cs="Arial" w:eastAsia="Arial" w:hAnsi="Arial"/>
          <w:sz w:val="20"/>
          <w:szCs w:val="20"/>
          <w:color w:val="auto"/>
        </w:rPr>
        <w:t>We may selectively pursue acquisitions and strategic investments 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businesses and technologies that strengthen our platform.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Customers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a broad and diversified customer base. We benefit from longstanding relationships with well-recognized enterprise customers, as well as small and medium-sized businesses. Many of our customers have multi-year contracts, with no single customer representing 10% of CPaaS revenue for the year ended December 31, 2018.</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December 31, 2018, we had 150 employees in our sales and marketing organization.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Our ability to compete depends in large part on our continuous commitment to research and development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December 31, 2018, we had 156 employees in our R&amp;D organization.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CPaaS market is rapidly evolving and increasingly competitive. We believe that the principal competitive factors in our market are:</w:t>
      </w:r>
    </w:p>
    <w:p>
      <w:pPr>
        <w:spacing w:after="0" w:line="23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platform scalability, reliability and performance;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network control and quality;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completeness of offering;</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ease of integration and programmability;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product features;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customer support;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ability to deliver measurable value and savings;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cost of deploying and using our service offerings;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strength of sales and marketing efforts;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brand awareness and reputation;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credibility with product executives and developers.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believe that we compete favorably based on the factors listed above and believe that none of our competitors currently competes directly with us across all our product offerings.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competitors fall into two primary categories:</w:t>
      </w:r>
    </w:p>
    <w:p>
      <w:pPr>
        <w:spacing w:after="0" w:line="216" w:lineRule="exact"/>
        <w:rPr>
          <w:sz w:val="20"/>
          <w:szCs w:val="20"/>
          <w:color w:val="auto"/>
        </w:rPr>
      </w:pPr>
    </w:p>
    <w:p>
      <w:pPr>
        <w:ind w:left="660" w:hanging="328"/>
        <w:spacing w:after="0" w:line="260"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network service providers that offer limited developer functionality on top of their own networks and physical infrastructure, such as AT&amp;T, CenturyLink and Verizon.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rely on a combination of patent, copyright, trademark and trade secret laws in the United States and other jurisdictions, as well as license agreements and other contractual protections, to protect our proprietary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technology. We also rely on registered and unregistered trademarks to protect our brand.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2018, we had eight U.S. patents and two U.S. patent applications pending. In addition, as of December 31, 2018, we had fifteen registered trademarks.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2018, we had a total of 611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General</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Federal Telecommunications Regulation</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Federal Communications Commission (“FCC”) has jurisdiction over interstate and international telecommunications services. We have obtained FCC authorization to provide services on a facilities and resale basis, as well as via a wireless telecommunications license.</w:t>
      </w:r>
    </w:p>
    <w:p>
      <w:pPr>
        <w:spacing w:after="0" w:line="1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 challenges that has arisen is fraud and abuse in the form of illegal robocalling and unwanted text messaging. The FCC has initiated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several proceedings to understand and address fraud and abuse, illegal robocalling and unwanted text messaging. Much of the FCC’s efforts to thwart illegal robocalling involve or relate to the Telephone Consumer Protection Act of 1991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VoIP Regulation</w:t>
      </w:r>
      <w:r>
        <w:rPr>
          <w:rFonts w:ascii="Arial" w:cs="Arial" w:eastAsia="Arial" w:hAnsi="Arial"/>
          <w:sz w:val="19"/>
          <w:szCs w:val="19"/>
          <w:color w:val="auto"/>
        </w:rPr>
        <w:t>. Some of our communications services provided through our software APIs may qualify as Voice-over Internet</w:t>
      </w:r>
      <w:r>
        <w:rPr>
          <w:rFonts w:ascii="Arial" w:cs="Arial" w:eastAsia="Arial" w:hAnsi="Arial"/>
          <w:sz w:val="19"/>
          <w:szCs w:val="19"/>
          <w:i w:val="1"/>
          <w:iCs w:val="1"/>
          <w:color w:val="auto"/>
        </w:rPr>
        <w:t xml:space="preserve"> </w:t>
      </w:r>
      <w:r>
        <w:rPr>
          <w:rFonts w:ascii="Arial" w:cs="Arial" w:eastAsia="Arial" w:hAnsi="Arial"/>
          <w:sz w:val="19"/>
          <w:szCs w:val="19"/>
          <w:color w:val="auto"/>
        </w:rPr>
        <w:t>Protocol (“VoIP”). The FCC has imposed various 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Universal Service</w:t>
      </w:r>
      <w:r>
        <w:rPr>
          <w:rFonts w:ascii="Arial" w:cs="Arial" w:eastAsia="Arial" w:hAnsi="Arial"/>
          <w:sz w:val="20"/>
          <w:szCs w:val="20"/>
          <w:color w:val="auto"/>
        </w:rPr>
        <w:t>. Some of our services are subject to federal and state regulations that implement universal service support for access</w:t>
      </w:r>
      <w:r>
        <w:rPr>
          <w:rFonts w:ascii="Arial" w:cs="Arial" w:eastAsia="Arial" w:hAnsi="Arial"/>
          <w:sz w:val="20"/>
          <w:szCs w:val="20"/>
          <w:i w:val="1"/>
          <w:iCs w:val="1"/>
          <w:color w:val="auto"/>
        </w:rPr>
        <w:t xml:space="preserve"> </w:t>
      </w:r>
      <w:r>
        <w:rPr>
          <w:rFonts w:ascii="Arial" w:cs="Arial" w:eastAsia="Arial" w:hAnsi="Arial"/>
          <w:sz w:val="20"/>
          <w:szCs w:val="20"/>
          <w:color w:val="auto"/>
        </w:rPr>
        <w:t>to 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certain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9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Intercarrier Compensation. </w:t>
      </w:r>
      <w:r>
        <w:rPr>
          <w:rFonts w:ascii="Arial" w:cs="Arial" w:eastAsia="Arial" w:hAnsi="Arial"/>
          <w:sz w:val="18"/>
          <w:szCs w:val="18"/>
          <w:color w:val="auto"/>
        </w:rPr>
        <w:t>Telecommunications carriers compensate one another for traffic carried on each other’s networks.</w:t>
      </w:r>
      <w:r>
        <w:rPr>
          <w:rFonts w:ascii="Arial" w:cs="Arial" w:eastAsia="Arial" w:hAnsi="Arial"/>
          <w:sz w:val="18"/>
          <w:szCs w:val="18"/>
          <w:i w:val="1"/>
          <w:iCs w:val="1"/>
          <w:color w:val="auto"/>
        </w:rPr>
        <w:t xml:space="preserve"> </w:t>
      </w:r>
      <w:r>
        <w:rPr>
          <w:rFonts w:ascii="Arial" w:cs="Arial" w:eastAsia="Arial" w:hAnsi="Arial"/>
          <w:sz w:val="18"/>
          <w:szCs w:val="18"/>
          <w:color w:val="auto"/>
        </w:rPr>
        <w:t>Interexchange carriers 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were reduced to zero over, as relevant to us, generally a six-year transition period that began July 1, 2012.</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 that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State Telecommunications Regulation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1996 Act intended to increase competition in the telecommunications industry, especially in the local market. With respect to local services, incumbent local exchange carriers (“ILECs”) such as AT&amp;T are required to allow interconnection to their incumbent networks and to provide access to network facilities, as well as several other pro-competitive measures.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7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Bandwidth Inc. was founded in July 2000 and incorporated in Delaware on March 29, 2001. Our principal executive offices are located at 900 Main Campus Drive, Raleigh, NC 27606, and our telephone number is (800) 808-5150. Our website address is www.bandwidth.com. Information contained on, or that can be accessed through, our website does not constitute part of this Annual Report on Form 10-K.</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information can be found, free of charge, on our corporate website at https://www.bandwidth.com/:</w:t>
      </w:r>
    </w:p>
    <w:p>
      <w:pPr>
        <w:spacing w:after="0" w:line="216" w:lineRule="exact"/>
        <w:rPr>
          <w:sz w:val="20"/>
          <w:szCs w:val="20"/>
          <w:color w:val="auto"/>
        </w:rPr>
      </w:pPr>
    </w:p>
    <w:p>
      <w:pPr>
        <w:jc w:val="both"/>
        <w:ind w:left="660" w:hanging="32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annual report on Form 10-K, quarterly reports on Form 10-Q, current reports on Form 8-K, and all amendments to those reports as soon as reasonably practicable after such material is electronically filed with or furnished to the Securities and Exchange Commission (the “SEC”);</w:t>
      </w:r>
    </w:p>
    <w:p>
      <w:pPr>
        <w:spacing w:after="0" w:line="186"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policies related to corporate governance, including our Code of Business Conduct and Ethics applicable to our directors, officers and employees (including our principal executive officer and principal financial and accounting officer), that we have adopted to meet applicable rules and regulations; and</w:t>
      </w:r>
    </w:p>
    <w:p>
      <w:pPr>
        <w:spacing w:after="0" w:line="186"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charters of the Audit and Compensation Committees of our Board of Directors.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 addition, copies of our annual report will be made available, free of charge, upon written request.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intend to satisfy the applicable disclosure requirements regarding amendments to, or waivers from, provisions of our Code of Business Conduct and Ethics by posting such information on our website. The information contained on, or that can be accessed through,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success of our growth and expansion plans depends on a number of factors that are beyond our control.</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86" w:lineRule="exact"/>
        <w:rPr>
          <w:sz w:val="20"/>
          <w:szCs w:val="20"/>
          <w:color w:val="auto"/>
        </w:rPr>
      </w:pPr>
    </w:p>
    <w:p>
      <w:pPr>
        <w:ind w:left="66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availability and retention of qualified and effective personnel with the expertise required to sell and operate effectively or successfully;</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overall economic health of new and existing markets;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number and effectiveness of competitors;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pricing structure under which we will be able to purchase services required to serve our customers;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availability to us of technologies needed to remain competitive; and</w:t>
      </w:r>
    </w:p>
    <w:p>
      <w:pPr>
        <w:spacing w:after="0" w:line="21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in which we participate is highly competitive, and if we do not compete effectively, our business, results of operations and financial condition could be harmed.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195" w:lineRule="exact"/>
        <w:rPr>
          <w:sz w:val="20"/>
          <w:szCs w:val="20"/>
          <w:color w:val="auto"/>
        </w:rPr>
      </w:pPr>
    </w:p>
    <w:p>
      <w:pPr>
        <w:ind w:left="66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CPaaS companies that offer a narrower set of software APIs, less robust customer support and fewer other features while relying on third-party networks and physical infrastructure; and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network service providers that offer limited developer functionality on top of their own networks and physical infrastructure.</w:t>
      </w:r>
    </w:p>
    <w:p>
      <w:pPr>
        <w:spacing w:after="0" w:line="22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Some of our competitors and potential competitors are larger and have greater name recognition, longer operating histories, more established customer relationships, a larger global reach, larger budgets and significantly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presently operate in the United States and provide certain limited services in Canada.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unable to attract new customers in a cost-effective manner, then our business, results of operations and financial condition would be adversely affected.</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for some of our services and platform is new and unproven, may decline or experience limited growth and is dependent in part on enterprises and developers continuing to adopt our platform and use our services.</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00" w:lineRule="exact"/>
        <w:rPr>
          <w:sz w:val="20"/>
          <w:szCs w:val="20"/>
          <w:color w:val="auto"/>
        </w:rPr>
      </w:pP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must increase the network traffic and resulting revenue from the services that we offer to realize our targets for anticipated revenue growth, cash flow and operating performance.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8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do not maintain or improve our current relationships with existing key customers;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are not able to expand the available capacity on our network to meet our customers’ demands in a timely manner;</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do not develop new large enterprise customers; or</w:t>
      </w:r>
    </w:p>
    <w:p>
      <w:pPr>
        <w:spacing w:after="0" w:line="215" w:lineRule="exact"/>
        <w:rPr>
          <w:rFonts w:ascii="Arial" w:cs="Arial" w:eastAsia="Arial" w:hAnsi="Arial"/>
          <w:sz w:val="20"/>
          <w:szCs w:val="20"/>
          <w:color w:val="auto"/>
        </w:rPr>
      </w:pPr>
    </w:p>
    <w:p>
      <w:pPr>
        <w:ind w:left="660" w:right="1940" w:hanging="328"/>
        <w:spacing w:after="0" w:line="479"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our customers determine to obtain these services from either their own network or from one of our competitors, then we may be unable to increase or maintain our revenue at acceptable margins.</w:t>
      </w:r>
    </w:p>
    <w:p>
      <w:pPr>
        <w:ind w:right="20"/>
        <w:spacing w:after="0" w:line="260" w:lineRule="auto"/>
        <w:rPr>
          <w:sz w:val="20"/>
          <w:szCs w:val="20"/>
          <w:color w:val="auto"/>
        </w:rPr>
      </w:pPr>
      <w:r>
        <w:rPr>
          <w:rFonts w:ascii="Arial" w:cs="Arial" w:eastAsia="Arial" w:hAnsi="Arial"/>
          <w:sz w:val="20"/>
          <w:szCs w:val="20"/>
          <w:b w:val="1"/>
          <w:bCs w:val="1"/>
          <w:i w:val="1"/>
          <w:iCs w:val="1"/>
          <w:color w:val="231F20"/>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unable to increase the revenue that we derive from enterprises, our business, results of operations and financial condition may be adversely affected.</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do not develop enhancements to our services and introduce new services that achieve market acceptance, our business, results of operations and financial condition could be adversely affected.</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 introduction of new services, the success of these upgrades may be dependent on reaching mutually acceptable terms with vendors and on vendors meeting their obligations in a timely manner.</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have experienced rapid growth and expect our growth to continue, and if we fail to effectively manage our growth, then our business, results of operations and financial condition could be adversely affected.</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pricing and billing systems are complex and errors could adversely affect our revenue and profits.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pricing and billing efforts are complex to develop and challenging to implement. To be profitable, we must have accurate and complete information about the costs associated with voice and text 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Additionally, we rely heavily on third parties to provide us with key software and services for our billing. If these third parties cease to provide those services to us for any reason, or fail to perform billing services accurately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must continue to develop effective business support systems to implement customer orders and to provide and bill for services.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70"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quoting, accepting and inputting customer orders for services;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provisioning, installing and delivering services;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billing for services.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are not able to maintain and enhance our brand and increase market awareness of our company and services, then our business, results of operations and financial condition may be adversely affected.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materially and adversely affect our ability to attract and retain customers, our business, results of operations and financial condition.</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231F20"/>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15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plan to expand our operations internationally, which will expose us to significant risks.</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As part of our growth strategy, we are planning to expand our operations to include international offerings.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we may face risks in doing business internationally that could adversely affect our business, including:</w:t>
      </w:r>
    </w:p>
    <w:p>
      <w:pPr>
        <w:spacing w:after="0" w:line="216" w:lineRule="exact"/>
        <w:rPr>
          <w:sz w:val="20"/>
          <w:szCs w:val="20"/>
          <w:color w:val="auto"/>
        </w:rPr>
      </w:pPr>
    </w:p>
    <w:p>
      <w:pPr>
        <w:jc w:val="both"/>
        <w:ind w:left="660" w:hanging="328"/>
        <w:spacing w:after="0" w:line="25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exposure to political developments in the United Kingdom (“U.K.”), including the impact of the U.K. referendum on membership in the European Union (“EU”), which has created an uncertain political and economic environment, instability for businesses and volatility in global financial markets;</w:t>
      </w:r>
    </w:p>
    <w:p>
      <w:pPr>
        <w:spacing w:after="0" w:line="186"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our ability to effectively price our products in competitive international markets;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new and different sources of competition;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costs associated with network service provider fees outside of the United States;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need to adapt and localize our products for specific countries;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in understanding and complying with local laws, regulations and customs in foreign jurisdictions, particularly in the areas of data privacy and personal privacy;</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export controls and economic sanctions administered by the Bureau of Industry and Security of the U.S. Department of Commerce and the Office of Foreign Assets Control of the U.S. Department of the Treasury;</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compliance with various anti-bribery and anti-corruption laws, such as the U.S. Foreign Corrupt Practices Act and U.K. Bribery Act 2010;</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tariffs and other non-tariff barriers, such as quotas;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more limited protection for intellectual property rights in some countries;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adverse tax consequences;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currency control regulations, which might restrict or prohibit our conversion of other currencies into U.S. dollars;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restrictions on the transfer of funds;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deterioration of political relations between the United States and other countries; and</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political or social unrest or economic instability in a specific country or region in which we operate, which could have an adverse impact on our operations in that location.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failure to manage any of these risks successfully could delay our planned international expansion or, once developed, harm our international operations, and adversely affect our business, results of operations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revenue is concentrated in a limited number of enterprise customers.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231F20"/>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currently subject to litigation related to taxes and charges associated with our provision of 911 services, which could divert management’s attention and adversely affect our results of operations.</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See the section titled “Item 3. Legal Proceedings.” We may face similar litigation in other jurisdictions in the future. While we are vigorously defending these lawsuits, litigation is inherently uncertain. Tax</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assessments, penalties and interest or future requirements arising from these lawsuits, or any other lawsuits that may arise in other jurisdictions, may adversely affect our business, results of operations and financial condition.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face a risk of litigation resulting from customer misuse of our services and software to make or send unauthorized calls and/or text messages in violation of the Telephone Consumer Protection Act.</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Calls and/or text messages originated by our customers may subject us to potential risks. For example,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communications industry faces significant regulatory uncertainties and the resolution of these uncertainties could harm our business, results of operations and financial condition.</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1996 Act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effects of increased regulation of IP-based service providers are unknown.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While the FCC has to date generally subjected IP-based service providers to less stringent regulatory oversight than traditional common carriers, the FCC has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must obtain and maintain permits and licenses to operate our network.</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231F20"/>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Our operations may become subject to additional regulation by other countries if we expand to international markets.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231F20"/>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We cannot predict whether the appeal will be successful and result in restoring the pre-existing network neutrality rules that prevent broadband internet access service providers from blocking, impairing and degrading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231F20"/>
        </w:rPr>
        <w:t>We are subject to privacy and data security obligations in the United States.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certain of our internet-based and Bandwidth Communications Platform offerings, 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Our business is subject to complex and evolving foreign laws and regulations regarding privacy, data protection and other matters relating to information collection.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There are numerous foreign laws, regulations and directives regarding privacy and the collection, storage, transmission, use, processing, disclosure and protection of personally identifiable information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example, as of May 25, 2018, the General Data Protection Regulation (“GDPR”), has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 Shield Framework and/or the standard contractual clauses will be invalidated by European courts or legislatures. We rely, or intend to rely, on a mixture of mechanisms to transfer PII from the EU to the United States, and we could be impacted by changes in law as a result of a future review of these transfer mechanisms by European regulators under the GDPR, as well as current challenges to these mechanisms in European courts. If one or more of the legal</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Our business could suffer if we cannot obtain or retain local or toll-free numbers, are prohibited from obtaining local or toll-free numbers, or are limited to distributing local or toll-free numbers to only certain customers.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Intellectual property and proprietary rights of others could prevent us from using necessary technology to provide our services or subject us to expensive intellectual property litigation.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231F20"/>
        </w:rPr>
        <w:t>Our use of open source software could negatively affect our ability to sell our services and subject us to possible litigation.</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Indemnity provisions in various agreements potentially expose us to substantial liability for intellectual property infringement and other losses.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fail to protect our internally developed systems, technology and software and our patents and trademarks, we may become involved in costly litigation or our business or brand may be harmed.</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ability to compete effectively is dependent in large part upon the maintenance and protection of systems and software that we have developed internally, including some systems and software based on open standards. While we have eight U.S. patents and two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subject to litigation in the ordinary course of business, and uninsured judgments or a rise in insurance premiums may adversely affect our results of operations.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may be liable for the information that content owners or distributors distribute over our network.</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0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231F20"/>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13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reputation and growth may suffer and we may incur additional costs, including costs to increase security, or be required to credit significant amounts to customers.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22"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231F20"/>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86" w:lineRule="exact"/>
        <w:rPr>
          <w:sz w:val="20"/>
          <w:szCs w:val="20"/>
          <w:color w:val="auto"/>
        </w:rPr>
      </w:pPr>
    </w:p>
    <w:p>
      <w:pPr>
        <w:ind w:left="6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911 calling services are different, in significant respects, from the 911 service associated with traditional wireline and wireless telephone providers and, in certain cases, with other VoIP providers.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the event of a power loss or Internet access interruption experienced by a customer, our service may be interrupted.</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Our customers’ end users may experience lower call quality than they are used to from traditional wireline or wireless telephone companies, including static, echoes and delays in transmissions.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customers’ end users may not be able to call premium-rate telephone numbers such as 1-900 numbers and 976 numbers.</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6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service interruptions;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malfunction of our Bandwidth Communications Platform on which our enterprise users rely for voice, messaging or 911 functionality;</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exposure to customer liability;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inability to install new service;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unavailability of employees necessary to provide services;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need for expensive modifications to our systems and infrastructure.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Defects or errors in our services could diminish demand for our services, harm our business and results of operations and subject us to liability.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our 911 services do not function properly, we may be exposed to significant liability from our users.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local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1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FCC’s rules also require that we timely report certain 911 service outages. The FCC may make inquiries regarding matters related to any reported 911 service outage. Any inquiry could result in FCC enforcement action, potential monetary penalties and other adverse consequences.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Termination of relationships with key suppliers could cause delay and additional costs.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9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growth and financial health are subject to a number of economic risks.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Annual Report on Form 10-K.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8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customer churn rate may increase.</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market prices for certain of our services have decreased in the past and may decrease in the future, resulting in lower revenue than we anticipate.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Market prices for certain of our services have decreased over recent years. These decreases resulted from downward market pressure and other factors including:</w:t>
      </w:r>
    </w:p>
    <w:p>
      <w:pPr>
        <w:spacing w:after="0" w:line="177" w:lineRule="exact"/>
        <w:rPr>
          <w:sz w:val="20"/>
          <w:szCs w:val="20"/>
          <w:color w:val="auto"/>
        </w:rPr>
      </w:pPr>
    </w:p>
    <w:p>
      <w:pPr>
        <w:ind w:left="660" w:right="2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technological changes and network expansions, which have resulted in increased transmission capacity available for sale by us and by our competitors; and</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some of our competitors have been willing to accept smaller operating margins in the short term in an attempt to increase long-term revenue.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The need to obtain additional IP circuits from other providers increases our costs. In addition, the need to interconnect our network to networks that are controlled by others could increase our costs.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depend largely on the continued services of our senior management and other key employees, the loss of any of whom could adversely affect our business, results of operations and financial condition.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we are unable to hire, retain and motivate qualified personnel, our business will suffer.</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have significantly appreciated in value relative to the original purchase prices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management team has limited experience managing a public company.</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could be subject to liability for historic and future sales, use and similar taxes, which could adversely affect our results of operations.</w:t>
      </w:r>
    </w:p>
    <w:p>
      <w:pPr>
        <w:spacing w:after="0" w:line="2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be subject to significant U.S. federal income tax-related liabilities and indemnity obligations if there is a determination that the Spin-Off is taxable for U.S. federal income tax purposes.</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 (ii) 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If our estimates or judgments relating to our critical accounting policies prove to be incorrect, our results of operations could be adversely affected.</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preparation of financial statements in conformity with GAAP requires management to make estimates and assumptions that affect the amounts reported in the consolidated financial statements and accompanying notes.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If our goodwill or intangible assets become impaired, we may be required to record a significant charge to earnings.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are an “emerging growth company” and we cannot be certain if the reduced disclosure requirements applicable to emerging growth companies will make our Class A common stock less attractive to investors.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are an “emerging growth company,” as defined in the JOBS Act, and we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cannot predict if investors will find our Class A common stock less attractive because we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Earthquakes, hurricanes, fires, floods, power outages, terrorist attacks and other significant events could disrupt our business and ability to serve our clients.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As we have elected to avail ourselves of the JOBS Act extended accounting transition period, our financial statements may not be easily comparable to other companies.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emerging growth companies or emerging growth companies that have opted out of using the extended transition period difficult or impossible because of the potential differences in accounting standards used.</w:t>
      </w:r>
    </w:p>
    <w:p>
      <w:pPr>
        <w:spacing w:after="0" w:line="204" w:lineRule="exact"/>
        <w:rPr>
          <w:sz w:val="20"/>
          <w:szCs w:val="20"/>
          <w:color w:val="auto"/>
        </w:rPr>
      </w:pPr>
    </w:p>
    <w:p>
      <w:pPr>
        <w:ind w:right="20"/>
        <w:spacing w:after="0" w:line="386" w:lineRule="auto"/>
        <w:rPr>
          <w:sz w:val="20"/>
          <w:szCs w:val="20"/>
          <w:color w:val="auto"/>
        </w:rPr>
      </w:pPr>
      <w:r>
        <w:rPr>
          <w:rFonts w:ascii="Arial" w:cs="Arial" w:eastAsia="Arial" w:hAnsi="Arial"/>
          <w:sz w:val="16"/>
          <w:szCs w:val="16"/>
          <w:b w:val="1"/>
          <w:bCs w:val="1"/>
          <w:i w:val="1"/>
          <w:iCs w:val="1"/>
          <w:color w:val="231F20"/>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8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153"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demands on management related to any significant increase in size after the acquisition;</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disruption of ongoing business and the diversion of management’s attention from the management of daily operations to management of integration activities;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failure to fully achieve expected synergies and costs savings;</w:t>
      </w:r>
    </w:p>
    <w:p>
      <w:pPr>
        <w:spacing w:after="0" w:line="21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86"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loss of customers or the failure of customers to order incremental services that we expect them to order;</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failure to provision services that are ordered by customers during the integration period;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higher integration costs than anticipated; and</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difficulties in the assimilation and retention of highly qualified, experienced employees, many of whom may be geographically dispersed.</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Our credit facility contains restrictive and financial covenants that may limit our operating flexibility.</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231F20"/>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Class A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The trading price of our Class A common stock may be volatile, and you could lose all or part of your investment.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January 31, 2019, the trading price of our Class A common stock has ranged from $18.05 per share to $57.50 per share. The trading price of our Class A common stock may continue to be volatile and could fluctuate significantly in response to numerous factors, many of which are beyond our control, including:</w:t>
      </w:r>
    </w:p>
    <w:p>
      <w:pPr>
        <w:spacing w:after="0" w:line="18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price and volume fluctuations in the overall stock market from time to time;</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volatility in the trading prices and trading volumes of technology stocks;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volatility in the trading volumes of our Class A common stock;</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changes in operating performance and stock market valuations of other technology companies generally, or those in our industry in particular;</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sales of shares of our Class A common stock by us or our stockholders;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failure of securities analysts to maintain coverage of us, changes in financial estimates by securities analysts who follow our company, or our failure to meet these estimates or the expectations of investors;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those projections or our failure to meet those projections;</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announcements by us or our competitors of new products or services;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public’s reaction to our press releases, other public announcements and filings with the SEC;</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rumors and market speculation involving us or other companies in our industry;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actual or anticipated changes in our results of operations or fluctuations in our results of operations;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actual or anticipated developments in our business, our competitors’ businesses or the competitive landscape generally;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litigation involving us, our industry or both;</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regulatory actions or developments affecting our operations, those of our competitors or our industry more broadly;</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developments or disputes concerning our intellectual property or other proprietary rights;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announced or completed acquisitions of businesses, products, services or technologies by us or our competitors;</w:t>
      </w:r>
    </w:p>
    <w:p>
      <w:pPr>
        <w:spacing w:after="0" w:line="215"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186"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accounting standards, policies, guidelines, interpretations or principles;</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new rules adopted by certain index providers, such as S&amp;P Dow Jones, that limit or preclude inclusion of companies with multi-class capital structures in certain of their indices;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significant change in our management;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general economic conditions and slow or negative growth of our markets.</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Substantial future sales of shares of our Class A common stock could cause the market price of our Class A common stock to decline.</w:t>
      </w: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8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231F20"/>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8</w:t>
      </w:r>
      <w:r>
        <w:rPr>
          <w:rFonts w:ascii="Arial" w:cs="Arial" w:eastAsia="Arial" w:hAnsi="Arial"/>
          <w:sz w:val="16"/>
          <w:szCs w:val="16"/>
          <w:b w:val="1"/>
          <w:bCs w:val="1"/>
          <w:i w:val="1"/>
          <w:iCs w:val="1"/>
          <w:color w:val="000000"/>
        </w:rPr>
        <w:t>3%</w:t>
      </w:r>
      <w:r>
        <w:rPr>
          <w:rFonts w:ascii="Arial" w:cs="Arial" w:eastAsia="Arial" w:hAnsi="Arial"/>
          <w:sz w:val="16"/>
          <w:szCs w:val="16"/>
          <w:b w:val="1"/>
          <w:bCs w:val="1"/>
          <w:i w:val="1"/>
          <w:iCs w:val="1"/>
          <w:color w:val="231F20"/>
        </w:rPr>
        <w:t xml:space="preserve"> of the voting power of our capital as of December 31, 2018. This limits or precludes your ability to influence corporate matters, including the election of directors, amendments to our organizational documents and any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merger, consolidation, sale of all or substantially all of our assets, or other major corporate transaction requiring stockholder approval.</w:t>
      </w:r>
    </w:p>
    <w:p>
      <w:pPr>
        <w:spacing w:after="0" w:line="2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December 31, 2018, our directors, executive officers and holders of more than 5% of our common stock, and their respective affiliates, hold in the aggregate 83%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cannot predict the impact our capital structure may have on our stock price.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announced plans in July 2017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become controlled by David A. Morken, our Co-Founder and Chief Executive Officer, whose interests may differ from other stockholders.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If all or substantially all of the holders of our Class B common stock convert their shares into Class A common stock voluntarily or otherwise, Mr. Morken may control approximately 62%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231F20"/>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2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Anti-takeover provisions contained in our second amended and restated certificate of incorporation and second amended and restated bylaws, as well as provisions of Delaware law, could impair a takeover attempt.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92" w:lineRule="exact"/>
        <w:rPr>
          <w:sz w:val="20"/>
          <w:szCs w:val="20"/>
          <w:color w:val="auto"/>
        </w:rPr>
      </w:pPr>
    </w:p>
    <w:p>
      <w:pPr>
        <w:ind w:left="6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limiting the liability of, and providing indemnification to, our directors and officers;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limiting the ability of our stockholders to call and bring business before special meetings;</w:t>
      </w:r>
    </w:p>
    <w:p>
      <w:pPr>
        <w:spacing w:after="0" w:line="215"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91"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providing that our board of directors is classified into three classes of directors with staggered three-year terms;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requires all stockholder actions to be taken at a meeting of our stockholders;</w:t>
      </w:r>
    </w:p>
    <w:p>
      <w:pPr>
        <w:spacing w:after="0" w:line="238" w:lineRule="exact"/>
        <w:rPr>
          <w:rFonts w:ascii="Arial" w:cs="Arial" w:eastAsia="Arial" w:hAnsi="Arial"/>
          <w:sz w:val="18"/>
          <w:szCs w:val="18"/>
          <w:color w:val="auto"/>
        </w:rPr>
      </w:pPr>
    </w:p>
    <w:p>
      <w:pPr>
        <w:ind w:left="6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requiring super-majority voting to amend some provisions in our second amended and restated certificate of incorporation and second amended and restated bylaws;</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requiring advance notice of stockholder proposals for business to be conducted at meetings of our stockholders and for nominations of candidates for election to our board of directors; and</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controlling the procedures for the conduct and scheduling of board of directors and stockholder meetings.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1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231F20"/>
        </w:rPr>
        <w:t>Our second amended and restated certificate of incorporation and our second amended and restated bylaws include super-majority voting provisions that will limit your ability to influence corporate matters.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231F20"/>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We may need additional capital in the future and such capital may be limited or unavailable. Failure to raise capital when needed could prevent us from growing in accordance with our plans.</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We do not intend to pay dividends for the foreseeable future.</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231F20"/>
        </w:rPr>
        <w:t>If a large number of shares of our Class A common stock is sold in the public market, the sales could reduce the trading price of our Class A common stock and impede our ability to raise future capital.</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1B. Unresolved Staff Comments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2. Properties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Our corporate headquarters is located in Raleigh, North Carolina, where we lease approximately 87,605 square feet of office space at 900 Main Campus Drive and 40,035 square feet of additional office space on the Centennial Campus of North Carolina State University in Raleigh, North Carolina. On January 1, 2019, we entered into an amended lease agreement with landlord for adding approximately 30,114 square feet of additional office space to the lease governing the Centennial Campus of North Carolina State University in Raleigh, North Carolina, which is expected to commence in April 2019. The amended lease agreement also extends the lease term until January 31, 2024.</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also lease approximately 40,657 square feet of space subject to a facilities sharing agreement with Republic Wireless. This operating space expires in 2022.</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lease all our facilities and do not own any real property. We may procure additional space in the future as we continue to add employees or expand geographically. We believe our facilities are adequate and suitable for our current needs, and to the extent we require it, we believe additional or alternative space will be readily available in the future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In August 2018, the District of Columbia Court of Appeals affirmed the dismissal. Phone Recovery Services has since filed a motion to amend its complaint, which we have opposed as foreclosed by the appellate court’s decision. We are awaiting a ruling on that motion.</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To date, we have not received any material adverse decision in connection with those matters. The case in Ramsey County, Minnesota was dismissed in November 2016. Upon appeals by Phone Recovery Services, the dismissal was affirmed by the Minnesota Court of Appeals in August 2017, and by the Minnesota Supreme Court in October 2018. The case in Allegheny County, Pennsylvania has been stayed pending the outcome of a related proceeding before the FCC.</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face similar lawsuits brought directly by various state and local governments alleging underpayment of 911 taxes and surcharges, although we understand that Phone Recovery Services may be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County, Clarion County, Cumberland County, Dauphin County, Delaware County, Lancaster County, Lebanon County, Mercer County, Somerset County, Washington County, Westmoreland County, and York County, Pennsylvania (collectively, the “Pennsylvania Cases”); and Richland County, Charleston County, Dorchester County, and Town of Summerville, South Carolina. The complaints allege that we failed to bill, collect and remit certain taxes and surcharges associated with 911 service pursuant to applicable laws.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and that dismissal is currently on appeal; the remaining Pennsylvania Cases have been stayed until the appeal of the dismissal of the Butler County, Pennsylvania Case is resolved. The Illinois Case was dismissed in December 2016; Phone Recovery Services timely filed a notice of appeal, the Illinois appellate court reversed the December 2016 dismissal, and in January 2019, the Illinois Supreme Court declined to review the Illinois appellate court’s reversal of the December 2016 dismissal of the Illinois Case.</w:t>
      </w:r>
    </w:p>
    <w:p>
      <w:pPr>
        <w:spacing w:after="0" w:line="17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Market for Registrant</w:t>
      </w:r>
      <w:r>
        <w:rPr>
          <w:rFonts w:ascii="Arial" w:cs="Arial" w:eastAsia="Arial" w:hAnsi="Arial"/>
          <w:sz w:val="20"/>
          <w:szCs w:val="20"/>
          <w:color w:val="auto"/>
        </w:rPr>
        <w:t>’</w:t>
      </w:r>
      <w:r>
        <w:rPr>
          <w:rFonts w:ascii="Arial" w:cs="Arial" w:eastAsia="Arial" w:hAnsi="Arial"/>
          <w:sz w:val="20"/>
          <w:szCs w:val="20"/>
          <w:b w:val="1"/>
          <w:bCs w:val="1"/>
          <w:color w:val="auto"/>
        </w:rPr>
        <w: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 for Class A Common Stock</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Class A common stock has been listed on the NASDAQ Global Select Market under the symbol “BAND” since November 10, 2017. Prior to that date, there was no public trading market for our Class A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January 31, 2019, we had 69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Performance Graph</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Bandwidth Inc. under the Securities Act or the Exchange Act.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graph below compares the cumulative total return to our stockholders between November 10, 2017 (the date our Class A common stock commenced trading on the NASDAQ Global Select Market) through December 31, 2018 in comparison to the NASDAQ Composite Index and the S&amp;P 500 Information Technology Index. The graph assumes $100 was invested in the Class A common stock of Bandwidth Inc., the NASDAQ Composite Index and the S&amp;P 500 Information Technology Index, and assumes reinvestment of any dividends.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comparisons in the graph below are based on historical data and are not indicative of, nor intended to forecast, the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652145</wp:posOffset>
            </wp:positionV>
            <wp:extent cx="5574030" cy="3430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by reference to our Proxy Statement relating to our 2019 Annual Meeting of Shareholders. The Proxy Statement will be filed with the SEC within 120 days of the fiscal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2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From January 1, 2018 through December 31, 2018, we sold the following securities on an unregistered basis:</w:t>
      </w:r>
    </w:p>
    <w:p>
      <w:pPr>
        <w:spacing w:after="0" w:line="216" w:lineRule="exact"/>
        <w:rPr>
          <w:sz w:val="20"/>
          <w:szCs w:val="20"/>
          <w:color w:val="auto"/>
        </w:rPr>
      </w:pPr>
    </w:p>
    <w:p>
      <w:pPr>
        <w:ind w:left="66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On January 16, 2018, we sold 1,252 shares of Class B common stock pursuant to the cash exercise of a warrant at $6.57 per share resulting in gross proceeds of $8,228.</w:t>
      </w:r>
    </w:p>
    <w:p>
      <w:pPr>
        <w:spacing w:after="0" w:line="176"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On February 15, 2018, we sold 4,927 shares of Class B common stock pursuant to the cash exercise of a warrant at $5.80 per share resulting in gross proceeds of $28,577.</w:t>
      </w:r>
    </w:p>
    <w:p>
      <w:pPr>
        <w:spacing w:after="0" w:line="176" w:lineRule="exact"/>
        <w:rPr>
          <w:rFonts w:ascii="Arial" w:cs="Arial" w:eastAsia="Arial" w:hAnsi="Arial"/>
          <w:sz w:val="20"/>
          <w:szCs w:val="20"/>
          <w:color w:val="auto"/>
        </w:rPr>
      </w:pPr>
    </w:p>
    <w:p>
      <w:pPr>
        <w:ind w:left="660" w:hanging="328"/>
        <w:spacing w:after="0" w:line="287"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9"/>
          <w:szCs w:val="19"/>
          <w:color w:val="auto"/>
        </w:rPr>
        <w:t>On February 20, 2018, we sold 3,725 shares of Class B common stock pursuant to the net exercise of a warrant at $5.80 per share and utilizing a then-current fair market value per share of $23.91, which net exercise did not result in any gross proceeds.</w:t>
      </w:r>
    </w:p>
    <w:p>
      <w:pPr>
        <w:spacing w:after="0" w:line="152" w:lineRule="exact"/>
        <w:rPr>
          <w:rFonts w:ascii="Arial" w:cs="Arial" w:eastAsia="Arial" w:hAnsi="Arial"/>
          <w:sz w:val="19"/>
          <w:szCs w:val="19"/>
          <w:color w:val="auto"/>
        </w:rPr>
      </w:pPr>
    </w:p>
    <w:p>
      <w:pPr>
        <w:ind w:left="66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On March 2, 2018, we sold 39,000 shares of Class B common stock pursuant to the cash exercise of a warrant at $0.0004 per share resulting in gross proceeds of $15.60.</w:t>
      </w:r>
    </w:p>
    <w:p>
      <w:pPr>
        <w:spacing w:after="0" w:line="177"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We did not utilize any underwriters for any of the sales of securities on an unregistered basis. We relied on an exemption to the registration requirements of the federal securities laws pursuant to Section 4(2) for each of the sales of securities on an unregistered basis.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 from Public Offering of Common Stock</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In November 2017, we sold 4,000,000 shares of our Class A common stock at a public offering price of $20.00 per share, including shares sold in connection with the exercise of the underwriters’ option to purchase additional shares. The offer and sale of all the shares in our initial public offering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initial public offering and in accordance with David Morken’s employment agreement, the Chief Executive Officer received a cash bonus of $750,000. No other payments were made to our directors or officers or their associates, holders of 10% or more of any class of our equity securities or any affiliates, other than payments in the ordinary course of business to officers for salaries. The underwriters of our initial public offering were Morgan Stanley, KeyBank Capital Markets, Baird, Canaccord Genuity and JMP Securities.</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has been no material change in the planned use of proceeds from our initial public offering as described in our final prospectus filed with the SEC on November 13, 2017 pursuant to Rule 424(b)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231F20"/>
        </w:rPr>
        <w:t xml:space="preserve">The consolidated statements of operations data for the years ended December 31, 2016, 2017 and 2018 and the consolidated balance sheets as of December 31, 2017 and 2018, are derived from our audited consolidated financial statements included elsewhere in this Annual Report on Form 10-K. The selected consolidated statement of operations data for the year ended December 31, 2015 and the consolidated balance sheet data as of December 31, 2016 are derived from audited consolidated financial statements not included in this Annual Report on Form 10-K. Our historical results are not necessarily indicative of the results that may be expected in the future. The following selected consolidated financial data should be read in conjunction with Item 7, </w:t>
      </w:r>
      <w:r>
        <w:rPr>
          <w:rFonts w:ascii="Arial" w:cs="Arial" w:eastAsia="Arial" w:hAnsi="Arial"/>
          <w:sz w:val="20"/>
          <w:szCs w:val="20"/>
          <w:color w:val="000000"/>
        </w:rPr>
        <w:t>“</w:t>
      </w:r>
      <w:r>
        <w:rPr>
          <w:rFonts w:ascii="Arial" w:cs="Arial" w:eastAsia="Arial" w:hAnsi="Arial"/>
          <w:sz w:val="20"/>
          <w:szCs w:val="20"/>
          <w:color w:val="231F20"/>
        </w:rPr>
        <w:t>Management</w:t>
      </w:r>
      <w:r>
        <w:rPr>
          <w:rFonts w:ascii="Arial" w:cs="Arial" w:eastAsia="Arial" w:hAnsi="Arial"/>
          <w:sz w:val="20"/>
          <w:szCs w:val="20"/>
          <w:color w:val="000000"/>
        </w:rPr>
        <w:t>’</w:t>
      </w:r>
      <w:r>
        <w:rPr>
          <w:rFonts w:ascii="Arial" w:cs="Arial" w:eastAsia="Arial" w:hAnsi="Arial"/>
          <w:sz w:val="20"/>
          <w:szCs w:val="20"/>
          <w:color w:val="231F20"/>
        </w:rPr>
        <w:t>s Discussion and Analysis of Financial Condition and Results of Operations</w:t>
      </w:r>
      <w:r>
        <w:rPr>
          <w:rFonts w:ascii="Arial" w:cs="Arial" w:eastAsia="Arial" w:hAnsi="Arial"/>
          <w:sz w:val="20"/>
          <w:szCs w:val="20"/>
          <w:color w:val="000000"/>
        </w:rPr>
        <w:t>”</w:t>
      </w:r>
      <w:r>
        <w:rPr>
          <w:rFonts w:ascii="Arial" w:cs="Arial" w:eastAsia="Arial" w:hAnsi="Arial"/>
          <w:sz w:val="20"/>
          <w:szCs w:val="20"/>
          <w:color w:val="231F20"/>
        </w:rPr>
        <w:t xml:space="preserve"> and the consolidated financial statements and related notes included in Item 8, </w:t>
      </w:r>
      <w:r>
        <w:rPr>
          <w:rFonts w:ascii="Arial" w:cs="Arial" w:eastAsia="Arial" w:hAnsi="Arial"/>
          <w:sz w:val="20"/>
          <w:szCs w:val="20"/>
          <w:color w:val="000000"/>
        </w:rPr>
        <w:t>“</w:t>
      </w:r>
      <w:r>
        <w:rPr>
          <w:rFonts w:ascii="Arial" w:cs="Arial" w:eastAsia="Arial" w:hAnsi="Arial"/>
          <w:sz w:val="20"/>
          <w:szCs w:val="20"/>
          <w:color w:val="231F20"/>
        </w:rPr>
        <w:t>Financial Statements and Supplementary Data,</w:t>
      </w:r>
      <w:r>
        <w:rPr>
          <w:rFonts w:ascii="Arial" w:cs="Arial" w:eastAsia="Arial" w:hAnsi="Arial"/>
          <w:sz w:val="20"/>
          <w:szCs w:val="20"/>
          <w:color w:val="000000"/>
        </w:rPr>
        <w:t>”</w:t>
      </w:r>
      <w:r>
        <w:rPr>
          <w:rFonts w:ascii="Arial" w:cs="Arial" w:eastAsia="Arial" w:hAnsi="Arial"/>
          <w:sz w:val="20"/>
          <w:szCs w:val="20"/>
          <w:color w:val="231F20"/>
        </w:rPr>
        <w:t xml:space="preserve"> within this Annual Report on Form 10-K to fully understand factors that may affect the comparability of the information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Year ended December 31,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gridSpan w:val="10"/>
          </w:tcPr>
          <w:p>
            <w:pPr>
              <w:jc w:val="center"/>
              <w:ind w:right="2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101,502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131,572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164,415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39,698</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204,113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94,296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cost of revenue (1)</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108,145</w:t>
            </w:r>
          </w:p>
        </w:tc>
        <w:tc>
          <w:tcPr>
            <w:tcW w:w="0" w:type="dxa"/>
            <w:vAlign w:val="bottom"/>
          </w:tcPr>
          <w:p>
            <w:pPr>
              <w:spacing w:after="0"/>
              <w:rPr>
                <w:sz w:val="1"/>
                <w:szCs w:val="1"/>
                <w:color w:val="auto"/>
              </w:rPr>
            </w:pPr>
          </w:p>
        </w:tc>
      </w:tr>
      <w:tr>
        <w:trPr>
          <w:trHeight w:val="61"/>
        </w:trPr>
        <w:tc>
          <w:tcPr>
            <w:tcW w:w="63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95,968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Research and development (1)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20,897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 (1)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General and administrative (1)</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47,588</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89,216</w:t>
            </w:r>
          </w:p>
        </w:tc>
        <w:tc>
          <w:tcPr>
            <w:tcW w:w="0" w:type="dxa"/>
            <w:vAlign w:val="bottom"/>
          </w:tcPr>
          <w:p>
            <w:pPr>
              <w:spacing w:after="0"/>
              <w:rPr>
                <w:sz w:val="1"/>
                <w:szCs w:val="1"/>
                <w:color w:val="auto"/>
              </w:rPr>
            </w:pPr>
          </w:p>
        </w:tc>
      </w:tr>
      <w:tr>
        <w:trPr>
          <w:trHeight w:val="34"/>
        </w:trPr>
        <w:tc>
          <w:tcPr>
            <w:tcW w:w="63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66"/>
        </w:trPr>
        <w:tc>
          <w:tcPr>
            <w:tcW w:w="6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7,373</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12,889</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 (2) (3) (4)</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61"/>
        </w:trPr>
        <w:tc>
          <w:tcPr>
            <w:tcW w:w="63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on marketable securities, net of 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comprehensive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54"/>
        </w:trPr>
        <w:tc>
          <w:tcPr>
            <w:tcW w:w="6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34"/>
        </w:trPr>
        <w:tc>
          <w:tcPr>
            <w:tcW w:w="6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54"/>
        </w:trPr>
        <w:tc>
          <w:tcPr>
            <w:tcW w:w="6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11,497,727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11,678,568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12,590,221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18,573,067</w:t>
            </w: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12,456,540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12,870,632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14,543,170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21,140,382</w:t>
            </w:r>
          </w:p>
        </w:tc>
      </w:tr>
      <w:tr>
        <w:trPr>
          <w:trHeight w:val="27"/>
        </w:trPr>
        <w:tc>
          <w:tcPr>
            <w:tcW w:w="6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920" w:hanging="264"/>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stock-based compensation expense as shown below.</w:t>
      </w:r>
    </w:p>
    <w:p>
      <w:pPr>
        <w:spacing w:after="0" w:line="7" w:lineRule="exact"/>
        <w:rPr>
          <w:rFonts w:ascii="Arial" w:cs="Arial" w:eastAsia="Arial" w:hAnsi="Arial"/>
          <w:sz w:val="18"/>
          <w:szCs w:val="18"/>
          <w:color w:val="auto"/>
        </w:rPr>
      </w:pPr>
    </w:p>
    <w:p>
      <w:pPr>
        <w:ind w:firstLine="656"/>
        <w:spacing w:after="0" w:line="250" w:lineRule="auto"/>
        <w:tabs>
          <w:tab w:leader="none" w:pos="9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$11,887 of excess tax benefits associated with the exercise of stock options and vesting of restricted stock units in the year ended December 31, 2018.</w:t>
      </w:r>
    </w:p>
    <w:p>
      <w:pPr>
        <w:ind w:firstLine="656"/>
        <w:spacing w:after="0" w:line="250" w:lineRule="auto"/>
        <w:tabs>
          <w:tab w:leader="none" w:pos="9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recognized a tax benefit of $14,138 due to the release of the deferred tax asset valuation allowance subsequent to the spin-off of Republic Wireless for the year ended December 31, 2016.</w:t>
      </w:r>
    </w:p>
    <w:p>
      <w:pPr>
        <w:ind w:firstLine="656"/>
        <w:spacing w:after="0" w:line="245" w:lineRule="auto"/>
        <w:tabs>
          <w:tab w:leader="none" w:pos="9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December 22, 2017, the Tax Cuts and Jobs Act (the “Act”) was enacted into law. As a result of this change in tax law, the Company recorded a remeasurement of its DTA, which resulted in additional income tax expense of $2,073.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Year ended December 31,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
        </w:trPr>
        <w:tc>
          <w:tcPr>
            <w:tcW w:w="6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 Data:</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58,691</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150,420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w w:val="98"/>
              </w:rPr>
              <w:t>Long-term debt and capital lease obligations, net of current portion</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108,770</w:t>
            </w:r>
          </w:p>
        </w:tc>
      </w:tr>
      <w:tr>
        <w:trPr>
          <w:trHeight w:val="1080"/>
        </w:trPr>
        <w:tc>
          <w:tcPr>
            <w:tcW w:w="524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Non-GAAP Financial Measures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Gross Profit and Non-GAAP Gross Margin</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86"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depreciation and amortization;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showing gross margin, as Non-GAAP to remove the impact of these non-cash expenses, such as depreciation and stock-based compensation, is helpful to investors in assessing our gross profit and gross margin performance in a way that is similar to how management assesses our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calculate Non-GAAP gross margin by dividing Non-GAAP gross profit by revenue, expressed as a percentage of revenue.</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Consolidated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3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3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
        </w:trPr>
        <w:tc>
          <w:tcPr>
            <w:tcW w:w="3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Gross Profit</w:t>
            </w:r>
          </w:p>
        </w:tc>
        <w:tc>
          <w:tcPr>
            <w:tcW w:w="31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95,968</w:t>
            </w:r>
          </w:p>
        </w:tc>
      </w:tr>
      <w:tr>
        <w:trPr>
          <w:trHeight w:val="243"/>
        </w:trPr>
        <w:tc>
          <w:tcPr>
            <w:tcW w:w="3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7"/>
        </w:trPr>
        <w:tc>
          <w:tcPr>
            <w:tcW w:w="39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28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78,088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100,572</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Gross Margin %</w:t>
            </w:r>
          </w:p>
        </w:tc>
        <w:tc>
          <w:tcPr>
            <w:tcW w:w="2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49 %</w:t>
            </w:r>
          </w:p>
        </w:tc>
      </w:tr>
      <w:tr>
        <w:trPr>
          <w:trHeight w:val="918"/>
        </w:trPr>
        <w:tc>
          <w:tcPr>
            <w:tcW w:w="3940" w:type="dxa"/>
            <w:vAlign w:val="bottom"/>
          </w:tcPr>
          <w:p>
            <w:pPr>
              <w:spacing w:after="0"/>
              <w:rPr>
                <w:sz w:val="24"/>
                <w:szCs w:val="24"/>
                <w:color w:val="auto"/>
              </w:rPr>
            </w:pP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By Segment</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CPaaS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 Gross Profit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45,860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70,119</w:t>
            </w:r>
          </w:p>
        </w:tc>
      </w:tr>
      <w:tr>
        <w:trPr>
          <w:trHeight w:val="243"/>
        </w:trPr>
        <w:tc>
          <w:tcPr>
            <w:tcW w:w="68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64"/>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Non-GAAP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50,495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74,723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Non-GAAP CPaaS Gross Margin %</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r>
      <w:tr>
        <w:trPr>
          <w:trHeight w:val="27"/>
        </w:trPr>
        <w:tc>
          <w:tcPr>
            <w:tcW w:w="6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u w:val="single" w:color="auto"/>
          <w:color w:val="auto"/>
        </w:rPr>
        <w:t>Other</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are no Non-GAAP adjustments to gross profit for the Other segment</w:t>
      </w:r>
      <w:r>
        <w:rPr>
          <w:rFonts w:ascii="Arial" w:cs="Arial" w:eastAsia="Arial" w:hAnsi="Arial"/>
          <w:sz w:val="20"/>
          <w:szCs w:val="20"/>
          <w:b w:val="1"/>
          <w:bCs w:val="1"/>
          <w:color w:val="auto"/>
        </w:rPr>
        <w:t>.</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Adjusted EBITDA</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231F20"/>
        </w:rPr>
        <w:t>We define Adjusted EBITDA as net income or losses from continuing operations, adjusted to reflect the addition or elimination of certain income statement items including, but not limited to:</w:t>
      </w:r>
    </w:p>
    <w:p>
      <w:pPr>
        <w:spacing w:after="0" w:line="177" w:lineRule="exact"/>
        <w:rPr>
          <w:sz w:val="20"/>
          <w:szCs w:val="20"/>
          <w:color w:val="auto"/>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income tax provision (benefit);</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interest expense (income), net;</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depreciation and amortization expense;</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stock-based compensation expense;</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impairment of intangible assets, if any;</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loss (gain) on disposal of property and equipment, if any; and</w:t>
      </w:r>
    </w:p>
    <w:p>
      <w:pPr>
        <w:spacing w:after="0" w:line="215" w:lineRule="exact"/>
        <w:rPr>
          <w:rFonts w:ascii="Arial" w:cs="Arial" w:eastAsia="Arial" w:hAnsi="Arial"/>
          <w:sz w:val="20"/>
          <w:szCs w:val="20"/>
          <w:color w:val="231F20"/>
        </w:rPr>
      </w:pPr>
    </w:p>
    <w:p>
      <w:pPr>
        <w:ind w:left="680" w:hanging="312"/>
        <w:spacing w:after="0"/>
        <w:tabs>
          <w:tab w:leader="none" w:pos="680" w:val="left"/>
        </w:tabs>
        <w:numPr>
          <w:ilvl w:val="0"/>
          <w:numId w:val="32"/>
        </w:numPr>
        <w:rPr>
          <w:rFonts w:ascii="Arial" w:cs="Arial" w:eastAsia="Arial" w:hAnsi="Arial"/>
          <w:sz w:val="20"/>
          <w:szCs w:val="20"/>
          <w:color w:val="231F20"/>
        </w:rPr>
      </w:pPr>
      <w:r>
        <w:rPr>
          <w:rFonts w:ascii="Arial" w:cs="Arial" w:eastAsia="Arial" w:hAnsi="Arial"/>
          <w:sz w:val="20"/>
          <w:szCs w:val="20"/>
          <w:color w:val="231F20"/>
        </w:rPr>
        <w:t>change in fair value of financial instruments, including any change in shareholders’ anti-dilutive arrangements.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231F20"/>
        </w:rPr>
        <w:t>Adjusted EBITDA is a key measure u</w:t>
      </w:r>
      <w:r>
        <w:rPr>
          <w:rFonts w:ascii="Arial" w:cs="Arial" w:eastAsia="Arial" w:hAnsi="Arial"/>
          <w:sz w:val="19"/>
          <w:szCs w:val="19"/>
          <w:color w:val="000000"/>
        </w:rPr>
        <w:t>sed by management to understand and evaluate our core operating performance and trends, to</w:t>
      </w:r>
      <w:r>
        <w:rPr>
          <w:rFonts w:ascii="Arial" w:cs="Arial" w:eastAsia="Arial" w:hAnsi="Arial"/>
          <w:sz w:val="19"/>
          <w:szCs w:val="19"/>
          <w:color w:val="231F20"/>
        </w:rPr>
        <w:t xml:space="preserve"> </w:t>
      </w:r>
      <w:r>
        <w:rPr>
          <w:rFonts w:ascii="Arial" w:cs="Arial" w:eastAsia="Arial" w:hAnsi="Arial"/>
          <w:sz w:val="19"/>
          <w:szCs w:val="19"/>
          <w:color w:val="000000"/>
        </w:rPr>
        <w:t>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8"/>
              </w:rPr>
              <w:t>Year ended December 31,</w:t>
            </w:r>
          </w:p>
        </w:tc>
        <w:tc>
          <w:tcPr>
            <w:tcW w:w="104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Income tax (benefit) provision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(10,870)</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5,270</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3,339</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Impairment of intangible asset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22,223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494"/>
        <w:spacing w:after="0" w:line="259" w:lineRule="auto"/>
        <w:tabs>
          <w:tab w:leader="none" w:pos="7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$11,887 of excess tax benefits associated with the exercise of stock options and vesting of restricted stock units in the year ended December 31, 2018.</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Non-GAAP Net Income</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We define Non-GAAP net income as net income adjusted for certain items affecting period-to-period comparability. Non-GAAP net income excludes:</w:t>
      </w:r>
    </w:p>
    <w:p>
      <w:pPr>
        <w:spacing w:after="0" w:line="177" w:lineRule="exact"/>
        <w:rPr>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 in fair value of shareholders’ anti-dilutive arrangement;</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amortization of acquired intangible assets related to the acquisition of Dash Carrier Services, LLC;</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impairment charges of intangibles assets</w:t>
      </w:r>
      <w:r>
        <w:rPr>
          <w:rFonts w:ascii="Arial" w:cs="Arial" w:eastAsia="Arial" w:hAnsi="Arial"/>
          <w:sz w:val="20"/>
          <w:szCs w:val="20"/>
          <w:color w:val="231F20"/>
        </w:rPr>
        <w:t>, if any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loss (gain) on disposal of property and equipment;</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estimated tax impact of above adjustments;</w:t>
      </w:r>
    </w:p>
    <w:p>
      <w:pPr>
        <w:spacing w:after="0" w:line="215" w:lineRule="exact"/>
        <w:rPr>
          <w:rFonts w:ascii="Arial" w:cs="Arial" w:eastAsia="Arial" w:hAnsi="Arial"/>
          <w:sz w:val="20"/>
          <w:szCs w:val="20"/>
          <w:color w:val="auto"/>
        </w:rPr>
      </w:pPr>
    </w:p>
    <w:p>
      <w:pPr>
        <w:ind w:left="700" w:right="980" w:hanging="332"/>
        <w:spacing w:after="0" w:line="260" w:lineRule="auto"/>
        <w:tabs>
          <w:tab w:leader="none" w:pos="688"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income tax benefit resulting from excess tax benefits associated with the exercise of stock options and vesting of restricted stock units;</w:t>
      </w:r>
    </w:p>
    <w:p>
      <w:pPr>
        <w:spacing w:after="0" w:line="176"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benefit resulting from the release of the valuation allowance on our deferred tax assets (“DTA”); and</w:t>
      </w:r>
    </w:p>
    <w:p>
      <w:pPr>
        <w:spacing w:after="0" w:line="215" w:lineRule="exact"/>
        <w:rPr>
          <w:rFonts w:ascii="Arial" w:cs="Arial" w:eastAsia="Arial" w:hAnsi="Arial"/>
          <w:sz w:val="20"/>
          <w:szCs w:val="20"/>
          <w:color w:val="auto"/>
        </w:rPr>
      </w:pPr>
    </w:p>
    <w:p>
      <w:pPr>
        <w:ind w:left="680" w:hanging="312"/>
        <w:spacing w:after="0"/>
        <w:tabs>
          <w:tab w:leader="none" w:pos="6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impact on remeasurement of DTA as a result of 2017 tax reform.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8"/>
              </w:rPr>
              <w:t>Year ended December 31,</w:t>
            </w:r>
          </w:p>
        </w:tc>
        <w:tc>
          <w:tcPr>
            <w:tcW w:w="104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3,339</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related to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Impairment of intangible asset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Estimated tax effects of adjustments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Release of valuation allowance (1)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60" w:type="dxa"/>
            <w:vAlign w:val="bottom"/>
          </w:tcPr>
          <w:p>
            <w:pPr>
              <w:ind w:left="220"/>
              <w:spacing w:after="0"/>
              <w:rPr>
                <w:sz w:val="20"/>
                <w:szCs w:val="20"/>
                <w:color w:val="auto"/>
              </w:rPr>
            </w:pPr>
            <w:r>
              <w:rPr>
                <w:rFonts w:ascii="Arial" w:cs="Arial" w:eastAsia="Arial" w:hAnsi="Arial"/>
                <w:sz w:val="18"/>
                <w:szCs w:val="18"/>
                <w:color w:val="auto"/>
              </w:rPr>
              <w:t>Income tax benefit of option exercises</w:t>
            </w: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(11,887)</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Remeasurement of DTA associated with tax rate change (2)</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Non-GAAP 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Non-GAAP net income per Non-GAAP share</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70"/>
        </w:trPr>
        <w:tc>
          <w:tcPr>
            <w:tcW w:w="7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11,678,568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12,590,221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18,573,067</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Non-GAAP Basic Shares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13,453,568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14,112,344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18,573,067</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12,870,632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14,543,170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21,140,382</w:t>
            </w: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Non-GAAP Diluted Shares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14,645,632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16,065,293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21,140,382</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firstLine="494"/>
        <w:spacing w:after="0" w:line="249" w:lineRule="auto"/>
        <w:tabs>
          <w:tab w:leader="none" w:pos="7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recognized a tax benefit of $14,138 due to the release of the deferred tax asset valuation allowance subsequent to the spin-off of Republic Wireless for the year ended December 31, 2016.</w:t>
      </w:r>
    </w:p>
    <w:p>
      <w:pPr>
        <w:spacing w:after="0" w:line="1" w:lineRule="exact"/>
        <w:rPr>
          <w:rFonts w:ascii="Arial" w:cs="Arial" w:eastAsia="Arial" w:hAnsi="Arial"/>
          <w:sz w:val="18"/>
          <w:szCs w:val="18"/>
          <w:color w:val="auto"/>
        </w:rPr>
      </w:pPr>
    </w:p>
    <w:p>
      <w:pPr>
        <w:ind w:right="20" w:firstLine="494"/>
        <w:spacing w:after="0" w:line="245" w:lineRule="auto"/>
        <w:tabs>
          <w:tab w:leader="none" w:pos="7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December 22, 2017, the Tax Cuts and Jobs Act (the “Act”) was enacted into law. As a result of this change in tax law, the Company recorded a remeasurement of its DTA, which resulted in additional income tax expense of $2,073.</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Free Cash Flow</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Free cash flow represents net cash provided by or used in operating activities less net cash used in the acquisition of property and equipment and capitalized development costs of software for internal use. We believe that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88"/>
              </w:rPr>
              <w:t>Year ended December 31,</w:t>
            </w:r>
          </w:p>
        </w:tc>
        <w:tc>
          <w:tcPr>
            <w:tcW w:w="1040" w:type="dxa"/>
            <w:vAlign w:val="bottom"/>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8"/>
              </w:rPr>
              <w:t>16,942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90"/>
              </w:rPr>
              <w:t>24,633</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Net cash used in investing in capital assets (1)</w:t>
            </w:r>
          </w:p>
        </w:tc>
        <w:tc>
          <w:tcPr>
            <w:tcW w:w="300" w:type="dxa"/>
            <w:vAlign w:val="bottom"/>
          </w:tcPr>
          <w:p>
            <w:pPr>
              <w:spacing w:after="0"/>
              <w:rPr>
                <w:sz w:val="21"/>
                <w:szCs w:val="21"/>
                <w:color w:val="auto"/>
              </w:rPr>
            </w:pPr>
          </w:p>
        </w:tc>
        <w:tc>
          <w:tcPr>
            <w:tcW w:w="1080" w:type="dxa"/>
            <w:vAlign w:val="bottom"/>
          </w:tcPr>
          <w:p>
            <w:pPr>
              <w:ind w:left="540"/>
              <w:spacing w:after="0"/>
              <w:rPr>
                <w:sz w:val="20"/>
                <w:szCs w:val="20"/>
                <w:color w:val="auto"/>
              </w:rPr>
            </w:pPr>
            <w:r>
              <w:rPr>
                <w:rFonts w:ascii="Arial" w:cs="Arial" w:eastAsia="Arial" w:hAnsi="Arial"/>
                <w:sz w:val="18"/>
                <w:szCs w:val="18"/>
                <w:color w:val="auto"/>
                <w:w w:val="91"/>
              </w:rPr>
              <w:t>(6,061)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center"/>
              <w:ind w:left="310"/>
              <w:spacing w:after="0"/>
              <w:rPr>
                <w:sz w:val="20"/>
                <w:szCs w:val="20"/>
                <w:color w:val="auto"/>
              </w:rPr>
            </w:pPr>
            <w:r>
              <w:rPr>
                <w:rFonts w:ascii="Arial" w:cs="Arial" w:eastAsia="Arial" w:hAnsi="Arial"/>
                <w:sz w:val="18"/>
                <w:szCs w:val="18"/>
                <w:color w:val="auto"/>
                <w:w w:val="89"/>
              </w:rPr>
              <w:t>(14,447)</w:t>
            </w:r>
          </w:p>
        </w:tc>
      </w:tr>
      <w:tr>
        <w:trPr>
          <w:trHeight w:val="27"/>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w w:val="98"/>
              </w:rPr>
              <w:t>10,881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90"/>
              </w:rPr>
              <w:t>10,186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acquisition cost of property, equipment and capitalized development costs for software for internal 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231F20"/>
        </w:rPr>
        <w:t>The following discussion and analysis of our financial condition and results of operations should be read in conjunction with our consolidated financial statements and related notes that are included elsewhere in this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on Form 10-K. Our fiscal year ends on December 31.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8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the years ended December 31, 2016, 2017 and 2018, total revenue was $152.1 million, $163.0 million and $204.1 million, respectively. CPaaS revenue for the years ended December 31, 2016, 2017 and 2018 was $117.1 million, $131.6 million and $164.4 million, respectively, representing an increase of 12% in 2017 and 25% in 2018. Net income for the years ended December 31, 2016, 2017 and 2018 was $22.4 million, $6.0 million and $17.9 million, respectively. For the years ended December 31, 2016, 2017 and 2018 the number of active CPaaS customer accounts was 798, 965 and 1,230, respectively, representing a year over year increase of 21% in 2017 and 27% in 2018.</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0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9"/>
              </w:rPr>
              <w:t>Year ended December 31,</w:t>
            </w:r>
          </w:p>
        </w:tc>
        <w:tc>
          <w:tcPr>
            <w:tcW w:w="126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(Dollars in thousands)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active CPaaS customers (as of period end)</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1,230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Dollar-based net retention rate</w:t>
            </w: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7"/>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9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22,223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16,106</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10,881</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10,186</w:t>
            </w:r>
          </w:p>
        </w:tc>
      </w:tr>
    </w:tbl>
    <w:p>
      <w:pPr>
        <w:spacing w:after="0" w:line="25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Number of Active CPaaS Customer Accounts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the years ended December 31, 2016, 2017 and 2018, </w:t>
      </w:r>
      <w:r>
        <w:rPr>
          <w:rFonts w:ascii="Arial" w:cs="Arial" w:eastAsia="Arial" w:hAnsi="Arial"/>
          <w:sz w:val="20"/>
          <w:szCs w:val="20"/>
          <w:color w:val="231F20"/>
        </w:rPr>
        <w:t>revenue from active CPaaS customer accounts represented approximately 99%</w:t>
      </w:r>
      <w:r>
        <w:rPr>
          <w:rFonts w:ascii="Arial" w:cs="Arial" w:eastAsia="Arial" w:hAnsi="Arial"/>
          <w:sz w:val="20"/>
          <w:szCs w:val="20"/>
          <w:color w:val="auto"/>
        </w:rPr>
        <w:t xml:space="preserve"> </w:t>
      </w:r>
      <w:r>
        <w:rPr>
          <w:rFonts w:ascii="Arial" w:cs="Arial" w:eastAsia="Arial" w:hAnsi="Arial"/>
          <w:sz w:val="20"/>
          <w:szCs w:val="20"/>
          <w:color w:val="231F20"/>
        </w:rPr>
        <w:t>of total CPaaS revenue.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Dollar-Based Net Retention Rate</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Components of Statements of Operations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For the years ended December 31, 2016, 2017 and 2018, we generated 56%, 58% and 64% of our CPaaS revenue, respectively, from usage-based fees. We also earn monthly fees from services such as phone number services and 911 access service. For the years ended December 31, 2016, 2017 and 2018, we generated 41%, 40% and 34% of our CPaaS revenue, respectively, in each period from monthly per unit fees. The remaining 2-3% of our CPaaS revenue is generated from other miscellaneous services.</w:t>
      </w:r>
    </w:p>
    <w:p>
      <w:pPr>
        <w:spacing w:after="0" w:line="2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We recognize accounts receivable at the time the customer is invoiced. Additionally, we record a receivable and revenue for unbilled revenue if the services have been delivered and are billable in subsequent periods. Unbilled revenue made up 44%, 41% and 47% of outstanding accounts receivable, net of allowance for doubtful accounts as of December 31, 2016, 2017 and 2018, respectively.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Research and Development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231F20"/>
        </w:rPr>
        <w:t>R&amp;D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231F20"/>
        </w:rPr>
        <w:t>Sales and Marketing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Income Taxes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years ended December 31, 2016, 2017 and 2018, our effective tax rate was (77.4)%, 53.7% and (154.1)%, respectively. The decrease in our effective tax rate is primarily due to the impact of stock compensation tax deductions from stock option exercises, as well as the decrease in the federal statutory tax rate under the Act.</w:t>
      </w:r>
    </w:p>
    <w:p>
      <w:pPr>
        <w:spacing w:after="0" w:line="2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22222"/>
        </w:rPr>
        <w:t>On December 22, 2017, the Act was enacted into law. The income tax effects of changes in tax laws are recognized in the period when enacted. Among its numerous changes to the Internal Revenue Code, the Act reduces U.S. corporate rates from 35% to 21% for periods beginning on or after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Results of Operations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231F20"/>
        </w:rPr>
        <w:t>Consolidated Results of Operations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sets forth the consolidated statements of operations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104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6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6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8"/>
                <w:szCs w:val="18"/>
                <w:color w:val="auto"/>
              </w:rPr>
              <w:t>CPaaS revenue</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117,078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131,572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164,415</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39,698</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152,135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204,113</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8"/>
                <w:szCs w:val="18"/>
                <w:color w:val="auto"/>
              </w:rPr>
              <w:t>CPaaS cost of revenue</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94,296</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108,145</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8"/>
                <w:szCs w:val="18"/>
                <w:color w:val="auto"/>
              </w:rPr>
              <w:t>CPaaS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70,119</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25,849</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95,968</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20,897</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r>
      <w:tr>
        <w:trPr>
          <w:trHeight w:val="243"/>
        </w:trPr>
        <w:tc>
          <w:tcPr>
            <w:tcW w:w="68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47,588</w:t>
            </w:r>
          </w:p>
        </w:tc>
      </w:tr>
      <w:tr>
        <w:trPr>
          <w:trHeight w:val="27"/>
        </w:trPr>
        <w:tc>
          <w:tcPr>
            <w:tcW w:w="6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89,216</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6,752</w:t>
            </w:r>
          </w:p>
        </w:tc>
      </w:tr>
      <w:tr>
        <w:trPr>
          <w:trHeight w:val="27"/>
        </w:trPr>
        <w:tc>
          <w:tcPr>
            <w:tcW w:w="6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Interest (expense) income, net</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6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7,053</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10,870</w:t>
            </w:r>
          </w:p>
        </w:tc>
      </w:tr>
      <w:tr>
        <w:trPr>
          <w:trHeight w:val="27"/>
        </w:trPr>
        <w:tc>
          <w:tcPr>
            <w:tcW w:w="6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65" w:lineRule="exact"/>
        <w:rPr>
          <w:sz w:val="20"/>
          <w:szCs w:val="20"/>
          <w:color w:val="auto"/>
        </w:rPr>
      </w:pPr>
    </w:p>
    <w:p>
      <w:pPr>
        <w:ind w:right="2360" w:firstLine="648"/>
        <w:spacing w:after="0" w:line="260" w:lineRule="auto"/>
        <w:rPr>
          <w:sz w:val="20"/>
          <w:szCs w:val="20"/>
          <w:color w:val="auto"/>
        </w:rPr>
      </w:pPr>
      <w:r>
        <w:rPr>
          <w:rFonts w:ascii="Arial" w:cs="Arial" w:eastAsia="Arial" w:hAnsi="Arial"/>
          <w:sz w:val="20"/>
          <w:szCs w:val="20"/>
          <w:color w:val="231F20"/>
        </w:rPr>
        <w:t>The following table sets forth our results of operations as a percentage of our total revenue for the periods presented. *</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60" w:type="dxa"/>
            <w:vAlign w:val="bottom"/>
            <w:gridSpan w:val="7"/>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2"/>
          </w:tcPr>
          <w:p>
            <w:pPr>
              <w:ind w:left="736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CPaaS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77 %</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CPaaS cost of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cost of revenue</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CPaaS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gridSpan w:val="2"/>
          </w:tcPr>
          <w:p>
            <w:pPr>
              <w:ind w:left="220"/>
              <w:spacing w:after="0"/>
              <w:rPr>
                <w:sz w:val="20"/>
                <w:szCs w:val="20"/>
                <w:color w:val="auto"/>
              </w:rPr>
            </w:pPr>
            <w:r>
              <w:rPr>
                <w:rFonts w:ascii="Arial" w:cs="Arial" w:eastAsia="Arial" w:hAnsi="Arial"/>
                <w:sz w:val="18"/>
                <w:szCs w:val="18"/>
                <w:color w:val="auto"/>
              </w:rPr>
              <w:t>Interest (expense) income, net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Income tax benefit (provision)</w:t>
            </w: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Years Ended December 31, 2017 and 2018</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164,415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32,843</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39,698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8,315</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204,113</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41,158</w:t>
            </w:r>
          </w:p>
        </w:tc>
        <w:tc>
          <w:tcPr>
            <w:tcW w:w="7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In 2018, total revenue increased by $41.2 million, or 25%, compared to the same period in 2017, and CPaaS revenue increased by $32.8 million, or 25%, compared to the same period in 2017. </w:t>
      </w:r>
      <w:r>
        <w:rPr>
          <w:rFonts w:ascii="Arial" w:cs="Arial" w:eastAsia="Arial" w:hAnsi="Arial"/>
          <w:sz w:val="19"/>
          <w:szCs w:val="19"/>
          <w:color w:val="231F20"/>
        </w:rPr>
        <w:t>The increase in CPaaS revenue was primarily attributable to an increase in the</w:t>
      </w:r>
      <w:r>
        <w:rPr>
          <w:rFonts w:ascii="Arial" w:cs="Arial" w:eastAsia="Arial" w:hAnsi="Arial"/>
          <w:sz w:val="19"/>
          <w:szCs w:val="19"/>
          <w:color w:val="auto"/>
        </w:rPr>
        <w:t xml:space="preserve"> </w:t>
      </w:r>
      <w:r>
        <w:rPr>
          <w:rFonts w:ascii="Arial" w:cs="Arial" w:eastAsia="Arial" w:hAnsi="Arial"/>
          <w:sz w:val="19"/>
          <w:szCs w:val="19"/>
          <w:color w:val="231F20"/>
        </w:rPr>
        <w:t xml:space="preserve">usage of all our service offerings, particularly our voice and messaging usage, which accounted for </w:t>
      </w:r>
      <w:r>
        <w:rPr>
          <w:rFonts w:ascii="Arial" w:cs="Arial" w:eastAsia="Arial" w:hAnsi="Arial"/>
          <w:sz w:val="19"/>
          <w:szCs w:val="19"/>
          <w:color w:val="000000"/>
        </w:rPr>
        <w:t>$38.2 million</w:t>
      </w:r>
      <w:r>
        <w:rPr>
          <w:rFonts w:ascii="Arial" w:cs="Arial" w:eastAsia="Arial" w:hAnsi="Arial"/>
          <w:sz w:val="19"/>
          <w:szCs w:val="19"/>
          <w:color w:val="231F20"/>
        </w:rPr>
        <w:t xml:space="preserve"> of the increase in CPaaS revenue, and our phone number services and 911-enabled phone number services, which accounted for </w:t>
      </w:r>
      <w:r>
        <w:rPr>
          <w:rFonts w:ascii="Arial" w:cs="Arial" w:eastAsia="Arial" w:hAnsi="Arial"/>
          <w:sz w:val="19"/>
          <w:szCs w:val="19"/>
          <w:color w:val="000000"/>
        </w:rPr>
        <w:t>$6.2 million</w:t>
      </w:r>
      <w:r>
        <w:rPr>
          <w:rFonts w:ascii="Arial" w:cs="Arial" w:eastAsia="Arial" w:hAnsi="Arial"/>
          <w:sz w:val="19"/>
          <w:szCs w:val="19"/>
          <w:color w:val="231F20"/>
        </w:rPr>
        <w:t xml:space="preserve"> of the increase in CPaaS revenue. This increase in CPaaS revenue was partially offset by </w:t>
      </w:r>
      <w:r>
        <w:rPr>
          <w:rFonts w:ascii="Arial" w:cs="Arial" w:eastAsia="Arial" w:hAnsi="Arial"/>
          <w:sz w:val="19"/>
          <w:szCs w:val="19"/>
          <w:color w:val="000000"/>
        </w:rPr>
        <w:t>$11.6 million</w:t>
      </w:r>
      <w:r>
        <w:rPr>
          <w:rFonts w:ascii="Arial" w:cs="Arial" w:eastAsia="Arial" w:hAnsi="Arial"/>
          <w:sz w:val="19"/>
          <w:szCs w:val="19"/>
          <w:color w:val="231F20"/>
        </w:rPr>
        <w:t xml:space="preserve"> related to pricing decreases that we have implemented over time with our customers in the form of lower usage prices to increase the reach and scale of our platform. The changes in usage and price in 2018 compared to the same period in 2017 were reflected in our dollar-based net retention rate of 118%. The increase in usage was also attributable to a 27% increase in the number of active CPaaS customer accounts, from 965 as of December 31, 2017 to 1,230 as of December 31, 2018. In addition, revenue from new CPaaS customers contributed $8.7 million, or 7%, to CPaaS revenue for 2018 compared to $5.5 million, or 5% to CPaaS revenue in the same period in 2017. </w:t>
      </w:r>
      <w:r>
        <w:rPr>
          <w:rFonts w:ascii="Arial" w:cs="Arial" w:eastAsia="Arial" w:hAnsi="Arial"/>
          <w:sz w:val="19"/>
          <w:szCs w:val="19"/>
          <w:color w:val="000000"/>
        </w:rPr>
        <w:t>As a percentage of total revenue, CPaaS revenue remained flat at 81% from</w:t>
      </w:r>
      <w:r>
        <w:rPr>
          <w:rFonts w:ascii="Arial" w:cs="Arial" w:eastAsia="Arial" w:hAnsi="Arial"/>
          <w:sz w:val="19"/>
          <w:szCs w:val="19"/>
          <w:color w:val="231F20"/>
        </w:rPr>
        <w:t xml:space="preserve"> 2018 </w:t>
      </w:r>
      <w:r>
        <w:rPr>
          <w:rFonts w:ascii="Arial" w:cs="Arial" w:eastAsia="Arial" w:hAnsi="Arial"/>
          <w:sz w:val="19"/>
          <w:szCs w:val="19"/>
          <w:color w:val="000000"/>
        </w:rPr>
        <w:t>to the same period</w:t>
      </w:r>
      <w:r>
        <w:rPr>
          <w:rFonts w:ascii="Arial" w:cs="Arial" w:eastAsia="Arial" w:hAnsi="Arial"/>
          <w:sz w:val="19"/>
          <w:szCs w:val="19"/>
          <w:color w:val="231F20"/>
        </w:rPr>
        <w:t xml:space="preserve"> </w:t>
      </w:r>
      <w:r>
        <w:rPr>
          <w:rFonts w:ascii="Arial" w:cs="Arial" w:eastAsia="Arial" w:hAnsi="Arial"/>
          <w:sz w:val="19"/>
          <w:szCs w:val="19"/>
          <w:color w:val="000000"/>
        </w:rPr>
        <w:t xml:space="preserve">in 2017. </w:t>
      </w:r>
      <w:r>
        <w:rPr>
          <w:rFonts w:ascii="Arial" w:cs="Arial" w:eastAsia="Arial" w:hAnsi="Arial"/>
          <w:sz w:val="19"/>
          <w:szCs w:val="19"/>
          <w:color w:val="231F20"/>
        </w:rPr>
        <w:t>Other revenue increased by $8.3 million, or 26%, primarily due to the settlement of a dispute and a higher than usual amount of</w:t>
      </w:r>
      <w:r>
        <w:rPr>
          <w:rFonts w:ascii="Arial" w:cs="Arial" w:eastAsia="Arial" w:hAnsi="Arial"/>
          <w:sz w:val="19"/>
          <w:szCs w:val="19"/>
          <w:color w:val="000000"/>
        </w:rPr>
        <w:t xml:space="preserve"> </w:t>
      </w:r>
      <w:r>
        <w:rPr>
          <w:rFonts w:ascii="Arial" w:cs="Arial" w:eastAsia="Arial" w:hAnsi="Arial"/>
          <w:sz w:val="19"/>
          <w:szCs w:val="19"/>
          <w:color w:val="231F20"/>
        </w:rPr>
        <w:t>indirect revenue, which increased by $11.1 million. This increase was partially offset by the expected declines in our legacy services of $2.8 million.</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94,296</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18,437</w:t>
            </w:r>
          </w:p>
        </w:tc>
        <w:tc>
          <w:tcPr>
            <w:tcW w:w="7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7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108,145</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18,883</w:t>
            </w: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22,275</w:t>
            </w:r>
          </w:p>
        </w:tc>
        <w:tc>
          <w:tcPr>
            <w:tcW w:w="7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In 2018, </w:t>
      </w:r>
      <w:r>
        <w:rPr>
          <w:rFonts w:ascii="Arial" w:cs="Arial" w:eastAsia="Arial" w:hAnsi="Arial"/>
          <w:sz w:val="19"/>
          <w:szCs w:val="19"/>
          <w:color w:val="231F20"/>
        </w:rPr>
        <w:t>total gross profit increased by $22.3 million, or 30%, compared to the same period in 2017. Total gross margin increased from</w:t>
      </w:r>
      <w:r>
        <w:rPr>
          <w:rFonts w:ascii="Arial" w:cs="Arial" w:eastAsia="Arial" w:hAnsi="Arial"/>
          <w:sz w:val="19"/>
          <w:szCs w:val="19"/>
          <w:color w:val="auto"/>
        </w:rPr>
        <w:t xml:space="preserve"> </w:t>
      </w:r>
      <w:r>
        <w:rPr>
          <w:rFonts w:ascii="Arial" w:cs="Arial" w:eastAsia="Arial" w:hAnsi="Arial"/>
          <w:sz w:val="19"/>
          <w:szCs w:val="19"/>
          <w:color w:val="231F20"/>
        </w:rPr>
        <w:t xml:space="preserve">45% to 47% during the same period. </w:t>
      </w:r>
      <w:r>
        <w:rPr>
          <w:rFonts w:ascii="Arial" w:cs="Arial" w:eastAsia="Arial" w:hAnsi="Arial"/>
          <w:sz w:val="19"/>
          <w:szCs w:val="19"/>
          <w:color w:val="000000"/>
        </w:rPr>
        <w:t>In 2018,</w:t>
      </w:r>
      <w:r>
        <w:rPr>
          <w:rFonts w:ascii="Arial" w:cs="Arial" w:eastAsia="Arial" w:hAnsi="Arial"/>
          <w:sz w:val="19"/>
          <w:szCs w:val="19"/>
          <w:color w:val="231F20"/>
        </w:rPr>
        <w:t xml:space="preserve"> CPaaS cost of revenue increased by $18.4 million, or 24% compared to the same period in 2017. CPaaS cost of revenue increased primarily due to an increase in voice usage costs of $11.7 million due to growth in minutes used by customers, partially offset by a decrease in the cost per minute from vendors. Network costs also increased $5.6 million due to network expansions. Cost of messaging increased by $1.3 million due to growth in messages used by customers and increased cost per message from vendors. Cost of phone numbers increased by $0.1 million, offset by a $0.3 million decrease in 911 enabled numbers costs. CPaaS gross margin was 42% and 43% for 2017 and 2018, respectively. Excluding depreciation and stock-based compensation of $4.4 million </w:t>
      </w:r>
      <w:r>
        <w:rPr>
          <w:rFonts w:ascii="Arial" w:cs="Arial" w:eastAsia="Arial" w:hAnsi="Arial"/>
          <w:sz w:val="19"/>
          <w:szCs w:val="19"/>
          <w:color w:val="000000"/>
        </w:rPr>
        <w:t>in 2017 and</w:t>
      </w:r>
      <w:r>
        <w:rPr>
          <w:rFonts w:ascii="Arial" w:cs="Arial" w:eastAsia="Arial" w:hAnsi="Arial"/>
          <w:sz w:val="19"/>
          <w:szCs w:val="19"/>
          <w:color w:val="231F20"/>
        </w:rPr>
        <w:t xml:space="preserve"> $4.6 million </w:t>
      </w:r>
      <w:r>
        <w:rPr>
          <w:rFonts w:ascii="Arial" w:cs="Arial" w:eastAsia="Arial" w:hAnsi="Arial"/>
          <w:sz w:val="19"/>
          <w:szCs w:val="19"/>
          <w:color w:val="000000"/>
        </w:rPr>
        <w:t>2018</w:t>
      </w:r>
      <w:r>
        <w:rPr>
          <w:rFonts w:ascii="Arial" w:cs="Arial" w:eastAsia="Arial" w:hAnsi="Arial"/>
          <w:sz w:val="19"/>
          <w:szCs w:val="19"/>
          <w:color w:val="231F20"/>
        </w:rPr>
        <w:t xml:space="preserve">, CPaaS Non-GAAP gross margin was 46% and 45% for 2017 </w:t>
      </w:r>
      <w:r>
        <w:rPr>
          <w:rFonts w:ascii="Arial" w:cs="Arial" w:eastAsia="Arial" w:hAnsi="Arial"/>
          <w:sz w:val="19"/>
          <w:szCs w:val="19"/>
          <w:color w:val="000000"/>
        </w:rPr>
        <w:t>and 2018</w:t>
      </w:r>
      <w:r>
        <w:rPr>
          <w:rFonts w:ascii="Arial" w:cs="Arial" w:eastAsia="Arial" w:hAnsi="Arial"/>
          <w:sz w:val="19"/>
          <w:szCs w:val="19"/>
          <w:color w:val="231F20"/>
        </w:rPr>
        <w:t>, respectively, and total Non-GAAP gross margin was 48% and 49% for the same periods.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Other cost of revenue increased by $0.4 million, which was due to a $1.6 million increase in cost of indirect revenue related to cost of carrier access revenue, partially offset by a $1.2 million decrease as a result of churn in legacy services.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10,108</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9,513</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47,588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10,519</w:t>
            </w:r>
          </w:p>
        </w:tc>
        <w:tc>
          <w:tcPr>
            <w:tcW w:w="7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59,076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89,216</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30,140</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In 2018, </w:t>
      </w:r>
      <w:r>
        <w:rPr>
          <w:rFonts w:ascii="Arial" w:cs="Arial" w:eastAsia="Arial" w:hAnsi="Arial"/>
          <w:sz w:val="20"/>
          <w:szCs w:val="20"/>
          <w:color w:val="231F20"/>
        </w:rPr>
        <w:t>R&amp;D expenses increased by $10.1 million, or 94%, compared to the same period in 2017. This increase was primarily due to</w:t>
      </w:r>
      <w:r>
        <w:rPr>
          <w:rFonts w:ascii="Arial" w:cs="Arial" w:eastAsia="Arial" w:hAnsi="Arial"/>
          <w:sz w:val="20"/>
          <w:szCs w:val="20"/>
          <w:color w:val="auto"/>
        </w:rPr>
        <w:t xml:space="preserve"> </w:t>
      </w:r>
      <w:r>
        <w:rPr>
          <w:rFonts w:ascii="Arial" w:cs="Arial" w:eastAsia="Arial" w:hAnsi="Arial"/>
          <w:sz w:val="20"/>
          <w:szCs w:val="20"/>
          <w:color w:val="231F20"/>
        </w:rPr>
        <w:t>increased personnel costs of $8.8 million and other non-headcount costs of $1.3 million.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2018, </w:t>
      </w:r>
      <w:r>
        <w:rPr>
          <w:rFonts w:ascii="Arial" w:cs="Arial" w:eastAsia="Arial" w:hAnsi="Arial"/>
          <w:sz w:val="20"/>
          <w:szCs w:val="20"/>
          <w:color w:val="231F20"/>
        </w:rPr>
        <w:t>sales and marketing expenses increased by $9.5 million, or 85%, compared to the same period in 2017 primarily due to an</w:t>
      </w:r>
      <w:r>
        <w:rPr>
          <w:rFonts w:ascii="Arial" w:cs="Arial" w:eastAsia="Arial" w:hAnsi="Arial"/>
          <w:sz w:val="20"/>
          <w:szCs w:val="20"/>
          <w:color w:val="auto"/>
        </w:rPr>
        <w:t xml:space="preserve"> </w:t>
      </w:r>
      <w:r>
        <w:rPr>
          <w:rFonts w:ascii="Arial" w:cs="Arial" w:eastAsia="Arial" w:hAnsi="Arial"/>
          <w:sz w:val="20"/>
          <w:szCs w:val="20"/>
          <w:color w:val="231F20"/>
        </w:rPr>
        <w:t>overall increase in sales personnel costs of $8.1 million and other non-headcount costs of $1.4 million.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2018, g</w:t>
      </w:r>
      <w:r>
        <w:rPr>
          <w:rFonts w:ascii="Arial" w:cs="Arial" w:eastAsia="Arial" w:hAnsi="Arial"/>
          <w:sz w:val="20"/>
          <w:szCs w:val="20"/>
          <w:color w:val="231F20"/>
        </w:rPr>
        <w:t>eneral and administrative expenses increased by $10.5 million</w:t>
      </w:r>
      <w:r>
        <w:rPr>
          <w:rFonts w:ascii="Arial" w:cs="Arial" w:eastAsia="Arial" w:hAnsi="Arial"/>
          <w:sz w:val="20"/>
          <w:szCs w:val="20"/>
          <w:color w:val="auto"/>
        </w:rPr>
        <w:t xml:space="preserve">, </w:t>
      </w:r>
      <w:r>
        <w:rPr>
          <w:rFonts w:ascii="Arial" w:cs="Arial" w:eastAsia="Arial" w:hAnsi="Arial"/>
          <w:sz w:val="20"/>
          <w:szCs w:val="20"/>
          <w:color w:val="231F20"/>
        </w:rPr>
        <w:t>or 28%,</w:t>
      </w:r>
      <w:r>
        <w:rPr>
          <w:rFonts w:ascii="Arial" w:cs="Arial" w:eastAsia="Arial" w:hAnsi="Arial"/>
          <w:sz w:val="20"/>
          <w:szCs w:val="20"/>
          <w:color w:val="auto"/>
        </w:rPr>
        <w:t xml:space="preserve"> compared to the same period in 2017. </w:t>
      </w:r>
      <w:r>
        <w:rPr>
          <w:rFonts w:ascii="Arial" w:cs="Arial" w:eastAsia="Arial" w:hAnsi="Arial"/>
          <w:sz w:val="20"/>
          <w:szCs w:val="20"/>
          <w:color w:val="231F20"/>
        </w:rPr>
        <w:t>This increase</w:t>
      </w:r>
      <w:r>
        <w:rPr>
          <w:rFonts w:ascii="Arial" w:cs="Arial" w:eastAsia="Arial" w:hAnsi="Arial"/>
          <w:sz w:val="20"/>
          <w:szCs w:val="20"/>
          <w:color w:val="auto"/>
        </w:rPr>
        <w:t xml:space="preserve"> </w:t>
      </w:r>
      <w:r>
        <w:rPr>
          <w:rFonts w:ascii="Arial" w:cs="Arial" w:eastAsia="Arial" w:hAnsi="Arial"/>
          <w:sz w:val="20"/>
          <w:szCs w:val="20"/>
          <w:color w:val="231F20"/>
        </w:rPr>
        <w:t>was due to higher personnel cost of $4.5 million, professional expenses of $2.3 million, hosted software costs of $1.4 million, facilities expense of $1.3 million, and other non-headcount costs of $1.0 million, which contributed to the overall increase in general and administrative expenses.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Income, Net</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231F20"/>
        </w:rPr>
        <w:t xml:space="preserve">In 2018, interest income increased by $2.0 million compared to the same period in 2017, </w:t>
      </w:r>
      <w:r>
        <w:rPr>
          <w:rFonts w:ascii="Arial" w:cs="Arial" w:eastAsia="Arial" w:hAnsi="Arial"/>
          <w:sz w:val="19"/>
          <w:szCs w:val="19"/>
          <w:color w:val="000000"/>
        </w:rPr>
        <w:t>due to the repayment of all outstanding debt in</w:t>
      </w:r>
      <w:r>
        <w:rPr>
          <w:rFonts w:ascii="Arial" w:cs="Arial" w:eastAsia="Arial" w:hAnsi="Arial"/>
          <w:sz w:val="19"/>
          <w:szCs w:val="19"/>
          <w:color w:val="231F20"/>
        </w:rPr>
        <w:t xml:space="preserve"> </w:t>
      </w:r>
      <w:r>
        <w:rPr>
          <w:rFonts w:ascii="Arial" w:cs="Arial" w:eastAsia="Arial" w:hAnsi="Arial"/>
          <w:sz w:val="19"/>
          <w:szCs w:val="19"/>
          <w:color w:val="000000"/>
        </w:rPr>
        <w:t>2017 with the proceeds from our initial public offering and increased interest income from investments in marketable securities.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 (Provision)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2018, </w:t>
      </w:r>
      <w:r>
        <w:rPr>
          <w:rFonts w:ascii="Arial" w:cs="Arial" w:eastAsia="Arial" w:hAnsi="Arial"/>
          <w:sz w:val="20"/>
          <w:szCs w:val="20"/>
          <w:color w:val="231F20"/>
        </w:rPr>
        <w:t>income tax expense decreased by $17.8 million compared to the same period in 2017. The effective tax rate for 2018 was</w:t>
      </w:r>
      <w:r>
        <w:rPr>
          <w:rFonts w:ascii="Arial" w:cs="Arial" w:eastAsia="Arial" w:hAnsi="Arial"/>
          <w:sz w:val="20"/>
          <w:szCs w:val="20"/>
          <w:color w:val="auto"/>
        </w:rPr>
        <w:t xml:space="preserve"> </w:t>
      </w:r>
      <w:r>
        <w:rPr>
          <w:rFonts w:ascii="Arial" w:cs="Arial" w:eastAsia="Arial" w:hAnsi="Arial"/>
          <w:sz w:val="20"/>
          <w:szCs w:val="20"/>
          <w:color w:val="231F20"/>
        </w:rPr>
        <w:t>(154.1)% compared to 53.7% in the same period in 2017. The decrease in our effective tax rate is primarily due to the impact of tax deductions from stock option exercises, as well as the decrease in the federal statutory tax rate under the Act.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color w:val="231F20"/>
        </w:rPr>
        <w:t>In 2017 we incurred additional income tax expense of $2,073 due to the re-measurement of our deferred tax assets at the lower corporate tax rate. In accordance with SAB118, all accounting related to the Act was completed in Q4 of 2018. There was no change to the provisional re-measurement of our deferreds that was recorded in Q4 of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the Years Ended December 31, 2016 and 2017</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131,572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14,494</w:t>
            </w: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1"/>
              </w:rPr>
              <w:t>(3,674)</w:t>
            </w:r>
          </w:p>
        </w:tc>
        <w:tc>
          <w:tcPr>
            <w:tcW w:w="7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152,135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162,955</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10,820</w:t>
            </w:r>
          </w:p>
        </w:tc>
        <w:tc>
          <w:tcPr>
            <w:tcW w:w="7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In 2017, total revenue increased by $10.8 million, or 7%, compared to 2016, and CPaaS revenue increased by $14.5 million, or 12%. As a percentage of total revenue, CPaaS revenue increased from 77% to 81% from 2016 to 2017. The increase in CPaaS revenue was primarily attributable to an increase in the usage of all our service offerings, particularly our voice and messaging usage, which accounted for $21.4 million of the increase in CPaaS revenue, and our phone number services and 911-enabled phone number services, which accounted for $4.1 million of the increase in CPaaS revenue. This overall increase in CPaaS revenue was partially offset by $11.1 million related to pricing decreases that we have implemented over time with our customers in the form of lower usage prices to increase the reach and scale of our platform. The changes in usage and price in 2017 were reflected in our dollar-based net retention rate of 107%. The increase in usage was also attributable to a 21% increase in the number of active CPaaS customer accounts, from 798 as of December 31, 2016 to 965 as of December 31, 2017. In addition, revenue from new CPaaS customers contributed $5.7 million, or 5%, to CPaaS revenue for 2017 compared to $4.2 million, or 4%, to CPaaS revenue in 2016. Other revenue decreased by $3.7 million, or 10%, due to expected declines in our legacy services of $3.1 million and a decrease in indirect revenue of $0.6 million.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Cost of Revenue and Gross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6"/>
              </w:rPr>
              <w:t>Year ended December 31,</w:t>
            </w: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Change</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(Dollars in thousands)</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CPaaS 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71,218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4,641</w:t>
            </w:r>
          </w:p>
        </w:tc>
        <w:tc>
          <w:tcPr>
            <w:tcW w:w="7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cost of revenue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7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85,218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73,693</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7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CPaaS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margin</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231F20"/>
        </w:rPr>
        <w:t>In 2017, total gross profit increased by $6.8 million, or 10%, compared to 2016. Total gross margin increased from 44% to 45% during the same period. In 2017, CPaaS cost of revenue increased by $4.6 million, or 7%, compared to 2016. CPaaS cost of revenue increased primarily due to an increase in voice usage costs of $1.9 million due to growth in minutes used by customers, partially offset by a decrease in the cost per minute from vendors. Cost of phone numbers increased by $0.8 million due to an increase in phone numbers used by customers. Cost of messaging increased by $0.6 million due to an increase in number of messages used by customers and a slight increase in the cost per message. Additional increases were due to network costs and 911 services which increased $1.0 million and $0.2 million, respectively. CPaaS gross margin increased from 39% in 2016 to 42% in 2017. Excluding depreciation and stock-based compensation of $4.6 million and $4.4 million for 2016 and 2017, respectively, CPaaS Non-GAAP gross margin was 43% and 46% for 2016 and 2017, respectively, and total Non-GAAP gross margin was 47% and 48% for the same periods.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Other cost of revenue decreased by $0.6 million, which was due to a $1.3 million decrease as a result of churn in legacy services, partially offset by a $0.7 million increase in cost of indirect revenue related to an increase in cost of carrier access revenue and toll-free number registration fees.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Operating Expenses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7"/>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(Dollars in thousands)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2,269</w:t>
            </w:r>
          </w:p>
        </w:tc>
        <w:tc>
          <w:tcPr>
            <w:tcW w:w="7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1,924</w:t>
            </w:r>
          </w:p>
        </w:tc>
        <w:tc>
          <w:tcPr>
            <w:tcW w:w="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3,210</w:t>
            </w:r>
          </w:p>
        </w:tc>
        <w:tc>
          <w:tcPr>
            <w:tcW w:w="7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59,076</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7,403</w:t>
            </w:r>
          </w:p>
        </w:tc>
        <w:tc>
          <w:tcPr>
            <w:tcW w:w="7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In 2017, R&amp;D expenses increased by $2.3 million, or 27%, compared to 2016. This increase was primarily due to increased personnel costs of $2.2 million and professional fees of $0.1 million.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In 2017, sales and marketing expenses increased by $1.9 million, or 21%, compared to 2016 primarily due to an overall increase in sales personnel costs of $1.9 million.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231F20"/>
        </w:rPr>
        <w:t>In 2017, general and administrative expenses increased by $3.2 million, or 9%, compared to 2016. This increase was due to increases of $1.2 million in facilities expenses, $1.0 million for hosted software costs, $0.4 million for professional expenses, partially offset by a $0.9 million decrease in depreciation and amortization expenses. An increase in personnel cost of $1.5 million also contributed to the overall general and administrative expenses.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Interest (Expense) Income, Net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In 2017, interest expense increased by $0.8 million compared to 2016, due to an increased balance outstanding of our credit facility that we entered into in November 2016. The balance of the credit facility was paid off in full in November 2017 with proceeds from our initial public offering.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Income Tax Benefit (Provision)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In 2017, income tax expense increased by $18.0 million compared to 2016. The effective tax rate for 2017 was 53.7% compared to (77.4)% in 2016. During 2016, we had a full valuation against our DTA. The valuation allowance was released in December 2016 subsequent to the Spin-Off.</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231F20"/>
        </w:rPr>
        <w:t>Loss from Discontinued Operations, Net of Income Tax</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231F20"/>
        </w:rPr>
        <w:t>In 2017, loss from discontinued operations decreased by $3.1 million compared to 2016. The Spin-Off of Republic took place on November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Results of Operations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231F20"/>
        </w:rPr>
        <w:t>The following tables set forth our unaudited quarterly statements of operations data for each of the eight quarters ended December 31, 2018. The information for each quarter has been prepared on a basis consistent with our audited consolidated financial statements included in this Annual Report on Form 10-K, and reflect, in the opinion of management, all adjustments of a normal, recurring nature that are necessary for a fair presentation of the financial information contained in those statements. Our historical results are not necessarily indicative of the results that may be expected in the future. The following quarterly financial data should be read in conjunction with our audited consolidated financial statements included in this Annual Report on Form 10-K.</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9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1"/>
        </w:trPr>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(Unaudited, in thousands)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20"/>
              <w:spacing w:after="0"/>
              <w:rPr>
                <w:sz w:val="20"/>
                <w:szCs w:val="20"/>
                <w:color w:val="auto"/>
              </w:rPr>
            </w:pPr>
            <w:r>
              <w:rPr>
                <w:rFonts w:ascii="Arial" w:cs="Arial" w:eastAsia="Arial" w:hAnsi="Arial"/>
                <w:sz w:val="14"/>
                <w:szCs w:val="14"/>
                <w:color w:val="auto"/>
              </w:rPr>
              <w:t>CPaaS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31,647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31,547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33,397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34,981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38,897</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39,833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41,537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44,148</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90"/>
        </w:trPr>
        <w:tc>
          <w:tcPr>
            <w:tcW w:w="21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42,466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53,012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48,304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50,454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52,343</w:t>
            </w:r>
          </w:p>
        </w:tc>
        <w:tc>
          <w:tcPr>
            <w:tcW w:w="0" w:type="dxa"/>
            <w:vAlign w:val="bottom"/>
          </w:tcPr>
          <w:p>
            <w:pPr>
              <w:spacing w:after="0"/>
              <w:rPr>
                <w:sz w:val="1"/>
                <w:szCs w:val="1"/>
                <w:color w:val="auto"/>
              </w:rPr>
            </w:pPr>
          </w:p>
        </w:tc>
      </w:tr>
      <w:tr>
        <w:trPr>
          <w:trHeight w:val="60"/>
        </w:trPr>
        <w:tc>
          <w:tcPr>
            <w:tcW w:w="2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4"/>
                <w:szCs w:val="14"/>
                <w:b w:val="1"/>
                <w:bCs w:val="1"/>
                <w:color w:val="auto"/>
              </w:rPr>
              <w:t>Cost of revenue: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CPaaS cost of revenue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25,258</w:t>
            </w:r>
          </w:p>
        </w:tc>
        <w:tc>
          <w:tcPr>
            <w:tcW w:w="0" w:type="dxa"/>
            <w:vAlign w:val="bottom"/>
          </w:tcPr>
          <w:p>
            <w:pPr>
              <w:spacing w:after="0"/>
              <w:rPr>
                <w:sz w:val="1"/>
                <w:szCs w:val="1"/>
                <w:color w:val="auto"/>
              </w:rPr>
            </w:pPr>
          </w:p>
        </w:tc>
      </w:tr>
      <w:tr>
        <w:trPr>
          <w:trHeight w:val="197"/>
        </w:trPr>
        <w:tc>
          <w:tcPr>
            <w:tcW w:w="2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cost of revenue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3,483</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 of revenue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28,741</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23,602</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6,786</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w:t>
            </w:r>
          </w:p>
        </w:tc>
        <w:tc>
          <w:tcPr>
            <w:tcW w:w="0" w:type="dxa"/>
            <w:vAlign w:val="bottom"/>
          </w:tcPr>
          <w:p>
            <w:pPr>
              <w:spacing w:after="0"/>
              <w:rPr>
                <w:sz w:val="1"/>
                <w:szCs w:val="1"/>
                <w:color w:val="auto"/>
              </w:rPr>
            </w:pPr>
          </w:p>
        </w:tc>
      </w:tr>
      <w:tr>
        <w:trPr>
          <w:trHeight w:val="197"/>
        </w:trPr>
        <w:tc>
          <w:tcPr>
            <w:tcW w:w="21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13,953</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18,872</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20,579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22,893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26,872</w:t>
            </w: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120"/>
              <w:spacing w:after="0"/>
              <w:rPr>
                <w:sz w:val="20"/>
                <w:szCs w:val="20"/>
                <w:color w:val="auto"/>
              </w:rPr>
            </w:pPr>
            <w:r>
              <w:rPr>
                <w:rFonts w:ascii="Arial" w:cs="Arial" w:eastAsia="Arial" w:hAnsi="Arial"/>
                <w:sz w:val="14"/>
                <w:szCs w:val="14"/>
                <w:color w:val="auto"/>
              </w:rPr>
              <w:t>Interest (expense) income, net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stockholders’ anti-dilutive</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arrangement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57"/>
        </w:trPr>
        <w:tc>
          <w:tcPr>
            <w:tcW w:w="2120" w:type="dxa"/>
            <w:vAlign w:val="bottom"/>
            <w:tcBorders>
              <w:top w:val="single" w:sz="8" w:color="CCEEFF"/>
            </w:tcBorders>
          </w:tcPr>
          <w:p>
            <w:pPr>
              <w:ind w:left="20"/>
              <w:spacing w:after="0" w:line="157" w:lineRule="exact"/>
              <w:rPr>
                <w:sz w:val="20"/>
                <w:szCs w:val="20"/>
                <w:color w:val="auto"/>
              </w:rPr>
            </w:pPr>
            <w:r>
              <w:rPr>
                <w:rFonts w:ascii="Arial" w:cs="Arial" w:eastAsia="Arial" w:hAnsi="Arial"/>
                <w:sz w:val="14"/>
                <w:szCs w:val="14"/>
                <w:color w:val="auto"/>
                <w:w w:val="96"/>
              </w:rPr>
              <w:t>Income from continuing operations</w:t>
            </w:r>
          </w:p>
        </w:tc>
        <w:tc>
          <w:tcPr>
            <w:tcW w:w="14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before income taxes</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(3,211)</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137"/>
        </w:trPr>
        <w:tc>
          <w:tcPr>
            <w:tcW w:w="2120" w:type="dxa"/>
            <w:vAlign w:val="bottom"/>
          </w:tcPr>
          <w:p>
            <w:pPr>
              <w:ind w:left="20"/>
              <w:spacing w:after="0" w:line="137" w:lineRule="exact"/>
              <w:rPr>
                <w:sz w:val="20"/>
                <w:szCs w:val="20"/>
                <w:color w:val="auto"/>
              </w:rPr>
            </w:pPr>
            <w:r>
              <w:rPr>
                <w:rFonts w:ascii="Arial" w:cs="Arial" w:eastAsia="Arial" w:hAnsi="Arial"/>
                <w:sz w:val="14"/>
                <w:szCs w:val="14"/>
                <w:color w:val="auto"/>
              </w:rPr>
              <w:t>Income (loss) from continuing</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221"/>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line="150" w:lineRule="exact"/>
              <w:rPr>
                <w:sz w:val="20"/>
                <w:szCs w:val="20"/>
                <w:color w:val="auto"/>
              </w:rPr>
            </w:pPr>
            <w:r>
              <w:rPr>
                <w:rFonts w:ascii="Arial" w:cs="Arial" w:eastAsia="Arial" w:hAnsi="Arial"/>
                <w:sz w:val="14"/>
                <w:szCs w:val="14"/>
                <w:color w:val="auto"/>
              </w:rPr>
              <w:t>Unrealized loss on marketable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securities, net of income tax</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20" w:type="dxa"/>
            <w:vAlign w:val="bottom"/>
          </w:tcPr>
          <w:p>
            <w:pPr>
              <w:ind w:left="20"/>
              <w:spacing w:after="0"/>
              <w:rPr>
                <w:sz w:val="20"/>
                <w:szCs w:val="20"/>
                <w:color w:val="auto"/>
              </w:rPr>
            </w:pPr>
            <w:r>
              <w:rPr>
                <w:rFonts w:ascii="Arial" w:cs="Arial" w:eastAsia="Arial" w:hAnsi="Arial"/>
                <w:sz w:val="14"/>
                <w:szCs w:val="14"/>
                <w:color w:val="auto"/>
              </w:rPr>
              <w:t>benefit</w:t>
            </w: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3"/>
        </w:trPr>
        <w:tc>
          <w:tcPr>
            <w:tcW w:w="21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w w:val="94"/>
              </w:rPr>
              <w:t>Total comprehensive income (loss),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2,989</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6,185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10,516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of income tax</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per share: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120" w:type="dxa"/>
            <w:vAlign w:val="bottom"/>
          </w:tcPr>
          <w:p>
            <w:pPr>
              <w:ind w:left="22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9"/>
        </w:trPr>
        <w:tc>
          <w:tcPr>
            <w:tcW w:w="2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To date, our principal sources of liquidity have been the proceeds of $74.4 million, net of underwriting discounts and commissions, from our initial public offering in November 2017,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Statement of Cash Flows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The following table summarizes our cash flows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0"/>
                <w:szCs w:val="20"/>
                <w:color w:val="auto"/>
              </w:rPr>
            </w:pP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7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(In thousands)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(31,683)</w:t>
            </w:r>
          </w:p>
        </w:tc>
      </w:tr>
      <w:tr>
        <w:trPr>
          <w:trHeight w:val="27"/>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9,349</w:t>
            </w:r>
          </w:p>
        </w:tc>
        <w:tc>
          <w:tcPr>
            <w:tcW w:w="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r>
      <w:tr>
        <w:trPr>
          <w:trHeight w:val="27"/>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Operating Activities</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In 2018, </w:t>
      </w:r>
      <w:r>
        <w:rPr>
          <w:rFonts w:ascii="Arial" w:cs="Arial" w:eastAsia="Arial" w:hAnsi="Arial"/>
          <w:sz w:val="19"/>
          <w:szCs w:val="19"/>
          <w:color w:val="231F20"/>
        </w:rPr>
        <w:t>cash provided by operating activities was $24.6 million, consisting of net income of $17.9 million adjusted for non-cash items.</w:t>
      </w:r>
      <w:r>
        <w:rPr>
          <w:rFonts w:ascii="Arial" w:cs="Arial" w:eastAsia="Arial" w:hAnsi="Arial"/>
          <w:sz w:val="19"/>
          <w:szCs w:val="19"/>
          <w:color w:val="auto"/>
        </w:rPr>
        <w:t xml:space="preserve"> </w:t>
      </w:r>
      <w:r>
        <w:rPr>
          <w:rFonts w:ascii="Arial" w:cs="Arial" w:eastAsia="Arial" w:hAnsi="Arial"/>
          <w:sz w:val="19"/>
          <w:szCs w:val="19"/>
          <w:color w:val="231F20"/>
        </w:rPr>
        <w:t>These non-cash items included depreciation and amortization expense of $5.8 million, stock-based compensation expenses of $3.3 million, deferred tax benefit of $10.8 million and cash provided by changes in operating assets and liabilities of $8.3 million. Cash generated from operating assets and liabilities included an increase in deferred revenue of $6.0 million, an increase in accrued expenses and other liabilities of $4.8 million, increase in deferred rent of $2.1 million and a decrease in deferred costs of $0.2 million. Offsetting these cash generating items in assets and liabilities were an increase in accounts receivable of $2.8 million, an increase in prepaid expenses and other assets of $1.9 million and a decrease in accounts payable of $0.2 million, respectively.</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In 2017, </w:t>
      </w:r>
      <w:r>
        <w:rPr>
          <w:rFonts w:ascii="Arial" w:cs="Arial" w:eastAsia="Arial" w:hAnsi="Arial"/>
          <w:sz w:val="20"/>
          <w:szCs w:val="20"/>
          <w:color w:val="231F20"/>
        </w:rPr>
        <w:t>cash provided by operating activities was $14.6 million, consisting of net income of $6.0 million adjusted for non-cash items.</w:t>
      </w:r>
      <w:r>
        <w:rPr>
          <w:rFonts w:ascii="Arial" w:cs="Arial" w:eastAsia="Arial" w:hAnsi="Arial"/>
          <w:sz w:val="20"/>
          <w:szCs w:val="20"/>
          <w:color w:val="auto"/>
        </w:rPr>
        <w:t xml:space="preserve"> </w:t>
      </w:r>
      <w:r>
        <w:rPr>
          <w:rFonts w:ascii="Arial" w:cs="Arial" w:eastAsia="Arial" w:hAnsi="Arial"/>
          <w:sz w:val="20"/>
          <w:szCs w:val="20"/>
          <w:color w:val="231F20"/>
        </w:rPr>
        <w:t>These non-cash items included depreciation and amortization expense of $5.7 million, deferred tax expense of $6.2 million, stock-based compensation expenses of $1.8 million and cash used for changes in operating assets and liabilities of $5.7 million. Cash outflows from operating assets and liabilities included increases in accounts receivable of $4.4 million, prepaid expenses and other assets of $1.6 million, deferred costs of $0.9 million along with a decrease in accounts payable of $2.4 million. Offsetting these cash outflows was an increase in deferred revenue, increase in deferred rent of $0.2 million and advanced billings of $2.6 million and an increase in accrued expenses and other liabilities of $1.0 million.</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In 2016, cash provided by operating activities from continuing operations was $16.9 million, which primarily consisted of net income from continuing operations of $22.4 million that includes $3.1 million net loss by discontinued operations, depreciation and amortization of $6.1 million, amortization of debt issuance costs of $0.1</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million, $1.4 million of stock-based compensation expenses and impairment of intangible assets of $0.7 million partially offset by a decrease in deferred taxes of $11.1 million and working capital of $5.7 million. Working capital consisted primarily of increases in accounts receivable of $4.0 million, prepaid expenses of $0.8 million, deferred costs of $1.0 million and accrued expenses of $0.6 million, offset by increases in accounts payable of $0.2 million and deferred revenue of $0.5 million.</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Investing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2018, </w:t>
      </w:r>
      <w:r>
        <w:rPr>
          <w:rFonts w:ascii="Arial" w:cs="Arial" w:eastAsia="Arial" w:hAnsi="Arial"/>
          <w:sz w:val="20"/>
          <w:szCs w:val="20"/>
          <w:color w:val="231F20"/>
        </w:rPr>
        <w:t>cash used in investing activities from continuing operations was $31.7 million from the investment in marketable securities of</w:t>
      </w:r>
      <w:r>
        <w:rPr>
          <w:rFonts w:ascii="Arial" w:cs="Arial" w:eastAsia="Arial" w:hAnsi="Arial"/>
          <w:sz w:val="20"/>
          <w:szCs w:val="20"/>
          <w:color w:val="auto"/>
        </w:rPr>
        <w:t xml:space="preserve"> </w:t>
      </w:r>
      <w:r>
        <w:rPr>
          <w:rFonts w:ascii="Arial" w:cs="Arial" w:eastAsia="Arial" w:hAnsi="Arial"/>
          <w:sz w:val="20"/>
          <w:szCs w:val="20"/>
          <w:color w:val="231F20"/>
        </w:rPr>
        <w:t>$35.2 million, the purchase of property and equipment of $12.4 million and capitalized internally developed software costs of $2.0 million, partially offset by maturities of marketable securities of $18.0 million.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2017, </w:t>
      </w:r>
      <w:r>
        <w:rPr>
          <w:rFonts w:ascii="Arial" w:cs="Arial" w:eastAsia="Arial" w:hAnsi="Arial"/>
          <w:sz w:val="20"/>
          <w:szCs w:val="20"/>
          <w:color w:val="231F20"/>
        </w:rPr>
        <w:t>cash used in investing activities from continuing operations was $8.0 million from the purchase of property and equipment of</w:t>
      </w:r>
      <w:r>
        <w:rPr>
          <w:rFonts w:ascii="Arial" w:cs="Arial" w:eastAsia="Arial" w:hAnsi="Arial"/>
          <w:sz w:val="20"/>
          <w:szCs w:val="20"/>
          <w:color w:val="auto"/>
        </w:rPr>
        <w:t xml:space="preserve"> </w:t>
      </w:r>
      <w:r>
        <w:rPr>
          <w:rFonts w:ascii="Arial" w:cs="Arial" w:eastAsia="Arial" w:hAnsi="Arial"/>
          <w:sz w:val="20"/>
          <w:szCs w:val="20"/>
          <w:color w:val="231F20"/>
        </w:rPr>
        <w:t>$5.0 million and capitalized internally developed software costs of $2.9 million.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1F20"/>
        </w:rPr>
        <w:t>In 2016, cash used in investing activities from continuing operations was $6.1 million, of which $3.8 million was used to purchase property, plant and equipment and $2.2 million for capitalized internally developed software costs.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Cash Flows from Financing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2018, </w:t>
      </w:r>
      <w:r>
        <w:rPr>
          <w:rFonts w:ascii="Arial" w:cs="Arial" w:eastAsia="Arial" w:hAnsi="Arial"/>
          <w:sz w:val="20"/>
          <w:szCs w:val="20"/>
          <w:color w:val="231F20"/>
        </w:rPr>
        <w:t>cash provided by financing activities from continuing operations was $10.7 million consisting primarily of $11.1 million in</w:t>
      </w:r>
      <w:r>
        <w:rPr>
          <w:rFonts w:ascii="Arial" w:cs="Arial" w:eastAsia="Arial" w:hAnsi="Arial"/>
          <w:sz w:val="20"/>
          <w:szCs w:val="20"/>
          <w:color w:val="auto"/>
        </w:rPr>
        <w:t xml:space="preserve"> </w:t>
      </w:r>
      <w:r>
        <w:rPr>
          <w:rFonts w:ascii="Arial" w:cs="Arial" w:eastAsia="Arial" w:hAnsi="Arial"/>
          <w:sz w:val="20"/>
          <w:szCs w:val="20"/>
          <w:color w:val="231F20"/>
        </w:rPr>
        <w:t>proceeds from the exercises of stock options, partially offset by $0.3 million in payments related to the cost of our initial public offering and $0.1 million in payments on capital leases.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In 2017, </w:t>
      </w:r>
      <w:r>
        <w:rPr>
          <w:rFonts w:ascii="Arial" w:cs="Arial" w:eastAsia="Arial" w:hAnsi="Arial"/>
          <w:sz w:val="20"/>
          <w:szCs w:val="20"/>
          <w:color w:val="231F20"/>
        </w:rPr>
        <w:t>cash provided by financing activities from continuing operations was $24.2 million consisting primarily of $74.4 million in net</w:t>
      </w:r>
      <w:r>
        <w:rPr>
          <w:rFonts w:ascii="Arial" w:cs="Arial" w:eastAsia="Arial" w:hAnsi="Arial"/>
          <w:sz w:val="20"/>
          <w:szCs w:val="20"/>
          <w:color w:val="auto"/>
        </w:rPr>
        <w:t xml:space="preserve"> </w:t>
      </w:r>
      <w:r>
        <w:rPr>
          <w:rFonts w:ascii="Arial" w:cs="Arial" w:eastAsia="Arial" w:hAnsi="Arial"/>
          <w:sz w:val="20"/>
          <w:szCs w:val="20"/>
          <w:color w:val="231F20"/>
        </w:rPr>
        <w:t>proceeds from our initial public offering, $0.2 million in proceeds from the issuances of common stock as a result of options exercised, and $0.1 million in proceeds from exercise of warrants, partially offset by net repayments of $9.0 million on our line of credit, $0.1 million in payments on capital leases, and $40.0 million in repayments on our term loan.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231F20"/>
        </w:rPr>
        <w:t>In 2016, cash used in financing activities from continuing operations was $1.1 million consisting primarily of $30.0 million in cash distributions to Republic Wireless, $0.6 million in payments of debt issuance costs, net repayments of $12.0 million on our line of credit, $0.1 million in payments on capital leases, offset by $40.0 million of borrowing on our term loan, $1.0 million in proceeds from the issuances of common stock as a result of options exercised, and $0.2 million in proceeds from exercise of warrants.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Debt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November 4, 2016, we entered into a Credit and Security Agreement with a syndicate of four banks. The agreement includes a $40.0 million term loan and a $25.0 million revolving loan, which includes a swing line of up to $1.0 million and limits letters of credit commitments to a maximum of $2.5 million. Substantially all of our assets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16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231F20"/>
        </w:rPr>
        <w:t xml:space="preserve">As of </w:t>
      </w:r>
      <w:r>
        <w:rPr>
          <w:rFonts w:ascii="Arial" w:cs="Arial" w:eastAsia="Arial" w:hAnsi="Arial"/>
          <w:sz w:val="20"/>
          <w:szCs w:val="20"/>
          <w:color w:val="000000"/>
        </w:rPr>
        <w:t>December 31, 2018, we had $0 outstanding on the revolving loan and were in compliance with all financial and non-financial</w:t>
      </w:r>
      <w:r>
        <w:rPr>
          <w:rFonts w:ascii="Arial" w:cs="Arial" w:eastAsia="Arial" w:hAnsi="Arial"/>
          <w:sz w:val="20"/>
          <w:szCs w:val="20"/>
          <w:color w:val="231F20"/>
        </w:rPr>
        <w:t xml:space="preserve"> </w:t>
      </w:r>
      <w:r>
        <w:rPr>
          <w:rFonts w:ascii="Arial" w:cs="Arial" w:eastAsia="Arial" w:hAnsi="Arial"/>
          <w:sz w:val="20"/>
          <w:szCs w:val="20"/>
          <w:color w:val="000000"/>
        </w:rPr>
        <w:t>covenants for all periods presented. The available borrowing capacity under our revolving credit facility loan was $25.0 million as of December 31, 2018.</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of December 31, 2018, the outstanding unamortized loan fees for the revolving loan were $0.1 million and were included in other long-term assets.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Contractual Obligations and Other Commitments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our non-cancellable contractual obligations as of December 31,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Less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More</w:t>
            </w:r>
          </w:p>
        </w:tc>
      </w:tr>
      <w:tr>
        <w:trPr>
          <w:trHeight w:val="216"/>
        </w:trPr>
        <w:tc>
          <w:tcPr>
            <w:tcW w:w="3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than 1</w:t>
            </w:r>
          </w:p>
        </w:tc>
        <w:tc>
          <w:tcPr>
            <w:tcW w:w="12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8"/>
                <w:szCs w:val="18"/>
                <w:b w:val="1"/>
                <w:bCs w:val="1"/>
                <w:color w:val="auto"/>
              </w:rPr>
              <w:t>1 to 3</w:t>
            </w:r>
          </w:p>
        </w:tc>
        <w:tc>
          <w:tcPr>
            <w:tcW w:w="3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3 to 5</w:t>
            </w:r>
          </w:p>
        </w:tc>
        <w:tc>
          <w:tcPr>
            <w:tcW w:w="30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than 5</w:t>
            </w:r>
          </w:p>
        </w:tc>
      </w:tr>
      <w:tr>
        <w:trPr>
          <w:trHeight w:val="234"/>
        </w:trPr>
        <w:tc>
          <w:tcPr>
            <w:tcW w:w="3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year</w:t>
            </w:r>
          </w:p>
        </w:tc>
        <w:tc>
          <w:tcPr>
            <w:tcW w:w="12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Years</w:t>
            </w: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years</w:t>
            </w:r>
          </w:p>
        </w:tc>
      </w:tr>
      <w:tr>
        <w:trPr>
          <w:trHeight w:val="27"/>
        </w:trPr>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3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Capital leases</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 (2)</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72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29,840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3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920" w:hanging="264"/>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right="20" w:firstLine="656"/>
        <w:spacing w:after="0" w:line="261" w:lineRule="auto"/>
        <w:tabs>
          <w:tab w:leader="none" w:pos="916"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and exclude agreements that are cancellable without penalty.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Off-Balance Sheet Arrangements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We have not entered into any off-balance sheet arrangements and do not have any holdings in variable interest entities.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Critical Accounting Policies and Significant Judgments and Estimates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believe the accounting policies discussed below are critical to the process of making significant judgments and estimates in the preparation of our financial statements, and to understanding our historical and future performance.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Revenue Recognition and Deferred Revenue</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w:t>
      </w:r>
    </w:p>
    <w:p>
      <w:pPr>
        <w:spacing w:after="0" w:line="1" w:lineRule="exact"/>
        <w:rPr>
          <w:sz w:val="20"/>
          <w:szCs w:val="20"/>
          <w:color w:val="auto"/>
        </w:rPr>
      </w:pPr>
    </w:p>
    <w:p>
      <w:pPr>
        <w:jc w:val="both"/>
        <w:ind w:firstLine="8"/>
        <w:spacing w:after="0" w:line="282" w:lineRule="auto"/>
        <w:tabs>
          <w:tab w:leader="none" w:pos="3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Stock options awarded to employees, directors and non-employee third parties are measured at fair value on each grant date. Options subject to service-based vesting generally vest annually over a four-year period. The determination of the fair value of stock-based compensation arrangements on the grant date requires judgment. We recognize stock-based compensation expense using the Black-Scholes option-pricing model, net of estimated forfeitures, in order to determine the fair value of stock options, the output of which is affected by a number of variables. These variables include the fair value of our common stock, expected term of the options, expected stock price volatility, risk-free interest rate and expected dividends, which are estimated as follows:</w:t>
      </w:r>
    </w:p>
    <w:p>
      <w:pPr>
        <w:spacing w:after="0" w:line="179" w:lineRule="exact"/>
        <w:rPr>
          <w:sz w:val="20"/>
          <w:szCs w:val="20"/>
          <w:color w:val="auto"/>
        </w:rPr>
      </w:pPr>
    </w:p>
    <w:p>
      <w:pPr>
        <w:jc w:val="both"/>
        <w:ind w:left="660" w:hanging="328"/>
        <w:spacing w:after="0" w:line="244" w:lineRule="auto"/>
        <w:tabs>
          <w:tab w:leader="none" w:pos="648"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Fair value of our common stock. </w:t>
      </w:r>
      <w:r>
        <w:rPr>
          <w:rFonts w:ascii="Arial" w:cs="Arial" w:eastAsia="Arial" w:hAnsi="Arial"/>
          <w:sz w:val="20"/>
          <w:szCs w:val="20"/>
          <w:color w:val="auto"/>
        </w:rPr>
        <w:t>The fair value of the shares of our common stock underlying stock options had historically been</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determined by our board of directors with the assistance of an independent third-party valuation firm. Because there had been no public market for our common stock, our board of directors had relied on this independent valuation and other factors to establish the fair value of our common stock at the time of grant of the option. The determination of the fair value of our common stock is discussed further below.</w:t>
      </w:r>
    </w:p>
    <w:p>
      <w:pPr>
        <w:spacing w:after="0" w:line="194"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Expected term. </w:t>
      </w:r>
      <w:r>
        <w:rPr>
          <w:rFonts w:ascii="Arial" w:cs="Arial" w:eastAsia="Arial" w:hAnsi="Arial"/>
          <w:sz w:val="20"/>
          <w:szCs w:val="20"/>
          <w:color w:val="auto"/>
        </w:rPr>
        <w:t>The expected term was estimated using the simplified method allowed under SEC guidance as we do not have sufficient</w:t>
      </w:r>
      <w:r>
        <w:rPr>
          <w:rFonts w:ascii="Arial" w:cs="Arial" w:eastAsia="Arial" w:hAnsi="Arial"/>
          <w:sz w:val="20"/>
          <w:szCs w:val="20"/>
          <w:i w:val="1"/>
          <w:iCs w:val="1"/>
          <w:color w:val="auto"/>
        </w:rPr>
        <w:t xml:space="preserve"> </w:t>
      </w:r>
      <w:r>
        <w:rPr>
          <w:rFonts w:ascii="Arial" w:cs="Arial" w:eastAsia="Arial" w:hAnsi="Arial"/>
          <w:sz w:val="20"/>
          <w:szCs w:val="20"/>
          <w:color w:val="auto"/>
        </w:rPr>
        <w:t>historical data to use any other method to estimate the expected term.</w:t>
      </w:r>
    </w:p>
    <w:p>
      <w:pPr>
        <w:spacing w:after="0" w:line="176" w:lineRule="exact"/>
        <w:rPr>
          <w:rFonts w:ascii="Arial" w:cs="Arial" w:eastAsia="Arial" w:hAnsi="Arial"/>
          <w:sz w:val="20"/>
          <w:szCs w:val="20"/>
          <w:i w:val="1"/>
          <w:iCs w:val="1"/>
          <w:color w:val="auto"/>
        </w:rPr>
      </w:pPr>
    </w:p>
    <w:p>
      <w:pPr>
        <w:jc w:val="both"/>
        <w:ind w:left="660" w:hanging="328"/>
        <w:spacing w:after="0" w:line="269" w:lineRule="auto"/>
        <w:tabs>
          <w:tab w:leader="none" w:pos="648" w:val="left"/>
        </w:tabs>
        <w:numPr>
          <w:ilvl w:val="0"/>
          <w:numId w:val="3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Expected volatility. </w:t>
      </w:r>
      <w:r>
        <w:rPr>
          <w:rFonts w:ascii="Arial" w:cs="Arial" w:eastAsia="Arial" w:hAnsi="Arial"/>
          <w:sz w:val="19"/>
          <w:szCs w:val="19"/>
          <w:color w:val="auto"/>
        </w:rPr>
        <w:t>The expected volatility is derived from an average of the historical volatilities of the common stock of several</w:t>
      </w:r>
      <w:r>
        <w:rPr>
          <w:rFonts w:ascii="Arial" w:cs="Arial" w:eastAsia="Arial" w:hAnsi="Arial"/>
          <w:sz w:val="19"/>
          <w:szCs w:val="19"/>
          <w:i w:val="1"/>
          <w:iCs w:val="1"/>
          <w:color w:val="auto"/>
        </w:rPr>
        <w:t xml:space="preserve"> </w:t>
      </w:r>
      <w:r>
        <w:rPr>
          <w:rFonts w:ascii="Arial" w:cs="Arial" w:eastAsia="Arial" w:hAnsi="Arial"/>
          <w:sz w:val="19"/>
          <w:szCs w:val="19"/>
          <w:color w:val="auto"/>
        </w:rPr>
        <w:t>entities with characteristics similar to ours, such as the size, and operational and economic similarities to our principle business operations. We use this method because we have limited information on the volatility of our common stock.</w:t>
      </w:r>
    </w:p>
    <w:p>
      <w:pPr>
        <w:spacing w:after="0" w:line="170" w:lineRule="exact"/>
        <w:rPr>
          <w:rFonts w:ascii="Arial" w:cs="Arial" w:eastAsia="Arial" w:hAnsi="Arial"/>
          <w:sz w:val="19"/>
          <w:szCs w:val="19"/>
          <w:i w:val="1"/>
          <w:iCs w:val="1"/>
          <w:color w:val="auto"/>
        </w:rPr>
      </w:pPr>
    </w:p>
    <w:p>
      <w:pPr>
        <w:ind w:left="660" w:hanging="328"/>
        <w:spacing w:after="0" w:line="260" w:lineRule="auto"/>
        <w:tabs>
          <w:tab w:leader="none" w:pos="648"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The risk-free interest rate is based on the yields of U.S. Treasury securities with maturities similar to the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term of the options for each option group.</w:t>
      </w:r>
    </w:p>
    <w:p>
      <w:pPr>
        <w:spacing w:after="0" w:line="176" w:lineRule="exact"/>
        <w:rPr>
          <w:rFonts w:ascii="Arial" w:cs="Arial" w:eastAsia="Arial" w:hAnsi="Arial"/>
          <w:sz w:val="20"/>
          <w:szCs w:val="20"/>
          <w:i w:val="1"/>
          <w:iCs w:val="1"/>
          <w:color w:val="auto"/>
        </w:rPr>
      </w:pPr>
    </w:p>
    <w:p>
      <w:pPr>
        <w:ind w:left="660" w:right="20" w:hanging="328"/>
        <w:spacing w:after="0" w:line="260" w:lineRule="auto"/>
        <w:tabs>
          <w:tab w:leader="none" w:pos="648" w:val="left"/>
        </w:tabs>
        <w:numPr>
          <w:ilvl w:val="0"/>
          <w:numId w:val="3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Expected dividends. </w:t>
      </w:r>
      <w:r>
        <w:rPr>
          <w:rFonts w:ascii="Arial" w:cs="Arial" w:eastAsia="Arial" w:hAnsi="Arial"/>
          <w:sz w:val="20"/>
          <w:szCs w:val="20"/>
          <w:color w:val="auto"/>
        </w:rPr>
        <w:t>The expected dividend is assumed to be zero as we have never paid dividends and have no current plans to pay any</w:t>
      </w:r>
      <w:r>
        <w:rPr>
          <w:rFonts w:ascii="Arial" w:cs="Arial" w:eastAsia="Arial" w:hAnsi="Arial"/>
          <w:sz w:val="20"/>
          <w:szCs w:val="20"/>
          <w:i w:val="1"/>
          <w:iCs w:val="1"/>
          <w:color w:val="auto"/>
        </w:rPr>
        <w:t xml:space="preserve"> </w:t>
      </w:r>
      <w:r>
        <w:rPr>
          <w:rFonts w:ascii="Arial" w:cs="Arial" w:eastAsia="Arial" w:hAnsi="Arial"/>
          <w:sz w:val="20"/>
          <w:szCs w:val="20"/>
          <w:color w:val="auto"/>
        </w:rPr>
        <w:t>dividends on our common stock.</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 addition to the assumptions used in the Black-Scholes option-pricing model, we must also determine a forfeiture rate to calculate the stock-based compensation for awards. Through December 31, 2018, we recognized compensation for only the portion of options expected to vest using an estimated forfeiture rate that was derived from historical employee termination behavior.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20"/>
          <w:szCs w:val="20"/>
          <w:i w:val="1"/>
          <w:iCs w:val="1"/>
          <w:color w:val="auto"/>
        </w:rPr>
        <w:t>Determination of the Fair Value of Common Stock</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Prior to our initial public offering, we had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the following:</w:t>
      </w:r>
    </w:p>
    <w:p>
      <w:pPr>
        <w:spacing w:after="0" w:line="195"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contemporaneous unrelated third-party valuations of our common stock;</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rights, preferences and privileges of our redeemable convertible preferred stock relative to those of our common stock;</w:t>
      </w:r>
    </w:p>
    <w:p>
      <w:pPr>
        <w:spacing w:after="0" w:line="227" w:lineRule="exact"/>
        <w:rPr>
          <w:rFonts w:ascii="Arial" w:cs="Arial" w:eastAsia="Arial" w:hAnsi="Arial"/>
          <w:sz w:val="19"/>
          <w:szCs w:val="19"/>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our results of operations, financial position and capital resources;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current business conditions and projections;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lack of marketability of our common stock;</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hiring of key personnel and the experience of our management;</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introduction of new products;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risk inherent in the development and expansion of our products;</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fact that the option grants involve illiquid securities in a private company;</w:t>
      </w:r>
    </w:p>
    <w:p>
      <w:pPr>
        <w:spacing w:after="0" w:line="215"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likelihood of achieving a liquidity event, such as an initial public offering or a sale of our company, given the prevailing market conditions;</w:t>
      </w:r>
    </w:p>
    <w:p>
      <w:pPr>
        <w:spacing w:after="0" w:line="176"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industry trends and competitive environment; and</w:t>
      </w:r>
    </w:p>
    <w:p>
      <w:pPr>
        <w:spacing w:after="0" w:line="215" w:lineRule="exact"/>
        <w:rPr>
          <w:rFonts w:ascii="Arial" w:cs="Arial" w:eastAsia="Arial" w:hAnsi="Arial"/>
          <w:sz w:val="20"/>
          <w:szCs w:val="20"/>
          <w:color w:val="auto"/>
        </w:rPr>
      </w:pPr>
    </w:p>
    <w:p>
      <w:pPr>
        <w:ind w:left="640" w:hanging="308"/>
        <w:spacing w:after="0"/>
        <w:tabs>
          <w:tab w:leader="none" w:pos="6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overall economic indicators, including gross domestic product, employment, inflation and interest rates.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valuing our common stock, we had historically determined the equity value of our Company using both the income and the market approach valuation methods:</w:t>
      </w:r>
    </w:p>
    <w:p>
      <w:pPr>
        <w:spacing w:after="0" w:line="177" w:lineRule="exact"/>
        <w:rPr>
          <w:sz w:val="20"/>
          <w:szCs w:val="20"/>
          <w:color w:val="auto"/>
        </w:rPr>
      </w:pPr>
    </w:p>
    <w:p>
      <w:pPr>
        <w:jc w:val="both"/>
        <w:ind w:left="660" w:hanging="328"/>
        <w:spacing w:after="0" w:line="291"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as of each valuation date and is adjusted to reflect the risks inherent in our cash flows.</w:t>
      </w:r>
    </w:p>
    <w:p>
      <w:pPr>
        <w:spacing w:after="0" w:line="151" w:lineRule="exact"/>
        <w:rPr>
          <w:rFonts w:ascii="Arial" w:cs="Arial" w:eastAsia="Arial" w:hAnsi="Arial"/>
          <w:sz w:val="18"/>
          <w:szCs w:val="18"/>
          <w:color w:val="auto"/>
        </w:rPr>
      </w:pPr>
    </w:p>
    <w:p>
      <w:pPr>
        <w:jc w:val="both"/>
        <w:ind w:left="660" w:hanging="328"/>
        <w:spacing w:after="0" w:line="244"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market approach estimates value based on a comparison of the subject company to comparable public companies in a similar line of business. From the comparable companies, a representative market value multiple is determined and then applied to the subject. The estimated value for our common stock is then discounted by a non-marketability factor (discount for lack of marketability) due to the fact that stockholders of private companies do not have access to trading markets similar to those enjoyed by stockholders of public companies, which affects liquidity.</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 a result of the determination to pursue strategic financing through an initial public offering, in June 2017, we began using the Probability-Weighted Expected Return Method (“PWERM”) in order to estimate the value of our common stock based on various outcomes. Using the PWERM, the value of our common stock was estimated based upon a probability-weighted analysis of varying values for our common stock assuming possible future events for the company, including an initial public offering and a stay private company scenario in which operations continued as a privately held company. Application of this approach involved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included our stage of development, our operating and financial performance, current business conditions and the market performance of comparable publicly traded companies.</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Following our initial public offering, it was no longer necessary to determine the fair value of our Class A common stock using these valuation techniques as shares of our Class A common stock are traded on the the NASDAQ Global Select Market.</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Goodwill and Intangible Assets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Goodwill</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2016, 2017 and 2018 and no impairment charges were recorded. As of December 31, 2018 goodwill was $6.9 million.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Long-Lived Assets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Long-lived assets, including intangible assets with definite lives, are amortized over their estimated useful lives and are reviewed for impairment if indicators of impairment arise.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December 31, 2018, intangible assets, net of accumulated amortization, were $7.1 million, which consists primarily of client relationships and client contracts. As part of our annual evaluation of intangibles during the year ended December 31, 2016, we re-evaluated our marketing and trade name assets and concluded that there was no further benefit to a trade name acquired in the Dash acquisition. As a result, we impaired the intangible asset and recognized a loss of $0.7 million in 2016. No indicators of impairment were identified for the years ended December 31, 2017 and 2018.</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Internal-Use Software Development Costs</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6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Capitalized costs of platform and other software applications are included in property and equipment. These costs are amortized over the estimated useful life of the software on a straight-line basis over three years, which is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Income Taxes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reduce the measurement of a deferred tax asset, if necessary, by a valuation allowance if it is more likely than not that we will not realize some or all the deferred tax asset. Quarterly, we review the deferred tax assets for recoverability based on historical taxable income, projected future taxable income, the expected timing of the reversals of existing temporary differences, the implementation of prudent and feasible tax planning strategies, and results of recent operations.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1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Other Contingencies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2.8 million, $3.0 and $4.7 million as of December 31, 2016, 2017 and 2018, respectively. These estimates are based on several key assumptions, including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9"/>
          <w:szCs w:val="19"/>
          <w:color w:val="auto"/>
        </w:rPr>
        <w:t>’</w:t>
      </w:r>
      <w:r>
        <w:rPr>
          <w:rFonts w:ascii="Arial" w:cs="Arial" w:eastAsia="Arial" w:hAnsi="Arial"/>
          <w:sz w:val="18"/>
          <w:szCs w:val="18"/>
          <w:b w:val="1"/>
          <w:bCs w:val="1"/>
          <w:color w:val="auto"/>
        </w:rPr>
        <w:t>s Discussion and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Guidance</w:t>
      </w:r>
    </w:p>
    <w:p>
      <w:pPr>
        <w:spacing w:after="0" w:line="26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See Note 2, “Summary of Significant Accounting Policies,” to the consolidated financial statements included elsewhere in this Annual Report on Form 10-K, for a summary of recently adopted accounting standards and recent accounting pronouncements not yet adopted.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JOBS Act Accounting Election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are an “emerging growth company,” as defined in the JOBS Act.</w:t>
      </w:r>
    </w:p>
    <w:p>
      <w:pPr>
        <w:spacing w:after="0" w:line="2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also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w:t>
      </w:r>
    </w:p>
    <w:p>
      <w:pPr>
        <w:spacing w:after="0" w:line="22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Exchange Act, and (4) the date on which we have issued more than $1.0 billion in nonconvertible debt during the prior three-year period. Any reference herein to “emerging growth company” has the meaning ascribed to it in the JOBS 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primary exposure to market risk relates to interest rate changes. We had cash and cash equivalents of $41.3 million and marketable securities of $17.4 million as of December 31, 2018, which were held for working capital purposes. Our cash and cash equivalents are comprised primarily of interest bearing checking accounts and money market accounts. Marketable securities consist of U.S. treasury securities not otherwise classified as cash equivalents.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debt is comprised of a revolving line of credit account, which had no amount outstanding as of December 31, 2018. The revolving line of credit has an interest rate based on the 1-month LIBOR rate plus 225 basis points as of December 31, 2018. A one-eighth percentage point increase or decrease in the applicable rate for our credit facility (assuming the revolving portion of the credit facility is fully drawn) would have an annual impact of less than $0.1 million on cash interest expense.</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Foreign Currency Risk</w:t>
      </w:r>
    </w:p>
    <w:p>
      <w:pPr>
        <w:spacing w:after="0" w:line="2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customers consume our services primarily in the United States. Our revenue and expenses are denominated in U.S. dollars and as a result we have no foreign currency risk.</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Inflation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52" w:lineRule="exact"/>
        <w:rPr>
          <w:sz w:val="20"/>
          <w:szCs w:val="20"/>
          <w:color w:val="auto"/>
        </w:rPr>
      </w:pPr>
    </w:p>
    <w:p>
      <w:pPr>
        <w:jc w:val="center"/>
        <w:ind w:right="-1179"/>
        <w:spacing w:after="0"/>
        <w:rPr>
          <w:sz w:val="20"/>
          <w:szCs w:val="20"/>
          <w:color w:val="auto"/>
        </w:rPr>
      </w:pPr>
      <w:r>
        <w:rPr>
          <w:rFonts w:ascii="Arial" w:cs="Arial" w:eastAsia="Arial" w:hAnsi="Arial"/>
          <w:sz w:val="22"/>
          <w:szCs w:val="22"/>
          <w:b w:val="1"/>
          <w:bCs w:val="1"/>
          <w:color w:val="auto"/>
        </w:rPr>
        <w:t>Bandwidth Inc.</w:t>
      </w:r>
    </w:p>
    <w:p>
      <w:pPr>
        <w:spacing w:after="0" w:line="238"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3"/>
          </w:tcPr>
          <w:p>
            <w:pPr>
              <w:ind w:left="32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140" w:type="dxa"/>
            <w:vAlign w:val="bottom"/>
            <w:gridSpan w:val="8"/>
          </w:tcPr>
          <w:p>
            <w:pPr>
              <w:spacing w:after="0" w:line="196" w:lineRule="exact"/>
              <w:rPr>
                <w:rFonts w:ascii="Arial" w:cs="Arial" w:eastAsia="Arial" w:hAnsi="Arial"/>
                <w:sz w:val="20"/>
                <w:szCs w:val="20"/>
                <w:color w:val="0000FF"/>
              </w:rPr>
            </w:pPr>
            <w:hyperlink w:anchor="page82">
              <w:r>
                <w:rPr>
                  <w:rFonts w:ascii="Arial" w:cs="Arial" w:eastAsia="Arial" w:hAnsi="Arial"/>
                  <w:sz w:val="20"/>
                  <w:szCs w:val="20"/>
                  <w:color w:val="0000FF"/>
                </w:rPr>
                <w:t>Report of Independent Registered Public Accounting Firm</w:t>
              </w:r>
            </w:hyperlink>
          </w:p>
        </w:tc>
        <w:tc>
          <w:tcPr>
            <w:tcW w:w="46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83" w:lineRule="exact"/>
              <w:rPr>
                <w:rFonts w:ascii="Arial" w:cs="Arial" w:eastAsia="Arial" w:hAnsi="Arial"/>
                <w:sz w:val="17"/>
                <w:szCs w:val="17"/>
                <w:color w:val="0000FF"/>
                <w:w w:val="73"/>
              </w:rPr>
            </w:pPr>
            <w:hyperlink w:anchor="page82">
              <w:r>
                <w:rPr>
                  <w:rFonts w:ascii="Arial" w:cs="Arial" w:eastAsia="Arial" w:hAnsi="Arial"/>
                  <w:sz w:val="17"/>
                  <w:szCs w:val="17"/>
                  <w:color w:val="0000FF"/>
                  <w:w w:val="73"/>
                </w:rPr>
                <w:t>80</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tcPr>
          <w:p>
            <w:pPr>
              <w:spacing w:after="0" w:line="20" w:lineRule="exact"/>
              <w:rPr>
                <w:sz w:val="1"/>
                <w:szCs w:val="1"/>
                <w:color w:val="auto"/>
              </w:rPr>
            </w:pPr>
          </w:p>
        </w:tc>
        <w:tc>
          <w:tcPr>
            <w:tcW w:w="176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118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gridSpan w:val="8"/>
          </w:tcPr>
          <w:p>
            <w:pPr>
              <w:spacing w:after="0" w:line="210" w:lineRule="exact"/>
              <w:rPr>
                <w:rFonts w:ascii="Arial" w:cs="Arial" w:eastAsia="Arial" w:hAnsi="Arial"/>
                <w:sz w:val="20"/>
                <w:szCs w:val="20"/>
                <w:color w:val="0000FF"/>
              </w:rPr>
            </w:pPr>
            <w:hyperlink w:anchor="page82">
              <w:r>
                <w:rPr>
                  <w:rFonts w:ascii="Arial" w:cs="Arial" w:eastAsia="Arial" w:hAnsi="Arial"/>
                  <w:sz w:val="20"/>
                  <w:szCs w:val="20"/>
                  <w:color w:val="0000FF"/>
                </w:rPr>
                <w:t>Consolidated Balance Sheets</w:t>
              </w:r>
            </w:hyperlink>
          </w:p>
        </w:tc>
        <w:tc>
          <w:tcPr>
            <w:tcW w:w="640" w:type="dxa"/>
            <w:vAlign w:val="bottom"/>
            <w:gridSpan w:val="2"/>
          </w:tcPr>
          <w:p>
            <w:pPr>
              <w:jc w:val="right"/>
              <w:spacing w:after="0" w:line="210" w:lineRule="exact"/>
              <w:rPr>
                <w:rFonts w:ascii="Arial" w:cs="Arial" w:eastAsia="Arial" w:hAnsi="Arial"/>
                <w:sz w:val="20"/>
                <w:szCs w:val="20"/>
                <w:color w:val="0000FF"/>
              </w:rPr>
            </w:pPr>
            <w:hyperlink w:anchor="page82">
              <w:r>
                <w:rPr>
                  <w:rFonts w:ascii="Arial" w:cs="Arial" w:eastAsia="Arial" w:hAnsi="Arial"/>
                  <w:sz w:val="20"/>
                  <w:szCs w:val="20"/>
                  <w:color w:val="0000FF"/>
                </w:rPr>
                <w:t>81</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gridSpan w:val="6"/>
          </w:tcPr>
          <w:p>
            <w:pPr>
              <w:spacing w:after="0" w:line="223" w:lineRule="exact"/>
              <w:rPr>
                <w:rFonts w:ascii="Arial" w:cs="Arial" w:eastAsia="Arial" w:hAnsi="Arial"/>
                <w:sz w:val="20"/>
                <w:szCs w:val="20"/>
                <w:color w:val="0000FF"/>
                <w:w w:val="88"/>
              </w:rPr>
            </w:pPr>
            <w:hyperlink w:anchor="page83">
              <w:r>
                <w:rPr>
                  <w:rFonts w:ascii="Arial" w:cs="Arial" w:eastAsia="Arial" w:hAnsi="Arial"/>
                  <w:sz w:val="20"/>
                  <w:szCs w:val="20"/>
                  <w:color w:val="0000FF"/>
                  <w:w w:val="88"/>
                </w:rPr>
                <w:t>Consolidated Statements of Operations and Comprehensive Income</w:t>
              </w:r>
            </w:hyperlink>
          </w:p>
        </w:tc>
        <w:tc>
          <w:tcPr>
            <w:tcW w:w="3760" w:type="dxa"/>
            <w:vAlign w:val="bottom"/>
            <w:gridSpan w:val="2"/>
          </w:tcPr>
          <w:p>
            <w:pPr>
              <w:spacing w:after="0"/>
              <w:rPr>
                <w:sz w:val="19"/>
                <w:szCs w:val="19"/>
                <w:color w:val="auto"/>
              </w:rPr>
            </w:pPr>
          </w:p>
        </w:tc>
        <w:tc>
          <w:tcPr>
            <w:tcW w:w="640" w:type="dxa"/>
            <w:vAlign w:val="bottom"/>
            <w:gridSpan w:val="2"/>
          </w:tcPr>
          <w:p>
            <w:pPr>
              <w:jc w:val="right"/>
              <w:spacing w:after="0" w:line="223" w:lineRule="exact"/>
              <w:rPr>
                <w:rFonts w:ascii="Arial" w:cs="Arial" w:eastAsia="Arial" w:hAnsi="Arial"/>
                <w:sz w:val="20"/>
                <w:szCs w:val="20"/>
                <w:color w:val="0000FF"/>
              </w:rPr>
            </w:pPr>
            <w:hyperlink w:anchor="page83">
              <w:r>
                <w:rPr>
                  <w:rFonts w:ascii="Arial" w:cs="Arial" w:eastAsia="Arial" w:hAnsi="Arial"/>
                  <w:sz w:val="20"/>
                  <w:szCs w:val="20"/>
                  <w:color w:val="0000FF"/>
                </w:rPr>
                <w:t>82</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gridSpan w:val="8"/>
          </w:tcPr>
          <w:p>
            <w:pPr>
              <w:spacing w:after="0" w:line="223" w:lineRule="exact"/>
              <w:rPr>
                <w:rFonts w:ascii="Arial" w:cs="Arial" w:eastAsia="Arial" w:hAnsi="Arial"/>
                <w:sz w:val="20"/>
                <w:szCs w:val="20"/>
                <w:color w:val="0000FF"/>
                <w:w w:val="94"/>
              </w:rPr>
            </w:pPr>
            <w:hyperlink w:anchor="page85">
              <w:r>
                <w:rPr>
                  <w:rFonts w:ascii="Arial" w:cs="Arial" w:eastAsia="Arial" w:hAnsi="Arial"/>
                  <w:sz w:val="20"/>
                  <w:szCs w:val="20"/>
                  <w:color w:val="0000FF"/>
                  <w:w w:val="94"/>
                </w:rPr>
                <w:t>Consolidated Statements of Changes in Redeemable Convertible Preferred Stock and Stockholders’ (Deficit)</w:t>
              </w:r>
            </w:hyperlink>
          </w:p>
        </w:tc>
        <w:tc>
          <w:tcPr>
            <w:tcW w:w="640" w:type="dxa"/>
            <w:vAlign w:val="bottom"/>
            <w:gridSpan w:val="2"/>
            <w:vMerge w:val="restart"/>
          </w:tcPr>
          <w:p>
            <w:pPr>
              <w:jc w:val="right"/>
              <w:spacing w:after="0"/>
              <w:rPr>
                <w:rFonts w:ascii="Arial" w:cs="Arial" w:eastAsia="Arial" w:hAnsi="Arial"/>
                <w:sz w:val="20"/>
                <w:szCs w:val="20"/>
                <w:color w:val="0000FF"/>
              </w:rPr>
            </w:pPr>
            <w:hyperlink w:anchor="page85">
              <w:r>
                <w:rPr>
                  <w:rFonts w:ascii="Arial" w:cs="Arial" w:eastAsia="Arial" w:hAnsi="Arial"/>
                  <w:sz w:val="20"/>
                  <w:szCs w:val="20"/>
                  <w:color w:val="0000FF"/>
                </w:rPr>
                <w:t>84</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 w:type="dxa"/>
            <w:vAlign w:val="bottom"/>
            <w:tcBorders>
              <w:top w:val="single" w:sz="8" w:color="0000FF"/>
            </w:tcBorders>
          </w:tcPr>
          <w:p>
            <w:pPr>
              <w:spacing w:after="0" w:line="169" w:lineRule="exact"/>
              <w:rPr>
                <w:rFonts w:ascii="Arial" w:cs="Arial" w:eastAsia="Arial" w:hAnsi="Arial"/>
                <w:sz w:val="19"/>
                <w:szCs w:val="19"/>
                <w:color w:val="0000FF"/>
                <w:w w:val="98"/>
              </w:rPr>
            </w:pPr>
            <w:hyperlink w:anchor="page85">
              <w:r>
                <w:rPr>
                  <w:rFonts w:ascii="Arial" w:cs="Arial" w:eastAsia="Arial" w:hAnsi="Arial"/>
                  <w:sz w:val="19"/>
                  <w:szCs w:val="19"/>
                  <w:color w:val="0000FF"/>
                  <w:w w:val="98"/>
                </w:rPr>
                <w:t>Equity</w:t>
              </w:r>
            </w:hyperlink>
          </w:p>
        </w:tc>
        <w:tc>
          <w:tcPr>
            <w:tcW w:w="8100" w:type="dxa"/>
            <w:vAlign w:val="bottom"/>
            <w:tcBorders>
              <w:top w:val="single" w:sz="8" w:color="0000FF"/>
            </w:tcBorders>
            <w:gridSpan w:val="6"/>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gridSpan w:val="8"/>
          </w:tcPr>
          <w:p>
            <w:pPr>
              <w:spacing w:after="0" w:line="223" w:lineRule="exact"/>
              <w:rPr>
                <w:rFonts w:ascii="Arial" w:cs="Arial" w:eastAsia="Arial" w:hAnsi="Arial"/>
                <w:sz w:val="20"/>
                <w:szCs w:val="20"/>
                <w:color w:val="0000FF"/>
              </w:rPr>
            </w:pPr>
            <w:hyperlink w:anchor="page87">
              <w:r>
                <w:rPr>
                  <w:rFonts w:ascii="Arial" w:cs="Arial" w:eastAsia="Arial" w:hAnsi="Arial"/>
                  <w:sz w:val="20"/>
                  <w:szCs w:val="20"/>
                  <w:color w:val="0000FF"/>
                </w:rPr>
                <w:t>Consolidated Statements of Cash Flows</w:t>
              </w:r>
            </w:hyperlink>
          </w:p>
        </w:tc>
        <w:tc>
          <w:tcPr>
            <w:tcW w:w="640" w:type="dxa"/>
            <w:vAlign w:val="bottom"/>
            <w:gridSpan w:val="2"/>
          </w:tcPr>
          <w:p>
            <w:pPr>
              <w:jc w:val="right"/>
              <w:spacing w:after="0" w:line="223" w:lineRule="exact"/>
              <w:rPr>
                <w:rFonts w:ascii="Arial" w:cs="Arial" w:eastAsia="Arial" w:hAnsi="Arial"/>
                <w:sz w:val="20"/>
                <w:szCs w:val="20"/>
                <w:color w:val="0000FF"/>
              </w:rPr>
            </w:pPr>
            <w:hyperlink w:anchor="page87">
              <w:r>
                <w:rPr>
                  <w:rFonts w:ascii="Arial" w:cs="Arial" w:eastAsia="Arial" w:hAnsi="Arial"/>
                  <w:sz w:val="20"/>
                  <w:szCs w:val="20"/>
                  <w:color w:val="0000FF"/>
                </w:rPr>
                <w:t>86</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gridSpan w:val="8"/>
          </w:tcPr>
          <w:p>
            <w:pPr>
              <w:spacing w:after="0" w:line="223" w:lineRule="exact"/>
              <w:rPr>
                <w:rFonts w:ascii="Arial" w:cs="Arial" w:eastAsia="Arial" w:hAnsi="Arial"/>
                <w:sz w:val="20"/>
                <w:szCs w:val="20"/>
                <w:color w:val="0000FF"/>
              </w:rPr>
            </w:pPr>
            <w:hyperlink w:anchor="page89">
              <w:r>
                <w:rPr>
                  <w:rFonts w:ascii="Arial" w:cs="Arial" w:eastAsia="Arial" w:hAnsi="Arial"/>
                  <w:sz w:val="20"/>
                  <w:szCs w:val="20"/>
                  <w:color w:val="0000FF"/>
                </w:rPr>
                <w:t>Notes to Consolidated Financial Statements</w:t>
              </w:r>
            </w:hyperlink>
          </w:p>
        </w:tc>
        <w:tc>
          <w:tcPr>
            <w:tcW w:w="640" w:type="dxa"/>
            <w:vAlign w:val="bottom"/>
            <w:gridSpan w:val="2"/>
          </w:tcPr>
          <w:p>
            <w:pPr>
              <w:jc w:val="right"/>
              <w:spacing w:after="0" w:line="223" w:lineRule="exact"/>
              <w:rPr>
                <w:rFonts w:ascii="Arial" w:cs="Arial" w:eastAsia="Arial" w:hAnsi="Arial"/>
                <w:sz w:val="20"/>
                <w:szCs w:val="20"/>
                <w:color w:val="0000FF"/>
              </w:rPr>
            </w:pPr>
            <w:hyperlink w:anchor="page89">
              <w:r>
                <w:rPr>
                  <w:rFonts w:ascii="Arial" w:cs="Arial" w:eastAsia="Arial" w:hAnsi="Arial"/>
                  <w:sz w:val="20"/>
                  <w:szCs w:val="20"/>
                  <w:color w:val="0000FF"/>
                </w:rPr>
                <w:t>88</w:t>
              </w:r>
            </w:hyperlink>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40"/>
          </w:cols>
          <w:pgMar w:left="240" w:top="121" w:right="1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To the Stockholders and the Board of Directors of Bandwidth Inc.</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have audited the accompanying consolidated balance sheets of Bandwidth Inc. (the Company) as of December 31, 2018 and 2017, the related consolidated statements of operations and comprehensive income, changes in redeemable convertible preferred stock and stockholders’ (deficit)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2012.</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41,261</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17,400</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24,009</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6,114</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91,414</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08"/>
        </w:trPr>
        <w:tc>
          <w:tcPr>
            <w:tcW w:w="8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25,136</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costs, non-current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6,867</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17,359</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150,420</w:t>
            </w: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21,393</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 of deferred revenue and advanced billings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7,912</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32,723</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08"/>
        </w:trPr>
        <w:tc>
          <w:tcPr>
            <w:tcW w:w="8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2,503</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6,424</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41,650</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stock; $0.001 par value; 10,000,000 shares authorized; 0 shares issued</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00" w:type="dxa"/>
            <w:vAlign w:val="bottom"/>
          </w:tcPr>
          <w:p>
            <w:pPr>
              <w:ind w:left="340"/>
              <w:spacing w:after="0"/>
              <w:rPr>
                <w:sz w:val="20"/>
                <w:szCs w:val="20"/>
                <w:color w:val="auto"/>
              </w:rPr>
            </w:pPr>
            <w:r>
              <w:rPr>
                <w:rFonts w:ascii="Arial" w:cs="Arial" w:eastAsia="Arial" w:hAnsi="Arial"/>
                <w:sz w:val="18"/>
                <w:szCs w:val="18"/>
                <w:color w:val="auto"/>
                <w:w w:val="92"/>
              </w:rPr>
              <w:t>Class A voting common stock; $0.001 par value; 100,000,000 shares authorized as of December 31, 2017</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8200" w:type="dxa"/>
            <w:vAlign w:val="bottom"/>
          </w:tcPr>
          <w:p>
            <w:pPr>
              <w:ind w:left="340"/>
              <w:spacing w:after="0"/>
              <w:rPr>
                <w:sz w:val="20"/>
                <w:szCs w:val="20"/>
                <w:color w:val="auto"/>
              </w:rPr>
            </w:pPr>
            <w:r>
              <w:rPr>
                <w:rFonts w:ascii="Arial" w:cs="Arial" w:eastAsia="Arial" w:hAnsi="Arial"/>
                <w:sz w:val="18"/>
                <w:szCs w:val="18"/>
                <w:color w:val="auto"/>
                <w:w w:val="93"/>
              </w:rPr>
              <w:t>and 2018; 4,197,831 and 12,912,747 shares issued and outstanding as of December 31, 2017 and 2018,</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Class B voting common stock, $0.001 par value; 20,000,000 shares authorized as of December 31, 2017 and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8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2018; 13,440,725 and 6,510,732 shares issued and outstanding as of December 31, 2017 and 2018,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116,600</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w:t>
            </w:r>
          </w:p>
        </w:tc>
      </w:tr>
      <w:tr>
        <w:trPr>
          <w:trHeight w:val="243"/>
        </w:trPr>
        <w:tc>
          <w:tcPr>
            <w:tcW w:w="82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108,770</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150,420</w:t>
            </w: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00"/>
          </w:cols>
          <w:pgMar w:left="240" w:top="121" w:right="2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CPaaS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131,572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164,415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39,698</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204,113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CPaaS cost of revenue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94,296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cost of revenue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108,145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95,968</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20,897</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47,588</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89,216</w:t>
            </w:r>
          </w:p>
        </w:tc>
        <w:tc>
          <w:tcPr>
            <w:tcW w:w="0" w:type="dxa"/>
            <w:vAlign w:val="bottom"/>
          </w:tcPr>
          <w:p>
            <w:pPr>
              <w:spacing w:after="0"/>
              <w:rPr>
                <w:sz w:val="1"/>
                <w:szCs w:val="1"/>
                <w:color w:val="auto"/>
              </w:rPr>
            </w:pPr>
          </w:p>
        </w:tc>
      </w:tr>
      <w:tr>
        <w:trPr>
          <w:trHeight w:val="250"/>
        </w:trPr>
        <w:tc>
          <w:tcPr>
            <w:tcW w:w="76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on marketable securities, net of income tax benefit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allocated to participating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7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1"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r>
      <w:tr>
        <w:trPr>
          <w:trHeight w:val="250"/>
        </w:trPr>
        <w:tc>
          <w:tcPr>
            <w:tcW w:w="76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0.96</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70"/>
        </w:trPr>
        <w:tc>
          <w:tcPr>
            <w:tcW w:w="7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11,678,568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12,590,221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18,573,067</w:t>
            </w:r>
          </w:p>
        </w:tc>
      </w:tr>
      <w:tr>
        <w:trPr>
          <w:trHeight w:val="27"/>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12,870,632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14,543,170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21,140,382</w:t>
            </w:r>
          </w:p>
        </w:tc>
      </w:tr>
      <w:tr>
        <w:trPr>
          <w:trHeight w:val="27"/>
        </w:trPr>
        <w:tc>
          <w:tcPr>
            <w:tcW w:w="7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1"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r>
        <w:rPr>
          <w:rFonts w:ascii="Arial" w:cs="Arial" w:eastAsia="Arial" w:hAnsi="Arial"/>
          <w:sz w:val="19"/>
          <w:szCs w:val="19"/>
          <w:color w:val="auto"/>
        </w:rPr>
        <w:t>’</w:t>
      </w:r>
      <w:r>
        <w:rPr>
          <w:rFonts w:ascii="Arial" w:cs="Arial" w:eastAsia="Arial" w:hAnsi="Arial"/>
          <w:sz w:val="18"/>
          <w:szCs w:val="18"/>
          <w:b w:val="1"/>
          <w:bCs w:val="1"/>
          <w:color w:val="auto"/>
        </w:rPr>
        <w:t xml:space="preserve"> (Deficit)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14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0"/>
              </w:rPr>
              <w:t>Series A</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color w:val="auto"/>
              </w:rPr>
              <w:t>Old Class B non-</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460" w:type="dxa"/>
            <w:vAlign w:val="bottom"/>
            <w:tcBorders>
              <w:right w:val="single" w:sz="8" w:color="auto"/>
            </w:tcBorders>
            <w:gridSpan w:val="3"/>
            <w:vMerge w:val="restart"/>
          </w:tcPr>
          <w:p>
            <w:pPr>
              <w:jc w:val="center"/>
              <w:ind w:right="100"/>
              <w:spacing w:after="0" w:line="149" w:lineRule="exact"/>
              <w:rPr>
                <w:sz w:val="20"/>
                <w:szCs w:val="20"/>
                <w:color w:val="auto"/>
              </w:rPr>
            </w:pPr>
            <w:r>
              <w:rPr>
                <w:rFonts w:ascii="Arial" w:cs="Arial" w:eastAsia="Arial" w:hAnsi="Arial"/>
                <w:sz w:val="14"/>
                <w:szCs w:val="14"/>
                <w:color w:val="auto"/>
                <w:w w:val="93"/>
              </w:rPr>
              <w:t>redeemable convertible</w:t>
            </w:r>
          </w:p>
        </w:tc>
        <w:tc>
          <w:tcPr>
            <w:tcW w:w="12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Class A voting</w:t>
            </w:r>
          </w:p>
        </w:tc>
        <w:tc>
          <w:tcPr>
            <w:tcW w:w="1100" w:type="dxa"/>
            <w:vAlign w:val="bottom"/>
            <w:vMerge w:val="restart"/>
          </w:tcPr>
          <w:p>
            <w:pPr>
              <w:jc w:val="center"/>
              <w:ind w:left="128"/>
              <w:spacing w:after="0" w:line="149" w:lineRule="exact"/>
              <w:rPr>
                <w:sz w:val="20"/>
                <w:szCs w:val="20"/>
                <w:color w:val="auto"/>
              </w:rPr>
            </w:pPr>
            <w:r>
              <w:rPr>
                <w:rFonts w:ascii="Arial" w:cs="Arial" w:eastAsia="Arial" w:hAnsi="Arial"/>
                <w:sz w:val="14"/>
                <w:szCs w:val="14"/>
                <w:color w:val="auto"/>
                <w:w w:val="96"/>
              </w:rPr>
              <w:t>Class B voting</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3"/>
            <w:vMerge w:val="restart"/>
          </w:tcPr>
          <w:p>
            <w:pPr>
              <w:ind w:left="140"/>
              <w:spacing w:after="0" w:line="149" w:lineRule="exact"/>
              <w:rPr>
                <w:sz w:val="20"/>
                <w:szCs w:val="20"/>
                <w:color w:val="auto"/>
              </w:rPr>
            </w:pPr>
            <w:r>
              <w:rPr>
                <w:rFonts w:ascii="Arial" w:cs="Arial" w:eastAsia="Arial" w:hAnsi="Arial"/>
                <w:sz w:val="14"/>
                <w:szCs w:val="14"/>
                <w:color w:val="auto"/>
              </w:rPr>
              <w:t>Old Class A voting</w:t>
            </w:r>
          </w:p>
        </w:tc>
        <w:tc>
          <w:tcPr>
            <w:tcW w:w="1260" w:type="dxa"/>
            <w:vAlign w:val="bottom"/>
            <w:gridSpan w:val="3"/>
            <w:vMerge w:val="restart"/>
          </w:tcPr>
          <w:p>
            <w:pPr>
              <w:ind w:left="140"/>
              <w:spacing w:after="0" w:line="149" w:lineRule="exact"/>
              <w:rPr>
                <w:sz w:val="20"/>
                <w:szCs w:val="20"/>
                <w:color w:val="auto"/>
              </w:rPr>
            </w:pPr>
            <w:r>
              <w:rPr>
                <w:rFonts w:ascii="Arial" w:cs="Arial" w:eastAsia="Arial" w:hAnsi="Arial"/>
                <w:sz w:val="14"/>
                <w:szCs w:val="14"/>
                <w:color w:val="auto"/>
              </w:rPr>
              <w:t>voting common</w:t>
            </w: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460" w:type="dxa"/>
            <w:vAlign w:val="bottom"/>
            <w:tcBorders>
              <w:right w:val="single" w:sz="8" w:color="auto"/>
            </w:tcBorders>
            <w:gridSpan w:val="3"/>
            <w:vMerge w:val="continue"/>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7"/>
                <w:szCs w:val="7"/>
                <w:color w:val="auto"/>
              </w:rPr>
            </w:pPr>
          </w:p>
        </w:tc>
        <w:tc>
          <w:tcPr>
            <w:tcW w:w="920" w:type="dxa"/>
            <w:vAlign w:val="bottom"/>
            <w:gridSpan w:val="3"/>
            <w:vMerge w:val="restart"/>
          </w:tcPr>
          <w:p>
            <w:pPr>
              <w:jc w:val="center"/>
              <w:ind w:right="420"/>
              <w:spacing w:after="0" w:line="149" w:lineRule="exact"/>
              <w:rPr>
                <w:sz w:val="20"/>
                <w:szCs w:val="20"/>
                <w:color w:val="auto"/>
              </w:rPr>
            </w:pPr>
            <w:r>
              <w:rPr>
                <w:rFonts w:ascii="Arial" w:cs="Arial" w:eastAsia="Arial" w:hAnsi="Arial"/>
                <w:sz w:val="14"/>
                <w:szCs w:val="14"/>
                <w:color w:val="auto"/>
                <w:w w:val="93"/>
              </w:rPr>
              <w:t>other</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preferred stock</w:t>
            </w:r>
          </w:p>
        </w:tc>
        <w:tc>
          <w:tcPr>
            <w:tcW w:w="100" w:type="dxa"/>
            <w:vAlign w:val="bottom"/>
            <w:tcBorders>
              <w:right w:val="single" w:sz="8" w:color="auto"/>
            </w:tcBorders>
            <w:vMerge w:val="restart"/>
          </w:tcPr>
          <w:p>
            <w:pPr>
              <w:spacing w:after="0"/>
              <w:rPr>
                <w:sz w:val="5"/>
                <w:szCs w:val="5"/>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common Stock</w:t>
            </w:r>
          </w:p>
        </w:tc>
        <w:tc>
          <w:tcPr>
            <w:tcW w:w="80" w:type="dxa"/>
            <w:vAlign w:val="bottom"/>
            <w:vMerge w:val="restart"/>
          </w:tcPr>
          <w:p>
            <w:pPr>
              <w:spacing w:after="0"/>
              <w:rPr>
                <w:sz w:val="5"/>
                <w:szCs w:val="5"/>
                <w:color w:val="auto"/>
              </w:rPr>
            </w:pPr>
          </w:p>
        </w:tc>
        <w:tc>
          <w:tcPr>
            <w:tcW w:w="1100" w:type="dxa"/>
            <w:vAlign w:val="bottom"/>
            <w:vMerge w:val="restart"/>
          </w:tcPr>
          <w:p>
            <w:pPr>
              <w:jc w:val="center"/>
              <w:ind w:left="88"/>
              <w:spacing w:after="0"/>
              <w:rPr>
                <w:sz w:val="20"/>
                <w:szCs w:val="20"/>
                <w:color w:val="auto"/>
              </w:rPr>
            </w:pPr>
            <w:r>
              <w:rPr>
                <w:rFonts w:ascii="Arial" w:cs="Arial" w:eastAsia="Arial" w:hAnsi="Arial"/>
                <w:sz w:val="14"/>
                <w:szCs w:val="14"/>
                <w:color w:val="auto"/>
                <w:w w:val="92"/>
              </w:rPr>
              <w:t>common Stock</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restart"/>
          </w:tcPr>
          <w:p>
            <w:pPr>
              <w:jc w:val="right"/>
              <w:ind w:right="191"/>
              <w:spacing w:after="0"/>
              <w:rPr>
                <w:sz w:val="20"/>
                <w:szCs w:val="20"/>
                <w:color w:val="auto"/>
              </w:rPr>
            </w:pPr>
            <w:r>
              <w:rPr>
                <w:rFonts w:ascii="Arial" w:cs="Arial" w:eastAsia="Arial" w:hAnsi="Arial"/>
                <w:sz w:val="14"/>
                <w:szCs w:val="14"/>
                <w:color w:val="auto"/>
              </w:rPr>
              <w:t>common Stock</w:t>
            </w:r>
          </w:p>
        </w:tc>
        <w:tc>
          <w:tcPr>
            <w:tcW w:w="80" w:type="dxa"/>
            <w:vAlign w:val="bottom"/>
            <w:vMerge w:val="restart"/>
          </w:tcPr>
          <w:p>
            <w:pPr>
              <w:spacing w:after="0"/>
              <w:rPr>
                <w:sz w:val="5"/>
                <w:szCs w:val="5"/>
                <w:color w:val="auto"/>
              </w:rPr>
            </w:pPr>
          </w:p>
        </w:tc>
        <w:tc>
          <w:tcPr>
            <w:tcW w:w="1180" w:type="dxa"/>
            <w:vAlign w:val="bottom"/>
            <w:gridSpan w:val="2"/>
            <w:vMerge w:val="restart"/>
          </w:tcPr>
          <w:p>
            <w:pPr>
              <w:jc w:val="right"/>
              <w:ind w:right="371"/>
              <w:spacing w:after="0"/>
              <w:rPr>
                <w:sz w:val="20"/>
                <w:szCs w:val="20"/>
                <w:color w:val="auto"/>
              </w:rPr>
            </w:pPr>
            <w:r>
              <w:rPr>
                <w:rFonts w:ascii="Arial" w:cs="Arial" w:eastAsia="Arial" w:hAnsi="Arial"/>
                <w:sz w:val="14"/>
                <w:szCs w:val="14"/>
                <w:color w:val="auto"/>
              </w:rPr>
              <w:t>Stock</w:t>
            </w:r>
          </w:p>
        </w:tc>
        <w:tc>
          <w:tcPr>
            <w:tcW w:w="80" w:type="dxa"/>
            <w:vAlign w:val="bottom"/>
            <w:vMerge w:val="restart"/>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60" w:type="dxa"/>
            <w:vAlign w:val="bottom"/>
            <w:tcBorders>
              <w:bottom w:val="single" w:sz="8" w:color="auto"/>
            </w:tcBorders>
            <w:gridSpan w:val="2"/>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120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tcPr>
          <w:p>
            <w:pPr>
              <w:jc w:val="center"/>
              <w:ind w:right="80"/>
              <w:spacing w:after="0" w:line="121" w:lineRule="exact"/>
              <w:rPr>
                <w:sz w:val="20"/>
                <w:szCs w:val="20"/>
                <w:color w:val="auto"/>
              </w:rPr>
            </w:pPr>
            <w:r>
              <w:rPr>
                <w:rFonts w:ascii="Arial" w:cs="Arial" w:eastAsia="Arial" w:hAnsi="Arial"/>
                <w:sz w:val="13"/>
                <w:szCs w:val="13"/>
                <w:color w:val="auto"/>
              </w:rPr>
              <w:t>paid-in</w:t>
            </w:r>
          </w:p>
        </w:tc>
        <w:tc>
          <w:tcPr>
            <w:tcW w:w="1840" w:type="dxa"/>
            <w:vAlign w:val="bottom"/>
            <w:gridSpan w:val="6"/>
          </w:tcPr>
          <w:p>
            <w:pPr>
              <w:jc w:val="right"/>
              <w:ind w:right="80"/>
              <w:spacing w:after="0" w:line="121" w:lineRule="exact"/>
              <w:rPr>
                <w:sz w:val="20"/>
                <w:szCs w:val="20"/>
                <w:color w:val="auto"/>
              </w:rPr>
            </w:pPr>
            <w:r>
              <w:rPr>
                <w:rFonts w:ascii="Arial" w:cs="Arial" w:eastAsia="Arial" w:hAnsi="Arial"/>
                <w:sz w:val="13"/>
                <w:szCs w:val="13"/>
                <w:color w:val="auto"/>
              </w:rPr>
              <w:t>comprehensive  Accumulated</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rPr>
              <w:t>(deficit)</w:t>
            </w: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Shares</w:t>
            </w:r>
          </w:p>
        </w:tc>
        <w:tc>
          <w:tcPr>
            <w:tcW w:w="7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Amount</w:t>
            </w:r>
          </w:p>
        </w:tc>
        <w:tc>
          <w:tcPr>
            <w:tcW w:w="1280" w:type="dxa"/>
            <w:vAlign w:val="bottom"/>
            <w:gridSpan w:val="3"/>
          </w:tcPr>
          <w:p>
            <w:pPr>
              <w:jc w:val="center"/>
              <w:ind w:right="40"/>
              <w:spacing w:after="0"/>
              <w:rPr>
                <w:sz w:val="20"/>
                <w:szCs w:val="20"/>
                <w:color w:val="auto"/>
              </w:rPr>
            </w:pPr>
            <w:r>
              <w:rPr>
                <w:rFonts w:ascii="Arial" w:cs="Arial" w:eastAsia="Arial" w:hAnsi="Arial"/>
                <w:sz w:val="14"/>
                <w:szCs w:val="14"/>
                <w:color w:val="auto"/>
                <w:w w:val="99"/>
              </w:rPr>
              <w:t>Shares   Amount</w:t>
            </w:r>
          </w:p>
        </w:tc>
        <w:tc>
          <w:tcPr>
            <w:tcW w:w="1380" w:type="dxa"/>
            <w:vAlign w:val="bottom"/>
            <w:gridSpan w:val="3"/>
          </w:tcPr>
          <w:p>
            <w:pPr>
              <w:ind w:left="160"/>
              <w:spacing w:after="0"/>
              <w:rPr>
                <w:sz w:val="20"/>
                <w:szCs w:val="20"/>
                <w:color w:val="auto"/>
              </w:rPr>
            </w:pPr>
            <w:r>
              <w:rPr>
                <w:rFonts w:ascii="Arial" w:cs="Arial" w:eastAsia="Arial" w:hAnsi="Arial"/>
                <w:sz w:val="14"/>
                <w:szCs w:val="14"/>
                <w:color w:val="auto"/>
              </w:rPr>
              <w:t>Shares   Amount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00" w:type="dxa"/>
            <w:vAlign w:val="bottom"/>
          </w:tcPr>
          <w:p>
            <w:pPr>
              <w:ind w:left="8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capital</w:t>
            </w: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color w:val="auto"/>
                <w:w w:val="93"/>
              </w:rPr>
              <w:t>income (loss)</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deficit</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equity</w:t>
            </w:r>
          </w:p>
        </w:tc>
        <w:tc>
          <w:tcPr>
            <w:tcW w:w="0" w:type="dxa"/>
            <w:vAlign w:val="bottom"/>
          </w:tcPr>
          <w:p>
            <w:pPr>
              <w:spacing w:after="0"/>
              <w:rPr>
                <w:sz w:val="1"/>
                <w:szCs w:val="1"/>
                <w:color w:val="auto"/>
              </w:rPr>
            </w:pPr>
          </w:p>
        </w:tc>
      </w:tr>
      <w:tr>
        <w:trPr>
          <w:trHeight w:val="143"/>
        </w:trPr>
        <w:tc>
          <w:tcPr>
            <w:tcW w:w="12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21,818</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 $</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 $</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11,542,158</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35,434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(54,520)</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(19,074)</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Issuance of Old</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218,345</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to</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common</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Distribution of</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Republic</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(28,899)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(28,899)</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anti-</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dilutive</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Cumulative effect</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of change in</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accounting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principle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420</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97"/>
        </w:trPr>
        <w:tc>
          <w:tcPr>
            <w:tcW w:w="12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22,358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22,358</w:t>
            </w:r>
          </w:p>
        </w:tc>
        <w:tc>
          <w:tcPr>
            <w:tcW w:w="0" w:type="dxa"/>
            <w:vAlign w:val="bottom"/>
          </w:tcPr>
          <w:p>
            <w:pPr>
              <w:spacing w:after="0"/>
              <w:rPr>
                <w:sz w:val="1"/>
                <w:szCs w:val="1"/>
                <w:color w:val="auto"/>
              </w:rPr>
            </w:pPr>
          </w:p>
        </w:tc>
      </w:tr>
      <w:tr>
        <w:trPr>
          <w:trHeight w:val="143"/>
        </w:trPr>
        <w:tc>
          <w:tcPr>
            <w:tcW w:w="12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w:t>
            </w: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December 31,</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21,818</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11,779,975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18,590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(31,742)</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(22,374)</w:t>
            </w:r>
          </w:p>
        </w:tc>
        <w:tc>
          <w:tcPr>
            <w:tcW w:w="0" w:type="dxa"/>
            <w:vAlign w:val="bottom"/>
          </w:tcPr>
          <w:p>
            <w:pPr>
              <w:spacing w:after="0"/>
              <w:rPr>
                <w:sz w:val="1"/>
                <w:szCs w:val="1"/>
                <w:color w:val="auto"/>
              </w:rPr>
            </w:pPr>
          </w:p>
        </w:tc>
      </w:tr>
      <w:tr>
        <w:trPr>
          <w:trHeight w:val="137"/>
        </w:trPr>
        <w:tc>
          <w:tcPr>
            <w:tcW w:w="1220" w:type="dxa"/>
            <w:vAlign w:val="bottom"/>
          </w:tcPr>
          <w:p>
            <w:pPr>
              <w:ind w:left="20"/>
              <w:spacing w:after="0" w:line="137" w:lineRule="exact"/>
              <w:rPr>
                <w:sz w:val="20"/>
                <w:szCs w:val="20"/>
                <w:color w:val="auto"/>
              </w:rPr>
            </w:pPr>
            <w:r>
              <w:rPr>
                <w:rFonts w:ascii="Arial" w:cs="Arial" w:eastAsia="Arial" w:hAnsi="Arial"/>
                <w:sz w:val="14"/>
                <w:szCs w:val="14"/>
                <w:color w:val="auto"/>
              </w:rPr>
              <w:t>Issuance of Old</w:t>
            </w:r>
          </w:p>
        </w:tc>
        <w:tc>
          <w:tcPr>
            <w:tcW w:w="7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31,510</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Old</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Class B non-voting</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Exercise of</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warrants to</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purchase common</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stock</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17,260</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Purchase of</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8"/>
              <w:spacing w:after="0"/>
              <w:rPr>
                <w:sz w:val="20"/>
                <w:szCs w:val="20"/>
                <w:color w:val="auto"/>
              </w:rPr>
            </w:pPr>
            <w:r>
              <w:rPr>
                <w:rFonts w:ascii="Arial" w:cs="Arial" w:eastAsia="Arial" w:hAnsi="Arial"/>
                <w:sz w:val="14"/>
                <w:szCs w:val="14"/>
                <w:color w:val="auto"/>
              </w:rPr>
              <w:t>(29)</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Series A preferred</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to Old Class</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 voting common</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(21,818)</w:t>
            </w:r>
          </w:p>
        </w:tc>
        <w:tc>
          <w:tcPr>
            <w:tcW w:w="100" w:type="dxa"/>
            <w:vAlign w:val="bottom"/>
            <w:tcBorders>
              <w:right w:val="single" w:sz="8" w:color="auto"/>
            </w:tcBorders>
            <w:shd w:val="clear" w:color="auto" w:fill="CCEEFF"/>
          </w:tcPr>
          <w:p>
            <w:pPr>
              <w:spacing w:after="0"/>
              <w:rPr>
                <w:sz w:val="16"/>
                <w:szCs w:val="16"/>
                <w:color w:val="auto"/>
              </w:rPr>
            </w:pP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21,818</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Conversion of Old</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common stock to</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Class B voting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w w:val="94"/>
              </w:rPr>
              <w:t>13,586,485</w:t>
            </w:r>
          </w:p>
        </w:tc>
        <w:tc>
          <w:tcPr>
            <w:tcW w:w="200" w:type="dxa"/>
            <w:vAlign w:val="bottom"/>
          </w:tcPr>
          <w:p>
            <w:pPr>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3"/>
              </w:rPr>
              <w:t>(13,586,485)</w:t>
            </w: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Old</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Class B non-voting</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 to</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34,840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1"/>
              </w:rPr>
              <w:t>(34,840)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20" w:type="dxa"/>
            <w:vAlign w:val="bottom"/>
          </w:tcPr>
          <w:p>
            <w:pPr>
              <w:ind w:left="20"/>
              <w:spacing w:after="0" w:line="157" w:lineRule="exact"/>
              <w:rPr>
                <w:sz w:val="20"/>
                <w:szCs w:val="20"/>
                <w:color w:val="auto"/>
              </w:rPr>
            </w:pPr>
            <w:r>
              <w:rPr>
                <w:rFonts w:ascii="Arial" w:cs="Arial" w:eastAsia="Arial" w:hAnsi="Arial"/>
                <w:sz w:val="14"/>
                <w:szCs w:val="14"/>
                <w:color w:val="auto"/>
              </w:rPr>
              <w:t>Issuance of</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common stock in</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connection with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initial public</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offering, net of</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20"/>
              <w:spacing w:after="0" w:line="149" w:lineRule="exact"/>
              <w:rPr>
                <w:sz w:val="20"/>
                <w:szCs w:val="20"/>
                <w:color w:val="auto"/>
              </w:rPr>
            </w:pPr>
            <w:r>
              <w:rPr>
                <w:rFonts w:ascii="Arial" w:cs="Arial" w:eastAsia="Arial" w:hAnsi="Arial"/>
                <w:sz w:val="14"/>
                <w:szCs w:val="14"/>
                <w:color w:val="auto"/>
              </w:rPr>
              <w:t>underwriting</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20" w:type="dxa"/>
            <w:vAlign w:val="bottom"/>
          </w:tcPr>
          <w:p>
            <w:pPr>
              <w:ind w:left="20"/>
              <w:spacing w:after="0"/>
              <w:rPr>
                <w:sz w:val="20"/>
                <w:szCs w:val="20"/>
                <w:color w:val="auto"/>
              </w:rPr>
            </w:pPr>
            <w:r>
              <w:rPr>
                <w:rFonts w:ascii="Arial" w:cs="Arial" w:eastAsia="Arial" w:hAnsi="Arial"/>
                <w:sz w:val="14"/>
                <w:szCs w:val="14"/>
                <w:color w:val="auto"/>
              </w:rPr>
              <w:t>discounts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w w:val="89"/>
              </w:rPr>
              <w:t>4,000,000</w:t>
            </w:r>
          </w:p>
        </w:tc>
        <w:tc>
          <w:tcPr>
            <w:tcW w:w="3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74,396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74,400</w:t>
            </w: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Costs in connection</w:t>
            </w: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 initial public</w:t>
            </w: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121" w:right="2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Redeemable Convertible Preferred Stock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(Deficit) Equity</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right="100"/>
        <w:spacing w:after="0" w:line="234" w:lineRule="auto"/>
        <w:rPr>
          <w:sz w:val="20"/>
          <w:szCs w:val="20"/>
          <w:color w:val="auto"/>
        </w:rPr>
      </w:pPr>
      <w:r>
        <w:rPr>
          <w:rFonts w:ascii="Arial" w:cs="Arial" w:eastAsia="Arial" w:hAnsi="Arial"/>
          <w:sz w:val="14"/>
          <w:szCs w:val="14"/>
          <w:color w:val="auto"/>
        </w:rPr>
        <w:t>Conversion of Class B voting common stock to Class A voting common stock</w:t>
      </w:r>
    </w:p>
    <w:p>
      <w:pPr>
        <w:spacing w:after="0" w:line="20" w:lineRule="exact"/>
        <w:rPr>
          <w:sz w:val="20"/>
          <w:szCs w:val="20"/>
          <w:color w:val="auto"/>
        </w:rPr>
      </w:pPr>
    </w:p>
    <w:p>
      <w:pPr>
        <w:ind w:left="20" w:right="300"/>
        <w:spacing w:after="0" w:line="264" w:lineRule="auto"/>
        <w:rPr>
          <w:sz w:val="20"/>
          <w:szCs w:val="20"/>
          <w:color w:val="auto"/>
        </w:rPr>
      </w:pPr>
      <w:r>
        <w:rPr>
          <w:rFonts w:ascii="Arial" w:cs="Arial" w:eastAsia="Arial" w:hAnsi="Arial"/>
          <w:sz w:val="13"/>
          <w:szCs w:val="13"/>
          <w:color w:val="auto"/>
        </w:rPr>
        <w:t>Termination of Shareholders’ anti-dilutive arrangement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right="40"/>
        <w:spacing w:after="0" w:line="253" w:lineRule="auto"/>
        <w:rPr>
          <w:sz w:val="20"/>
          <w:szCs w:val="20"/>
          <w:color w:val="auto"/>
        </w:rPr>
      </w:pPr>
      <w:r>
        <w:rPr>
          <w:rFonts w:ascii="Arial" w:cs="Arial" w:eastAsia="Arial" w:hAnsi="Arial"/>
          <w:sz w:val="14"/>
          <w:szCs w:val="14"/>
          <w:color w:val="auto"/>
        </w:rPr>
        <w:t>Balance at December 31, 2017</w:t>
      </w:r>
    </w:p>
    <w:p>
      <w:pPr>
        <w:spacing w:after="0" w:line="12" w:lineRule="exact"/>
        <w:rPr>
          <w:sz w:val="20"/>
          <w:szCs w:val="20"/>
          <w:color w:val="auto"/>
        </w:rPr>
      </w:pPr>
    </w:p>
    <w:p>
      <w:pPr>
        <w:ind w:left="20" w:right="40"/>
        <w:spacing w:after="0" w:line="253" w:lineRule="auto"/>
        <w:rPr>
          <w:sz w:val="20"/>
          <w:szCs w:val="20"/>
          <w:color w:val="auto"/>
        </w:rPr>
      </w:pPr>
      <w:r>
        <w:rPr>
          <w:rFonts w:ascii="Arial" w:cs="Arial" w:eastAsia="Arial" w:hAnsi="Arial"/>
          <w:sz w:val="14"/>
          <w:szCs w:val="14"/>
          <w:color w:val="auto"/>
        </w:rPr>
        <w:t>Exercises of vested stock options</w:t>
      </w:r>
    </w:p>
    <w:p>
      <w:pPr>
        <w:spacing w:after="0" w:line="12"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Vesting of restricted stock units</w:t>
      </w:r>
    </w:p>
    <w:p>
      <w:pPr>
        <w:spacing w:after="0" w:line="12" w:lineRule="exact"/>
        <w:rPr>
          <w:sz w:val="20"/>
          <w:szCs w:val="20"/>
          <w:color w:val="auto"/>
        </w:rPr>
      </w:pPr>
    </w:p>
    <w:p>
      <w:pPr>
        <w:ind w:left="20" w:right="100"/>
        <w:spacing w:after="0" w:line="305" w:lineRule="auto"/>
        <w:rPr>
          <w:sz w:val="20"/>
          <w:szCs w:val="20"/>
          <w:color w:val="auto"/>
        </w:rPr>
      </w:pPr>
      <w:r>
        <w:rPr>
          <w:rFonts w:ascii="Arial" w:cs="Arial" w:eastAsia="Arial" w:hAnsi="Arial"/>
          <w:sz w:val="12"/>
          <w:szCs w:val="12"/>
          <w:color w:val="auto"/>
        </w:rPr>
        <w:t>Exercise of warrants to purchase common stock</w:t>
      </w:r>
    </w:p>
    <w:p>
      <w:pPr>
        <w:ind w:left="20" w:right="100"/>
        <w:spacing w:after="0" w:line="234" w:lineRule="auto"/>
        <w:rPr>
          <w:sz w:val="20"/>
          <w:szCs w:val="20"/>
          <w:color w:val="auto"/>
        </w:rPr>
      </w:pPr>
      <w:r>
        <w:rPr>
          <w:rFonts w:ascii="Arial" w:cs="Arial" w:eastAsia="Arial" w:hAnsi="Arial"/>
          <w:sz w:val="14"/>
          <w:szCs w:val="14"/>
          <w:color w:val="auto"/>
        </w:rPr>
        <w:t>Conversion of Class B voting common stock to Class A voting common stock</w:t>
      </w:r>
    </w:p>
    <w:p>
      <w:pPr>
        <w:spacing w:after="0" w:line="20" w:lineRule="exact"/>
        <w:rPr>
          <w:sz w:val="20"/>
          <w:szCs w:val="20"/>
          <w:color w:val="auto"/>
        </w:rPr>
      </w:pPr>
    </w:p>
    <w:p>
      <w:pPr>
        <w:ind w:left="20" w:right="240"/>
        <w:spacing w:after="0" w:line="281" w:lineRule="auto"/>
        <w:rPr>
          <w:sz w:val="20"/>
          <w:szCs w:val="20"/>
          <w:color w:val="auto"/>
        </w:rPr>
      </w:pPr>
      <w:r>
        <w:rPr>
          <w:rFonts w:ascii="Arial" w:cs="Arial" w:eastAsia="Arial" w:hAnsi="Arial"/>
          <w:sz w:val="13"/>
          <w:szCs w:val="13"/>
          <w:color w:val="auto"/>
        </w:rPr>
        <w:t>Issuance of Class A voting common stock</w:t>
      </w:r>
    </w:p>
    <w:p>
      <w:pPr>
        <w:spacing w:after="0" w:line="1" w:lineRule="exact"/>
        <w:rPr>
          <w:sz w:val="20"/>
          <w:szCs w:val="20"/>
          <w:color w:val="auto"/>
        </w:rPr>
      </w:pPr>
    </w:p>
    <w:p>
      <w:pPr>
        <w:ind w:left="20" w:right="60"/>
        <w:spacing w:after="0" w:line="281" w:lineRule="auto"/>
        <w:rPr>
          <w:sz w:val="20"/>
          <w:szCs w:val="20"/>
          <w:color w:val="auto"/>
        </w:rPr>
      </w:pPr>
      <w:r>
        <w:rPr>
          <w:rFonts w:ascii="Arial" w:cs="Arial" w:eastAsia="Arial" w:hAnsi="Arial"/>
          <w:sz w:val="13"/>
          <w:szCs w:val="13"/>
          <w:color w:val="auto"/>
        </w:rPr>
        <w:t>Costs in connection with initial public offering</w:t>
      </w:r>
    </w:p>
    <w:p>
      <w:pPr>
        <w:spacing w:after="0" w:line="1" w:lineRule="exact"/>
        <w:rPr>
          <w:sz w:val="20"/>
          <w:szCs w:val="20"/>
          <w:color w:val="auto"/>
        </w:rPr>
      </w:pPr>
    </w:p>
    <w:p>
      <w:pPr>
        <w:ind w:left="20" w:right="280"/>
        <w:spacing w:after="0" w:line="305" w:lineRule="auto"/>
        <w:rPr>
          <w:sz w:val="20"/>
          <w:szCs w:val="20"/>
          <w:color w:val="auto"/>
        </w:rPr>
      </w:pPr>
      <w:r>
        <w:rPr>
          <w:rFonts w:ascii="Arial" w:cs="Arial" w:eastAsia="Arial" w:hAnsi="Arial"/>
          <w:sz w:val="12"/>
          <w:szCs w:val="12"/>
          <w:color w:val="auto"/>
        </w:rPr>
        <w:t>Unrealized loss on marketable securities</w:t>
      </w:r>
    </w:p>
    <w:p>
      <w:pPr>
        <w:ind w:left="20" w:right="700"/>
        <w:spacing w:after="0" w:line="335" w:lineRule="auto"/>
        <w:rPr>
          <w:sz w:val="20"/>
          <w:szCs w:val="20"/>
          <w:color w:val="auto"/>
        </w:rPr>
      </w:pPr>
      <w:r>
        <w:rPr>
          <w:rFonts w:ascii="Arial" w:cs="Arial" w:eastAsia="Arial" w:hAnsi="Arial"/>
          <w:sz w:val="12"/>
          <w:szCs w:val="12"/>
          <w:color w:val="auto"/>
        </w:rPr>
        <w:t>Stock based compensation</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right="40"/>
        <w:spacing w:after="0" w:line="253" w:lineRule="auto"/>
        <w:rPr>
          <w:sz w:val="20"/>
          <w:szCs w:val="20"/>
          <w:color w:val="auto"/>
        </w:rPr>
      </w:pPr>
      <w:r>
        <w:rPr>
          <w:rFonts w:ascii="Arial" w:cs="Arial" w:eastAsia="Arial" w:hAnsi="Arial"/>
          <w:sz w:val="14"/>
          <w:szCs w:val="14"/>
          <w:color w:val="auto"/>
        </w:rPr>
        <w:t>Balance at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36"/>
        </w:trPr>
        <w:tc>
          <w:tcPr>
            <w:tcW w:w="840" w:type="dxa"/>
            <w:vAlign w:val="bottom"/>
          </w:tcPr>
          <w:p>
            <w:pPr>
              <w:ind w:left="44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162,991</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(162,991)</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00"/>
        </w:trPr>
        <w:tc>
          <w:tcPr>
            <w:tcW w:w="840" w:type="dxa"/>
            <w:vAlign w:val="bottom"/>
          </w:tcPr>
          <w:p>
            <w:pPr>
              <w:ind w:left="44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w:t>
            </w:r>
          </w:p>
        </w:tc>
      </w:tr>
      <w:tr>
        <w:trPr>
          <w:trHeight w:val="209"/>
        </w:trPr>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5,971</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5,971</w:t>
            </w:r>
          </w:p>
        </w:tc>
      </w:tr>
      <w:tr>
        <w:trPr>
          <w:trHeight w:val="331"/>
        </w:trPr>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4,197,831</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13,440,725</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4"/>
                <w:szCs w:val="24"/>
                <w:color w:val="auto"/>
              </w:rPr>
            </w:pP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102,465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(25,771)</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76,711</w:t>
            </w:r>
          </w:p>
        </w:tc>
      </w:tr>
      <w:tr>
        <w:trPr>
          <w:trHeight w:val="325"/>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1,724,689</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11,044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11,046</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11,000</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48,904</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648"/>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6,929,993</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(6,929,993)</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330</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480" w:type="dxa"/>
            <w:vAlign w:val="bottom"/>
          </w:tcPr>
          <w:p>
            <w:pPr>
              <w:ind w:left="300"/>
              <w:spacing w:after="0"/>
              <w:rPr>
                <w:sz w:val="20"/>
                <w:szCs w:val="20"/>
                <w:color w:val="auto"/>
              </w:rPr>
            </w:pPr>
            <w:r>
              <w:rPr>
                <w:rFonts w:ascii="Arial" w:cs="Arial" w:eastAsia="Arial" w:hAnsi="Arial"/>
                <w:sz w:val="14"/>
                <w:szCs w:val="14"/>
                <w:color w:val="auto"/>
                <w:w w:val="93"/>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51"/>
        </w:trPr>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ind w:left="420"/>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3,328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3,328</w:t>
            </w:r>
          </w:p>
        </w:tc>
      </w:tr>
      <w:tr>
        <w:trPr>
          <w:trHeight w:val="276"/>
        </w:trPr>
        <w:tc>
          <w:tcPr>
            <w:tcW w:w="8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17,923</w:t>
            </w:r>
          </w:p>
        </w:tc>
      </w:tr>
      <w:tr>
        <w:trPr>
          <w:trHeight w:val="304"/>
        </w:trPr>
        <w:tc>
          <w:tcPr>
            <w:tcW w:w="840" w:type="dxa"/>
            <w:vAlign w:val="bottom"/>
          </w:tcPr>
          <w:p>
            <w:pPr>
              <w:ind w:left="440"/>
              <w:spacing w:after="0"/>
              <w:rPr>
                <w:sz w:val="20"/>
                <w:szCs w:val="20"/>
                <w:color w:val="auto"/>
              </w:rPr>
            </w:pPr>
            <w:r>
              <w:rPr>
                <w:rFonts w:ascii="Arial" w:cs="Arial" w:eastAsia="Arial" w:hAnsi="Arial"/>
                <w:sz w:val="14"/>
                <w:szCs w:val="14"/>
                <w:color w:val="auto"/>
              </w:rPr>
              <w:t>— $</w:t>
            </w:r>
          </w:p>
        </w:tc>
        <w:tc>
          <w:tcPr>
            <w:tcW w:w="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8"/>
              </w:rPr>
              <w:t>12,912,747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6,510,732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880" w:type="dxa"/>
            <w:vAlign w:val="bottom"/>
          </w:tcPr>
          <w:p>
            <w:pPr>
              <w:ind w:left="420"/>
              <w:spacing w:after="0"/>
              <w:rPr>
                <w:sz w:val="20"/>
                <w:szCs w:val="20"/>
                <w:color w:val="auto"/>
              </w:rPr>
            </w:pPr>
            <w:r>
              <w:rPr>
                <w:rFonts w:ascii="Arial" w:cs="Arial" w:eastAsia="Arial" w:hAnsi="Arial"/>
                <w:sz w:val="14"/>
                <w:szCs w:val="14"/>
                <w:color w:val="auto"/>
              </w:rPr>
              <w:t>— $</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ind w:left="420"/>
              <w:spacing w:after="0"/>
              <w:rPr>
                <w:sz w:val="20"/>
                <w:szCs w:val="20"/>
                <w:color w:val="auto"/>
              </w:rPr>
            </w:pPr>
            <w:r>
              <w:rPr>
                <w:rFonts w:ascii="Arial" w:cs="Arial" w:eastAsia="Arial" w:hAnsi="Arial"/>
                <w:sz w:val="14"/>
                <w:szCs w:val="14"/>
                <w:color w:val="auto"/>
              </w:rPr>
              <w:t>— $</w:t>
            </w:r>
          </w:p>
        </w:tc>
        <w:tc>
          <w:tcPr>
            <w:tcW w:w="4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$ 116,600</w:t>
            </w:r>
          </w:p>
        </w:tc>
        <w:tc>
          <w:tcPr>
            <w:tcW w:w="8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480" w:type="dxa"/>
            <w:vAlign w:val="bottom"/>
          </w:tcPr>
          <w:p>
            <w:pPr>
              <w:ind w:left="300"/>
              <w:spacing w:after="0"/>
              <w:rPr>
                <w:sz w:val="20"/>
                <w:szCs w:val="20"/>
                <w:color w:val="auto"/>
              </w:rPr>
            </w:pPr>
            <w:r>
              <w:rPr>
                <w:rFonts w:ascii="Arial" w:cs="Arial" w:eastAsia="Arial" w:hAnsi="Arial"/>
                <w:sz w:val="14"/>
                <w:szCs w:val="14"/>
                <w:color w:val="auto"/>
                <w:w w:val="93"/>
              </w:rPr>
              <w:t>(1)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(7,848)</w:t>
            </w:r>
          </w:p>
        </w:tc>
        <w:tc>
          <w:tcPr>
            <w:tcW w:w="8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108,770</w:t>
            </w:r>
          </w:p>
        </w:tc>
      </w:tr>
      <w:tr>
        <w:trPr>
          <w:trHeight w:val="27"/>
        </w:trPr>
        <w:tc>
          <w:tcPr>
            <w:tcW w:w="84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-3052445</wp:posOffset>
            </wp:positionV>
            <wp:extent cx="723773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31750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-2606675</wp:posOffset>
            </wp:positionV>
            <wp:extent cx="723773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-2160270</wp:posOffset>
            </wp:positionV>
            <wp:extent cx="723773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-1714500</wp:posOffset>
            </wp:positionV>
            <wp:extent cx="723773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41148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-1080135</wp:posOffset>
            </wp:positionV>
            <wp:extent cx="723773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-633730</wp:posOffset>
            </wp:positionV>
            <wp:extent cx="723773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-239395</wp:posOffset>
            </wp:positionV>
            <wp:extent cx="723773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1520" w:space="20"/>
            <w:col w:w="9860"/>
          </w:cols>
          <w:pgMar w:left="240" w:top="121" w:right="25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121" w:right="2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Pr>
          <w:p>
            <w:pPr>
              <w:spacing w:after="0"/>
              <w:rPr>
                <w:sz w:val="18"/>
                <w:szCs w:val="18"/>
                <w:color w:val="auto"/>
              </w:rPr>
            </w:pPr>
          </w:p>
        </w:tc>
      </w:tr>
      <w:tr>
        <w:trPr>
          <w:trHeight w:val="3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22,358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5,971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17,923</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5,824</w:t>
            </w:r>
          </w:p>
        </w:tc>
      </w:tr>
      <w:tr>
        <w:trPr>
          <w:trHeight w:val="224"/>
        </w:trPr>
        <w:tc>
          <w:tcPr>
            <w:tcW w:w="7240" w:type="dxa"/>
            <w:vAlign w:val="bottom"/>
          </w:tcPr>
          <w:p>
            <w:pPr>
              <w:ind w:left="340"/>
              <w:spacing w:after="0"/>
              <w:rPr>
                <w:sz w:val="20"/>
                <w:szCs w:val="20"/>
                <w:color w:val="auto"/>
              </w:rPr>
            </w:pPr>
            <w:r>
              <w:rPr>
                <w:rFonts w:ascii="Arial" w:cs="Arial" w:eastAsia="Arial" w:hAnsi="Arial"/>
                <w:sz w:val="16"/>
                <w:szCs w:val="16"/>
                <w:color w:val="auto"/>
              </w:rPr>
              <w:t>Accretion of bond discount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24"/>
        </w:trPr>
        <w:tc>
          <w:tcPr>
            <w:tcW w:w="72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3,339</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(10,833)</w:t>
            </w:r>
          </w:p>
        </w:tc>
      </w:tr>
      <w:tr>
        <w:trPr>
          <w:trHeight w:val="224"/>
        </w:trPr>
        <w:tc>
          <w:tcPr>
            <w:tcW w:w="724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Impairment of intangible asset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r>
      <w:tr>
        <w:trPr>
          <w:trHeight w:val="224"/>
        </w:trPr>
        <w:tc>
          <w:tcPr>
            <w:tcW w:w="724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(1,926)</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costs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24"/>
        </w:trPr>
        <w:tc>
          <w:tcPr>
            <w:tcW w:w="72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4,826</w:t>
            </w:r>
          </w:p>
        </w:tc>
      </w:tr>
      <w:tr>
        <w:trPr>
          <w:trHeight w:val="224"/>
        </w:trPr>
        <w:tc>
          <w:tcPr>
            <w:tcW w:w="7240" w:type="dxa"/>
            <w:vAlign w:val="bottom"/>
          </w:tcPr>
          <w:p>
            <w:pPr>
              <w:ind w:left="660"/>
              <w:spacing w:after="0"/>
              <w:rPr>
                <w:sz w:val="20"/>
                <w:szCs w:val="20"/>
                <w:color w:val="auto"/>
              </w:rPr>
            </w:pPr>
            <w:r>
              <w:rPr>
                <w:rFonts w:ascii="Arial" w:cs="Arial" w:eastAsia="Arial" w:hAnsi="Arial"/>
                <w:sz w:val="16"/>
                <w:szCs w:val="16"/>
                <w:color w:val="auto"/>
              </w:rPr>
              <w:t>Deferred revenue and advanced billings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6,019</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rent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24,633</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 from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24,633</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(12,419)</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(35,236)</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18,000</w:t>
            </w: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(31,683)</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(31,683)</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Borrowings on line of credit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on line of credit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Payments on capital leases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 on term loan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Repayments on term loan</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Payment of costs related to the initial public offering</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initial public offering, net of underwriting discounts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Proceeds from issuances of common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11,046</w:t>
            </w:r>
          </w:p>
        </w:tc>
      </w:tr>
      <w:tr>
        <w:trPr>
          <w:trHeight w:val="33"/>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warrants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Cash distribution to Republic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10,681</w:t>
            </w: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30,842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3,631</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121" w:right="2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Bandwidth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37,870</w:t>
            </w: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37,870</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41,501</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4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distribution of net liabilities to Spin-Off</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20"/>
              <w:spacing w:after="0"/>
              <w:rPr>
                <w:sz w:val="20"/>
                <w:szCs w:val="20"/>
                <w:color w:val="auto"/>
              </w:rPr>
            </w:pPr>
            <w:r>
              <w:rPr>
                <w:rFonts w:ascii="Arial" w:cs="Arial" w:eastAsia="Arial" w:hAnsi="Arial"/>
                <w:sz w:val="16"/>
                <w:szCs w:val="16"/>
                <w:color w:val="auto"/>
              </w:rPr>
              <w:t>Acquisition of equipment through capital leases</w:t>
            </w: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240" w:type="dxa"/>
            <w:vAlign w:val="bottom"/>
            <w:vMerge w:val="continue"/>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Bandwidth Inc.</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Description of Business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2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Initial Public Offering</w:t>
      </w:r>
    </w:p>
    <w:p>
      <w:pPr>
        <w:spacing w:after="0" w:line="2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On November 9, 2017, the Company’s Registration Statement on Form S-1 relating to the initial public offering (“IPO”) of its Class A common stock was declared effective by the SEC. Immediately prior to the closing of the IPO, the Company’s certificate of incorporation was amended such that (i) each share of the Company’s then-outstanding Class A voting common stock (“Old Class A common stock”) was reclassified as one share of Class B voting common stock (“Class B common stock”), which has ten votes per share, (ii) each share of the Company’s then-outstanding Class B non-voting common stock (“Old Class B common stock”) was reclassified as one share of Class A voting common stock (“Class A common stock”), which has one vote per share and (iii) options and warrants exercisable into the Company’s Old Class A common stock and Old Class B common stock became exercisable into Class B common stock and Class A common stock, respectively. In addition, immediately prior to pricing of the IPO, all shares of the Company’s then-outstanding Series A redeemable convertible preferred stock were converted into Old Class A common stock, which then converted into Class B common stock. In connection with the Company’s IPO, 4,000,000 shares of the Company’s Class A common stock were sold at an initial public offering price of $20.00 per share for proceeds of approximately $74,400, net of underwriting discounts and commissions of $5,600. On November 14, 2017, the outstanding term loan of $38,500 was paid in full with proceeds from the IPO.</w:t>
      </w:r>
    </w:p>
    <w:p>
      <w:pPr>
        <w:spacing w:after="0" w:line="200" w:lineRule="exact"/>
        <w:rPr>
          <w:sz w:val="20"/>
          <w:szCs w:val="20"/>
          <w:color w:val="auto"/>
        </w:rPr>
      </w:pPr>
    </w:p>
    <w:p>
      <w:pPr>
        <w:spacing w:after="0" w:line="241" w:lineRule="exact"/>
        <w:rPr>
          <w:sz w:val="20"/>
          <w:szCs w:val="20"/>
          <w:color w:val="auto"/>
        </w:rPr>
      </w:pPr>
    </w:p>
    <w:p>
      <w:pPr>
        <w:ind w:left="500" w:right="7500" w:hanging="492"/>
        <w:spacing w:after="0" w:line="510" w:lineRule="auto"/>
        <w:tabs>
          <w:tab w:leader="none" w:pos="212"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Presentation</w:t>
      </w:r>
    </w:p>
    <w:p>
      <w:pPr>
        <w:spacing w:after="0" w:line="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consolidated financial statements and accompanying notes were prepared in accordance with accounting principles generally accepted in the United States of America (“U.S. GAAP”).</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Reclassification</w:t>
      </w:r>
    </w:p>
    <w:p>
      <w:pPr>
        <w:spacing w:after="0" w:line="2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Principles of Consolidation</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consolidated financial statements include the accounts of Bandwidth Inc. and its wholly owned subsidiaries. All intercompany accounts and transactions have been eliminated in consolidation.</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Use of Estimates</w:t>
      </w:r>
    </w:p>
    <w:p>
      <w:pPr>
        <w:spacing w:after="0" w:line="2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Revenue Recognition</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Revenue consists primarily of the sale of communications services offered through API software solutions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 In addition, the Company earns Carrier Access Billings (“CABS”) revenue by allowing interconnected telecommunication carriers to pass traffic through its network and, as such the Company is the principal in delivering communication services to such carriers. Revenue for these services is recognized in the period the usage occurs.</w:t>
      </w:r>
    </w:p>
    <w:p>
      <w:pPr>
        <w:spacing w:after="0" w:line="21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Revenue recognition commences when all of the following criteria are met (i) persuasive evidence of an arrangement exists; (ii) delivery has occurred; (iii) the fee is fixed or determinable; and (iv) collection is probable. Customers generally enter into arrangements that are typically two to three years in length.</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Cost of Revenue</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Operating Expenses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Research and Development</w:t>
      </w:r>
    </w:p>
    <w:p>
      <w:pPr>
        <w:spacing w:after="0" w:line="24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R&amp;D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Sales and Marketing</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General and Administrative</w:t>
      </w: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General and administrative expenses consist primarily of personnel costs for support personnel and executives in accounting, finance, legal, information services, human resources and administrative functions. General and administrative expenses also include costs related to product management and reporting, data services, customer billing and collection functions, and other professional services fees, credit card processing fees, rent associated with the Company’s headquarters in Raleigh, North Carolina, depreciation and amortization.</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Cash and Cash Equivalents</w:t>
      </w:r>
    </w:p>
    <w:p>
      <w:pPr>
        <w:spacing w:after="0" w:line="2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classifies all highly liquid investments with stated maturities of three months or less from date of purchase as cash equivalents and all highly liquid investments with stated maturities of greater than three months from the date of purchase as current marketable securities.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 party custodian to manage the exchange of funds and ensure that collateral received is maintained at 102% of the value of the RRAs on a daily basis. RRAs with stated maturities of greater than three months from the date of purchase are classified as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Restricted Cash</w:t>
      </w:r>
    </w:p>
    <w:p>
      <w:pPr>
        <w:spacing w:after="0" w:line="2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6"/>
              </w:rPr>
              <w:t>As of December 31,</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41,261</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6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Total cash, cash equivalents, and restricted cash shown in the statements of cash flows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7,028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41,501</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cash is for Automated Clearing House (“ACH”) availability, customer deposits and for credit card security. The Company has classified this asset as a long-term asset in order to match the expected period of restriction and is included in Other long-term assets in the consolidated balance sheets.</w:t>
      </w:r>
    </w:p>
    <w:p>
      <w:pPr>
        <w:spacing w:after="0" w:line="3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Accounts Receivable and Allowance for Doubtful Accounts</w:t>
      </w:r>
    </w:p>
    <w:p>
      <w:pPr>
        <w:spacing w:after="0" w:line="2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Accounts receivable are stated at realizable value, net of an allowance for doubtful accounts. The allowance for doubtful accounts is based on management’s assessment of the collectability of its customer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$32,463 and $906 for uncollectible accounts and customer balances that are disputed were required as of December 31, 2017 and 2018, respectively. The allowance for doubtful accounts as of December 31, 2017 primarily relates to billings for CABS services where collectability was deemed not probable due to prior period customer disputes. Refer to Note 5, “Financial Statement Components,” for a rollforward of the components of the allowance for doubtful accounts as of December 31, 2017 and 2018, and for discussion of the settlement agreement that was entered into in 2018 that resolved the ongoing dispute and litigation with MCI Communications Services, Inc. d/b/a Verizon Business and Verizon Select Services, Inc. (collectively, “Verizon”), which is a CABS customer of the Company.</w:t>
      </w:r>
    </w:p>
    <w:p>
      <w:pPr>
        <w:spacing w:after="0" w:line="212"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2017 and 2018, unbilled receivables were $8,653 and $11,174, respectively.</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Concentration of Credit Risk</w:t>
      </w:r>
    </w:p>
    <w:p>
      <w:pPr>
        <w:spacing w:after="0" w:line="2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2017, one customer represented approximately 13% of the Company’s accounts receivable, net of allowance for doubtful accounts. As of December 31, 2018, one customer represented approximately 18% of the Company’s accounts receivable, net of allowance for doubtful accounts.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the years ended December 31, 2016, 2017 and 2018, no individual customer represented more than 10% of the Company’s total revenue.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Property and Equipment, net</w:t>
      </w:r>
    </w:p>
    <w:p>
      <w:pPr>
        <w:spacing w:after="0" w:line="262" w:lineRule="exact"/>
        <w:rPr>
          <w:sz w:val="20"/>
          <w:szCs w:val="20"/>
          <w:color w:val="auto"/>
        </w:rPr>
      </w:pPr>
    </w:p>
    <w:p>
      <w:pPr>
        <w:ind w:right="720" w:firstLine="648"/>
        <w:spacing w:after="0" w:line="260" w:lineRule="auto"/>
        <w:rPr>
          <w:sz w:val="20"/>
          <w:szCs w:val="20"/>
          <w:color w:val="auto"/>
        </w:rPr>
      </w:pPr>
      <w:r>
        <w:rPr>
          <w:rFonts w:ascii="Arial" w:cs="Arial" w:eastAsia="Arial" w:hAnsi="Arial"/>
          <w:sz w:val="20"/>
          <w:szCs w:val="20"/>
          <w:color w:val="231F20"/>
        </w:rPr>
        <w:t>Prop</w:t>
      </w:r>
      <w:r>
        <w:rPr>
          <w:rFonts w:ascii="Arial" w:cs="Arial" w:eastAsia="Arial" w:hAnsi="Arial"/>
          <w:sz w:val="20"/>
          <w:szCs w:val="20"/>
          <w:color w:val="000000"/>
        </w:rPr>
        <w:t>erty and equipment, net is stated at cost, less accumulated depreciation and amortization. Depreciation and amortization is</w:t>
      </w:r>
      <w:r>
        <w:rPr>
          <w:rFonts w:ascii="Arial" w:cs="Arial" w:eastAsia="Arial" w:hAnsi="Arial"/>
          <w:sz w:val="20"/>
          <w:szCs w:val="20"/>
          <w:color w:val="231F20"/>
        </w:rPr>
        <w:t xml:space="preserve"> </w:t>
      </w:r>
      <w:r>
        <w:rPr>
          <w:rFonts w:ascii="Arial" w:cs="Arial" w:eastAsia="Arial" w:hAnsi="Arial"/>
          <w:sz w:val="20"/>
          <w:szCs w:val="20"/>
          <w:color w:val="000000"/>
        </w:rPr>
        <w:t>calculated on a straight-line basis over the estimated useful lives of those assets as follows:</w:t>
      </w: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 to 5 years</w:t>
      </w:r>
    </w:p>
    <w:p>
      <w:pPr>
        <w:spacing w:after="0" w:line="1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Internal-use software development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years</w:t>
      </w:r>
    </w:p>
    <w:p>
      <w:pPr>
        <w:spacing w:after="0" w:line="1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 to 7 years</w:t>
      </w:r>
    </w:p>
    <w:p>
      <w:pPr>
        <w:spacing w:after="0" w:line="99"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the estimated lease term or useful life</w:t>
      </w:r>
    </w:p>
    <w:p>
      <w:pPr>
        <w:spacing w:after="0" w:line="200"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Maintenance and repairs are charged to expense as incurred.</w:t>
      </w:r>
    </w:p>
    <w:p>
      <w:pPr>
        <w:sectPr>
          <w:pgSz w:w="11900" w:h="16838" w:orient="portrait"/>
          <w:cols w:equalWidth="0" w:num="1">
            <w:col w:w="11420"/>
          </w:cols>
          <w:pgMar w:left="240" w:top="121" w:right="239" w:bottom="1440" w:gutter="0" w:footer="0" w:header="0"/>
          <w:type w:val="continuous"/>
        </w:sectPr>
      </w:pPr>
    </w:p>
    <w:p>
      <w:pPr>
        <w:spacing w:after="0" w:line="28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Deferred Costs</w:t>
      </w:r>
    </w:p>
    <w:p>
      <w:pPr>
        <w:spacing w:after="0" w:line="2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Software Development Costs</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Debt Issuance Costs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incurred debt issuance costs associated with obtaining and entering into a five-year Credit and Security Agreement in November 2016, which includes a revolving credit facility and a term loan. These costs include non-refundable structuring fees, commitment fees, up-front fees and syndication expenses, which have been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deferred and are being amortized based on the effective interest method over the term of the Credit and Security Agreement. The debt issuance costs associated with the revolving credit facility are recorded as a deferred cost in the accompanying consolidated balance sheets. The unamortized debt issuance costs, which are included in prepaid expenses and other current assets in the accompanying consolidated balance sheets, were $175 and $136 as of December 31, 2017 and 2018, respectively. Debt issuance costs associated with the term loan were recognized as an adjustment of the yield of the loan and were reflected as a reduction of the long-term debt balance. On November 14, 2017, the term loan was paid in full and $260 of unamortized debt issuance costs were recorded as interest expense. As of December 31, 2017 and 2018, unamortized debt issuance costs were $0.</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Goodwill</w:t>
      </w:r>
    </w:p>
    <w:p>
      <w:pPr>
        <w:spacing w:after="0" w:line="2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has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carrying value exceeds its fair value, then the Company would perform the second step of the goodwill impairment test to determine the amount of the impairment loss. The impairment loss would be calculated by comparing the implied fair value of the goodwill to its carrying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2017 and 2018, the Company has recorded goodwill of $6,867. No goodwill impairment charges were recorded for the years ended December 31, 2016, 2017 and 2018.</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Impairment of Long-Lived Assets</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Advertising Costs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expenses advertising costs as incurred. Advertising costs totaled $197, $464 and $953 for the years ended December 31, 2016, 2017 and 2018, respectively, which are included in sales and marketing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Commissions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Commissions consist of variable compensation earned by sales personnel and third-party resellers. Sales commissions associated with the acquisition of a new customer contract are paid over time, based on monthly revenues, and are recognized as sales and marketing expense in the period incurred.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Stock-Based Compensation</w:t>
      </w:r>
    </w:p>
    <w:p>
      <w:pPr>
        <w:spacing w:after="0" w:line="24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accounts for stock-based compensation expense related to all stock-based awards based on the fair value of the award on the grant date. Stock-based compensation expense is recognized on a straight-line basis over the requisite service period, which is generally four years. The fair value of the restricted stock units is determined using the fair value of the Company’s Class A common stock on the date of grant. The Company uses the Black-Scholes option pricing model, net of estimated forfeitures, to measure the fair value of its stock options.</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Black-Scholes option pricing model requires the use of objective and subjective assumptions, which determine the fair-value of stock-based awards. These assumptions include:</w:t>
      </w:r>
    </w:p>
    <w:p>
      <w:pPr>
        <w:spacing w:after="0" w:line="204" w:lineRule="exact"/>
        <w:rPr>
          <w:sz w:val="20"/>
          <w:szCs w:val="20"/>
          <w:color w:val="auto"/>
        </w:rPr>
      </w:pPr>
    </w:p>
    <w:p>
      <w:pPr>
        <w:jc w:val="both"/>
        <w:ind w:left="660" w:hanging="328"/>
        <w:spacing w:after="0" w:line="255" w:lineRule="auto"/>
        <w:tabs>
          <w:tab w:leader="none" w:pos="648" w:val="left"/>
        </w:tabs>
        <w:numPr>
          <w:ilvl w:val="0"/>
          <w:numId w:val="44"/>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Fair value of our common stock. </w:t>
      </w:r>
      <w:r>
        <w:rPr>
          <w:rFonts w:ascii="Arial" w:cs="Arial" w:eastAsia="Arial" w:hAnsi="Arial"/>
          <w:sz w:val="19"/>
          <w:szCs w:val="19"/>
          <w:color w:val="auto"/>
        </w:rPr>
        <w:t>Prior to the Company’s IPO, the fair value of the shares of the Company’s common stock underlying</w:t>
      </w:r>
      <w:r>
        <w:rPr>
          <w:rFonts w:ascii="Arial" w:cs="Arial" w:eastAsia="Arial" w:hAnsi="Arial"/>
          <w:sz w:val="19"/>
          <w:szCs w:val="19"/>
          <w:i w:val="1"/>
          <w:iCs w:val="1"/>
          <w:color w:val="auto"/>
        </w:rPr>
        <w:t xml:space="preserve"> </w:t>
      </w:r>
      <w:r>
        <w:rPr>
          <w:rFonts w:ascii="Arial" w:cs="Arial" w:eastAsia="Arial" w:hAnsi="Arial"/>
          <w:sz w:val="19"/>
          <w:szCs w:val="19"/>
          <w:color w:val="auto"/>
        </w:rPr>
        <w:t>stock options has historically been established by the board of directors. Numerous objective and subjective factors that were considered included, but were not limited to, the following: i) contemporaneous independent, third-party valuations of the Company’s common stock; ii) the rights, preferences and privileges of the Company’s redeemable convertible preferred stock relative to those of the Company’s common stock; iii) the Company’s results of operations, financial position and capital resources; iv) current business conditions and projections; v) the lack of marketability of the Company’s common stock; vi) the hiring of key personnel and the experience of the Company’s management; vi) the introduction of new products; vii) the risk inherent in the development and expansion of the Company’s products; viii) the fact that the option grants involve illiquid securities in a private company; ix) the likelihood of achieving a liquidity event, such as an initial public offering or a sale of the Company, given the prevailing market conditions; x) industry trends and competitive environment; and xi) overall economic indicators, including gross domestic product, employment, inflation and interest rates. After the IPO, the Company uses the market closing price of its Class A common stock as reported on the NASDAQ Global Select Market for the fair value.</w:t>
      </w:r>
    </w:p>
    <w:p>
      <w:pPr>
        <w:spacing w:after="0" w:line="212" w:lineRule="exact"/>
        <w:rPr>
          <w:rFonts w:ascii="Arial" w:cs="Arial" w:eastAsia="Arial" w:hAnsi="Arial"/>
          <w:sz w:val="19"/>
          <w:szCs w:val="19"/>
          <w:i w:val="1"/>
          <w:iCs w:val="1"/>
          <w:color w:val="auto"/>
        </w:rPr>
      </w:pPr>
    </w:p>
    <w:p>
      <w:pPr>
        <w:ind w:left="660" w:hanging="328"/>
        <w:spacing w:after="0" w:line="260" w:lineRule="auto"/>
        <w:tabs>
          <w:tab w:leader="none" w:pos="648"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Expected term. </w:t>
      </w:r>
      <w:r>
        <w:rPr>
          <w:rFonts w:ascii="Arial" w:cs="Arial" w:eastAsia="Arial" w:hAnsi="Arial"/>
          <w:sz w:val="20"/>
          <w:szCs w:val="20"/>
          <w:color w:val="auto"/>
        </w:rPr>
        <w:t>The expected term was estimated using the simplified method allowed under SEC guidance as the Company does not</w:t>
      </w:r>
      <w:r>
        <w:rPr>
          <w:rFonts w:ascii="Arial" w:cs="Arial" w:eastAsia="Arial" w:hAnsi="Arial"/>
          <w:sz w:val="20"/>
          <w:szCs w:val="20"/>
          <w:i w:val="1"/>
          <w:iCs w:val="1"/>
          <w:color w:val="auto"/>
        </w:rPr>
        <w:t xml:space="preserve"> </w:t>
      </w:r>
      <w:r>
        <w:rPr>
          <w:rFonts w:ascii="Arial" w:cs="Arial" w:eastAsia="Arial" w:hAnsi="Arial"/>
          <w:sz w:val="20"/>
          <w:szCs w:val="20"/>
          <w:color w:val="auto"/>
        </w:rPr>
        <w:t>have sufficient historical data to use any other method to estimate the expected term.</w:t>
      </w:r>
    </w:p>
    <w:p>
      <w:pPr>
        <w:spacing w:after="0" w:line="203" w:lineRule="exact"/>
        <w:rPr>
          <w:rFonts w:ascii="Arial" w:cs="Arial" w:eastAsia="Arial" w:hAnsi="Arial"/>
          <w:sz w:val="20"/>
          <w:szCs w:val="20"/>
          <w:i w:val="1"/>
          <w:iCs w:val="1"/>
          <w:color w:val="auto"/>
        </w:rPr>
      </w:pPr>
    </w:p>
    <w:p>
      <w:pPr>
        <w:jc w:val="both"/>
        <w:ind w:left="660" w:hanging="328"/>
        <w:spacing w:after="0" w:line="291" w:lineRule="auto"/>
        <w:tabs>
          <w:tab w:leader="none" w:pos="648"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derived from an average of the historical volatilities of the common stock of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with characteristics similar to those of the Company, such as the size, and operational and economic similarities to its principle business operations. The Company uses this method because it has limited information on the volatility of its common stock.</w:t>
      </w:r>
    </w:p>
    <w:p>
      <w:pPr>
        <w:spacing w:after="0" w:line="178" w:lineRule="exact"/>
        <w:rPr>
          <w:rFonts w:ascii="Arial" w:cs="Arial" w:eastAsia="Arial" w:hAnsi="Arial"/>
          <w:sz w:val="18"/>
          <w:szCs w:val="18"/>
          <w:i w:val="1"/>
          <w:iCs w:val="1"/>
          <w:color w:val="auto"/>
        </w:rPr>
      </w:pPr>
    </w:p>
    <w:p>
      <w:pPr>
        <w:ind w:left="660" w:hanging="328"/>
        <w:spacing w:after="0" w:line="260" w:lineRule="auto"/>
        <w:tabs>
          <w:tab w:leader="none" w:pos="648" w:val="left"/>
        </w:tabs>
        <w:numPr>
          <w:ilvl w:val="0"/>
          <w:numId w:val="44"/>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Risk-free interest rate. </w:t>
      </w:r>
      <w:r>
        <w:rPr>
          <w:rFonts w:ascii="Arial" w:cs="Arial" w:eastAsia="Arial" w:hAnsi="Arial"/>
          <w:sz w:val="20"/>
          <w:szCs w:val="20"/>
          <w:color w:val="auto"/>
        </w:rPr>
        <w:t>The risk-free interest rate is based on the yields of U.S. Treasury securities with maturities similar to the</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term of the options for each option group as of the grant date.</w:t>
      </w:r>
    </w:p>
    <w:p>
      <w:pPr>
        <w:spacing w:after="0" w:line="203"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i w:val="1"/>
          <w:iCs w:val="1"/>
          <w:color w:val="auto"/>
        </w:rPr>
        <w:t xml:space="preserve">Expected dividends. </w:t>
      </w:r>
      <w:r>
        <w:rPr>
          <w:rFonts w:ascii="Arial" w:cs="Arial" w:eastAsia="Arial" w:hAnsi="Arial"/>
          <w:sz w:val="20"/>
          <w:szCs w:val="20"/>
          <w:color w:val="auto"/>
        </w:rPr>
        <w:t>The expected dividend is assumed to be zero as the Company has never paid dividends and has no current plans to</w:t>
      </w:r>
      <w:r>
        <w:rPr>
          <w:rFonts w:ascii="Arial" w:cs="Arial" w:eastAsia="Arial" w:hAnsi="Arial"/>
          <w:sz w:val="20"/>
          <w:szCs w:val="20"/>
          <w:i w:val="1"/>
          <w:iCs w:val="1"/>
          <w:color w:val="auto"/>
        </w:rPr>
        <w:t xml:space="preserve"> </w:t>
      </w:r>
      <w:r>
        <w:rPr>
          <w:rFonts w:ascii="Arial" w:cs="Arial" w:eastAsia="Arial" w:hAnsi="Arial"/>
          <w:sz w:val="20"/>
          <w:szCs w:val="20"/>
          <w:color w:val="auto"/>
        </w:rPr>
        <w:t>pay any dividends on its common stock.</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has elected to estimate expected forfeitures, and, as such, the Company must also determine a forfeiture rate to calculate the stock-based compensation for awards. Through December 31, 2018, the Company recognized compensation for only the portion of options expected to vest using an estimated forfeiture rate that was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derived from historical employee termination behavior. If any of the assumptions used in the Black-Scholes option pricing model change, stock-based compensation for future options may differ materially compared to that associated with previous grants.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Operating Segments</w:t>
      </w:r>
    </w:p>
    <w:p>
      <w:pPr>
        <w:spacing w:after="0" w:line="2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of which are located in the United States. All other financial information is evaluated on a consolidated basis.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Earnings per Share</w:t>
      </w:r>
    </w:p>
    <w:p>
      <w:pPr>
        <w:spacing w:after="0" w:line="2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Basic earnings per share attributable to common stockholders is calculated by dividing the net income attributable to common stockholders by the weighted-average number of shares of common stock outstanding for the period.</w:t>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Diluted net income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Historically, the Company issued securities other than common stock that participate in dividends (“Participating Securities”), and therefore utilizes the two-class method to calculate net income per share. These Participating Securities include the Series A redeemable convertible preferred stock. The two-class method requires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 portion of net income to be allocated to the Participating Securities to determine the net income attributable to common stockholders. Net income attributable to the common stockholders is equal to the net income less dividends paid on preferred stock with any remaining earnings allocated in accordance with the bylaws between the outstanding common and redeemable convertible preferred stock as of the end of each period. On November 9, 2017, the Participating Securities were converted into shares of Old Class A common stock, which converted to Class B common stock immediately prior to the IPO.</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Emerging Growth Company Status</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2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231F20"/>
        </w:rPr>
        <w:t>In May 20</w:t>
      </w:r>
      <w:r>
        <w:rPr>
          <w:rFonts w:ascii="Arial" w:cs="Arial" w:eastAsia="Arial" w:hAnsi="Arial"/>
          <w:sz w:val="20"/>
          <w:szCs w:val="20"/>
          <w:color w:val="000000"/>
        </w:rPr>
        <w:t>17, the Financial</w:t>
      </w:r>
      <w:r>
        <w:rPr>
          <w:rFonts w:ascii="Arial" w:cs="Arial" w:eastAsia="Arial" w:hAnsi="Arial"/>
          <w:sz w:val="20"/>
          <w:szCs w:val="20"/>
          <w:color w:val="231F20"/>
        </w:rPr>
        <w:t xml:space="preserve"> Accounting Standards Board (“FASB”) issued Accounting Standards Update (“ASU”) 2017-09, </w:t>
      </w:r>
      <w:r>
        <w:rPr>
          <w:rFonts w:ascii="Arial" w:cs="Arial" w:eastAsia="Arial" w:hAnsi="Arial"/>
          <w:sz w:val="20"/>
          <w:szCs w:val="20"/>
          <w:i w:val="1"/>
          <w:iCs w:val="1"/>
          <w:color w:val="231F20"/>
        </w:rPr>
        <w:t>Compensation-Stock Compensation (Topic 718), Scope of Modification Accounting</w:t>
      </w:r>
      <w:r>
        <w:rPr>
          <w:rFonts w:ascii="Arial" w:cs="Arial" w:eastAsia="Arial" w:hAnsi="Arial"/>
          <w:sz w:val="20"/>
          <w:szCs w:val="20"/>
          <w:color w:val="231F20"/>
        </w:rPr>
        <w:t>, which amends the scope of modification accounting for</w:t>
      </w:r>
      <w:r>
        <w:rPr>
          <w:rFonts w:ascii="Arial" w:cs="Arial" w:eastAsia="Arial" w:hAnsi="Arial"/>
          <w:sz w:val="20"/>
          <w:szCs w:val="20"/>
          <w:i w:val="1"/>
          <w:iCs w:val="1"/>
          <w:color w:val="231F20"/>
        </w:rPr>
        <w:t xml:space="preserve"> </w:t>
      </w:r>
      <w:r>
        <w:rPr>
          <w:rFonts w:ascii="Arial" w:cs="Arial" w:eastAsia="Arial" w:hAnsi="Arial"/>
          <w:sz w:val="20"/>
          <w:szCs w:val="20"/>
          <w:color w:val="231F20"/>
        </w:rPr>
        <w:t>share-based payment arrangements. The ASU provides guidance on the types of changes to terms or conditions of share-based payment awards to which an entity would be required to apply modification accounting under ASC 718, Compensation-Stock Compensation. ASU 2017-09 was effective for fiscal years and interim periods within those years beginning after December 15, 2017. The adoption of this standard did not have a material impact on the Company’s financial statements.</w:t>
      </w:r>
    </w:p>
    <w:p>
      <w:pPr>
        <w:spacing w:after="0" w:line="2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31F20"/>
        </w:rPr>
        <w:t xml:space="preserve">In January 2017, the FASB issued ASU 2017-01, </w:t>
      </w:r>
      <w:r>
        <w:rPr>
          <w:rFonts w:ascii="Arial" w:cs="Arial" w:eastAsia="Arial" w:hAnsi="Arial"/>
          <w:sz w:val="18"/>
          <w:szCs w:val="18"/>
          <w:i w:val="1"/>
          <w:iCs w:val="1"/>
          <w:color w:val="231F20"/>
        </w:rPr>
        <w:t>Business Combinations (Topic 805) Clarifying the Definition of a Business</w:t>
      </w:r>
      <w:r>
        <w:rPr>
          <w:rFonts w:ascii="Arial" w:cs="Arial" w:eastAsia="Arial" w:hAnsi="Arial"/>
          <w:sz w:val="18"/>
          <w:szCs w:val="18"/>
          <w:color w:val="231F20"/>
        </w:rPr>
        <w:t>, which amends the guidance of FASB Accounting Standards Codification Topic 805, “Business Combinations,” adding guidance to assist entities with evaluating whether transactions should be accounted for as acquisitions or disposals of assets or businesses. The definition of a business affects many areas of accounting including acquisitions, disposals, goodwill, and consolidation. This guidance was effective for annual and interim periods beginning after December 15, 2017. The impact from the adoption of this standard is dependent upon future transactions.</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31F20"/>
        </w:rPr>
        <w:t xml:space="preserve">In November 2016, the FASB issued ASU 2016-18, </w:t>
      </w:r>
      <w:r>
        <w:rPr>
          <w:rFonts w:ascii="Arial" w:cs="Arial" w:eastAsia="Arial" w:hAnsi="Arial"/>
          <w:sz w:val="19"/>
          <w:szCs w:val="19"/>
          <w:i w:val="1"/>
          <w:iCs w:val="1"/>
          <w:color w:val="231F20"/>
        </w:rPr>
        <w:t>Statement of Cash Flows (Topic 230), Restricted Cash</w:t>
      </w:r>
      <w:r>
        <w:rPr>
          <w:rFonts w:ascii="Arial" w:cs="Arial" w:eastAsia="Arial" w:hAnsi="Arial"/>
          <w:sz w:val="19"/>
          <w:szCs w:val="19"/>
          <w:color w:val="231F20"/>
        </w:rPr>
        <w:t>, which requires a statement of cash flows to explain the change during the period in the total of cash, cash equivalents and amounts generally described as restricted cash and restricted cash equivalents when reconciling the beginning-of-period and end-of-period total amounts shown on the statement of cash flows. ASU 2016-18 was effective for fiscal years and interim periods within those fiscal years beginning after December 15, 2017. The adoption of this standard did not have a material impact on the Company’s financial statements.</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Statement of Cash Flows (Topic 230), Classification of Certain Cash Receipts and</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Cash Payments, </w:t>
      </w:r>
      <w:r>
        <w:rPr>
          <w:rFonts w:ascii="Arial" w:cs="Arial" w:eastAsia="Arial" w:hAnsi="Arial"/>
          <w:sz w:val="18"/>
          <w:szCs w:val="18"/>
          <w:color w:val="231F20"/>
        </w:rPr>
        <w:t>which clarifies how entities should classify certain cash receipts and cash payments on the statement of cash flows.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guidance also clarifies how the predominance principle should be applied when cash receipts and cash payments have aspects of more than one class of cash flows. ASU 2016-15 was effective for fiscal years beginning after December 15, 2017 and interim periods within those fiscal years. The Company adopted this standard retrospectively and it had no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2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Related Party Guidance for</w:t>
      </w:r>
      <w:r>
        <w:rPr>
          <w:rFonts w:ascii="Arial" w:cs="Arial" w:eastAsia="Arial" w:hAnsi="Arial"/>
          <w:sz w:val="18"/>
          <w:szCs w:val="18"/>
          <w:color w:val="auto"/>
        </w:rPr>
        <w:t xml:space="preserve">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which addresses the cost and complexity of financial reporting associated with consolidation of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(“VIE”). ASU 2018-17 is effective for fiscal years beginning after December 15, 2019, and interim periods within those fiscal years, with early adoption permitted. The new guidance must be applied on a retrospective basis as a cumulative-effect adjustment as of the date of adoption. </w:t>
      </w:r>
      <w:r>
        <w:rPr>
          <w:rFonts w:ascii="Arial" w:cs="Arial" w:eastAsia="Arial" w:hAnsi="Arial"/>
          <w:sz w:val="18"/>
          <w:szCs w:val="18"/>
          <w:color w:val="231F20"/>
        </w:rPr>
        <w:t>Management does not expect the adoption of this guidance to have a significant impact on the Company’s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In August 2018, the FASB issued ASU 2018-13, </w:t>
      </w:r>
      <w:r>
        <w:rPr>
          <w:rFonts w:ascii="Arial" w:cs="Arial" w:eastAsia="Arial" w:hAnsi="Arial"/>
          <w:sz w:val="19"/>
          <w:szCs w:val="19"/>
          <w:i w:val="1"/>
          <w:iCs w:val="1"/>
          <w:color w:val="auto"/>
        </w:rPr>
        <w:t>Fair Value Measurement (Topic 820): Disclosure Framework – Changes to the</w:t>
      </w:r>
    </w:p>
    <w:p>
      <w:pPr>
        <w:spacing w:after="0" w:line="3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Disclosure Requirements for Fair Value Measurement, </w:t>
      </w:r>
      <w:r>
        <w:rPr>
          <w:rFonts w:ascii="Arial" w:cs="Arial" w:eastAsia="Arial" w:hAnsi="Arial"/>
          <w:sz w:val="20"/>
          <w:szCs w:val="20"/>
          <w:color w:val="auto"/>
        </w:rPr>
        <w:t>which eliminates certain disclosure requirements for fair value measurements for all</w:t>
      </w:r>
      <w:r>
        <w:rPr>
          <w:rFonts w:ascii="Arial" w:cs="Arial" w:eastAsia="Arial" w:hAnsi="Arial"/>
          <w:sz w:val="20"/>
          <w:szCs w:val="20"/>
          <w:i w:val="1"/>
          <w:iCs w:val="1"/>
          <w:color w:val="auto"/>
        </w:rPr>
        <w:t xml:space="preserve"> </w:t>
      </w:r>
      <w:r>
        <w:rPr>
          <w:rFonts w:ascii="Arial" w:cs="Arial" w:eastAsia="Arial" w:hAnsi="Arial"/>
          <w:sz w:val="20"/>
          <w:szCs w:val="20"/>
          <w:color w:val="auto"/>
        </w:rPr>
        <w:t>entities, requires public entities to disclose certain new information and modifies some disclosure requirements. This ASU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evaluating the effect of adopting this new accounting guidance, but does not expect adoption will have a material impact on the Company’s financial statements.</w:t>
      </w:r>
    </w:p>
    <w:p>
      <w:pPr>
        <w:spacing w:after="0" w:line="22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In February 2018, the FASB issued ASU 2018-02, </w:t>
      </w:r>
      <w:r>
        <w:rPr>
          <w:rFonts w:ascii="Arial" w:cs="Arial" w:eastAsia="Arial" w:hAnsi="Arial"/>
          <w:sz w:val="19"/>
          <w:szCs w:val="19"/>
          <w:i w:val="1"/>
          <w:iCs w:val="1"/>
          <w:color w:val="auto"/>
        </w:rPr>
        <w:t>Income Statement-Reporting Comprehensive Income (Topic 220): Reclassification of</w:t>
      </w:r>
      <w:r>
        <w:rPr>
          <w:rFonts w:ascii="Arial" w:cs="Arial" w:eastAsia="Arial" w:hAnsi="Arial"/>
          <w:sz w:val="19"/>
          <w:szCs w:val="19"/>
          <w:color w:val="auto"/>
        </w:rPr>
        <w:t xml:space="preserve"> </w:t>
      </w:r>
      <w:r>
        <w:rPr>
          <w:rFonts w:ascii="Arial" w:cs="Arial" w:eastAsia="Arial" w:hAnsi="Arial"/>
          <w:sz w:val="19"/>
          <w:szCs w:val="19"/>
          <w:i w:val="1"/>
          <w:iCs w:val="1"/>
          <w:color w:val="auto"/>
        </w:rPr>
        <w:t>Certain Tax Effects from Accumulated Other Comprehensive Income</w:t>
      </w:r>
      <w:r>
        <w:rPr>
          <w:rFonts w:ascii="Arial" w:cs="Arial" w:eastAsia="Arial" w:hAnsi="Arial"/>
          <w:sz w:val="19"/>
          <w:szCs w:val="19"/>
          <w:color w:val="auto"/>
        </w:rPr>
        <w:t>, which addresses the income tax effects of items in accumulated other</w:t>
      </w:r>
      <w:r>
        <w:rPr>
          <w:rFonts w:ascii="Arial" w:cs="Arial" w:eastAsia="Arial" w:hAnsi="Arial"/>
          <w:sz w:val="19"/>
          <w:szCs w:val="19"/>
          <w:i w:val="1"/>
          <w:iCs w:val="1"/>
          <w:color w:val="auto"/>
        </w:rPr>
        <w:t xml:space="preserve"> </w:t>
      </w:r>
      <w:r>
        <w:rPr>
          <w:rFonts w:ascii="Arial" w:cs="Arial" w:eastAsia="Arial" w:hAnsi="Arial"/>
          <w:sz w:val="19"/>
          <w:szCs w:val="19"/>
          <w:color w:val="auto"/>
        </w:rPr>
        <w:t>comprehensive income (“AOCI”) which were originally recognized in other comprehensive income, rather than in income from continuing operations. Specifically, it permits a reclassification from AOCI to retained earnings for the adjustment of deferred taxes due to the reduction of the historical corporate income tax rate to the newly enacted corporate income tax rate resulting from the U.S. tax law changes enacted in December 2017. This ASU is effective for fiscal years beginning after December 15, 2018, and interim periods within those fiscal years, with early adoption permitted. The new guidance must be applied either on a prospective basis in the period of adoption or retrospectively to each period (or periods) in which the effect of the change in the U.S. federal corporate income tax rate in the U.S. tax law changes are recognized. The Company is evaluating the effect of adopting this new accounting guidance, but does not expect adoption will have a material impact on the Company’s financial statements.</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w:t>
      </w:r>
      <w:r>
        <w:rPr>
          <w:rFonts w:ascii="Arial" w:cs="Arial" w:eastAsia="Arial" w:hAnsi="Arial"/>
          <w:sz w:val="18"/>
          <w:szCs w:val="18"/>
          <w:color w:val="231F20"/>
        </w:rPr>
        <w:t>, which simplifies the accounting for goodwill impairment. The ASU requires impairment charges to be based on the first step in today’s two-step impairment test. ASU 2017-04 is effective for annual and interim impairment tests performed in periods beginning after December 15, 2021, and early adoption is permitted. Management does not expect the adoption of this guidance to have a significant impact on the Company’s financial statements.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w:t>
      </w:r>
      <w:r>
        <w:rPr>
          <w:rFonts w:ascii="Arial" w:cs="Arial" w:eastAsia="Arial" w:hAnsi="Arial"/>
          <w:sz w:val="18"/>
          <w:szCs w:val="18"/>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8"/>
          <w:szCs w:val="18"/>
          <w:i w:val="1"/>
          <w:iCs w:val="1"/>
          <w:color w:val="231F20"/>
        </w:rPr>
        <w:t>Codification Improvements to Topic 842, Leases,</w:t>
      </w:r>
      <w:r>
        <w:rPr>
          <w:rFonts w:ascii="Arial" w:cs="Arial" w:eastAsia="Arial" w:hAnsi="Arial"/>
          <w:sz w:val="18"/>
          <w:szCs w:val="18"/>
          <w:color w:val="231F20"/>
        </w:rPr>
        <w:t xml:space="preserve"> to clarify how to apply certain aspects of the new leases standard. In July 2018, the FASB also issued ASU 2018-11, </w:t>
      </w:r>
      <w:r>
        <w:rPr>
          <w:rFonts w:ascii="Arial" w:cs="Arial" w:eastAsia="Arial" w:hAnsi="Arial"/>
          <w:sz w:val="18"/>
          <w:szCs w:val="18"/>
          <w:i w:val="1"/>
          <w:iCs w:val="1"/>
          <w:color w:val="231F20"/>
        </w:rPr>
        <w:t>Leases (Topic 842): Targeted Improvements,</w:t>
      </w:r>
      <w:r>
        <w:rPr>
          <w:rFonts w:ascii="Arial" w:cs="Arial" w:eastAsia="Arial" w:hAnsi="Arial"/>
          <w:sz w:val="18"/>
          <w:szCs w:val="18"/>
          <w:color w:val="231F20"/>
        </w:rPr>
        <w:t xml:space="preserve"> to give entities another option for transition and to provide lessors with a practical expedient to reduce the cost and complexity of implementing the new standard. The transition option allows entities to not apply the new leases standard in the comparative periods they present in their financial statements in the year of adoption. ASU 2016-02 is effective for emerging growth companies following private company adoption dates in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31F20"/>
        </w:rPr>
        <w:t>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new guidance will replace most existing GAAP guidance on this topic. The new revenue recognition standard 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8"/>
          <w:szCs w:val="18"/>
          <w:i w:val="1"/>
          <w:iCs w:val="1"/>
          <w:color w:val="auto"/>
        </w:rPr>
        <w:t>Revenue from Contracts with Customers: Deferral of the effective date,”</w:t>
      </w:r>
      <w:r>
        <w:rPr>
          <w:rFonts w:ascii="Arial" w:cs="Arial" w:eastAsia="Arial" w:hAnsi="Arial"/>
          <w:sz w:val="18"/>
          <w:szCs w:val="18"/>
          <w:color w:val="auto"/>
        </w:rPr>
        <w:t xml:space="preserve"> which deferred by one year the effective date for the new revenue reporting standard for entities reporting under GAAP. In accordance with the deferral, this guidance will be effective for the Company beginning in the year ended December 31, 2019. This guidance can be applied either retrospectively to each period presented or as a cumulative effect adjustment as of the date of adoption.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8"/>
          <w:szCs w:val="18"/>
          <w:i w:val="1"/>
          <w:iCs w:val="1"/>
          <w:color w:val="auto"/>
        </w:rPr>
        <w:t>Revenue from Contracts with Customers, Principal versus Agent</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(Reporting Revenue Gross versus Net)</w:t>
      </w:r>
      <w:r>
        <w:rPr>
          <w:rFonts w:ascii="Arial" w:cs="Arial" w:eastAsia="Arial" w:hAnsi="Arial"/>
          <w:sz w:val="18"/>
          <w:szCs w:val="18"/>
          <w:color w:val="auto"/>
        </w:rPr>
        <w:t>” clarifying the implementation guidance on principal versus agent considerations.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Identifying Performance Obligations and Licensing”</w:t>
      </w:r>
      <w:r>
        <w:rPr>
          <w:rFonts w:ascii="Arial" w:cs="Arial" w:eastAsia="Arial" w:hAnsi="Arial"/>
          <w:sz w:val="18"/>
          <w:szCs w:val="18"/>
          <w:color w:val="auto"/>
        </w:rPr>
        <w:t>, clarifying the implementation guidance on identifying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Narrow-Scope Improvements and Practical Expedients,” </w:t>
      </w:r>
      <w:r>
        <w:rPr>
          <w:rFonts w:ascii="Arial" w:cs="Arial" w:eastAsia="Arial" w:hAnsi="Arial"/>
          <w:sz w:val="18"/>
          <w:szCs w:val="18"/>
          <w:color w:val="auto"/>
        </w:rPr>
        <w:t>clarifying guidance on assessing collectability, presentation of sales taxes,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consideration, completed contracts and contract modifications. The effective date and transition requirements for ASU 2016-20, ASU 2016-08 and ASU 2016-10 are the same as the effective date and transition requirements for ASU 2014-09, which will be effective for the year ended December 31, 2019. The Company has elected to early adopt this guidance on January 1, 2019.</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has selected the modified retrospective transition method of adoption and is in the process of completing its evaluation of the potential impacts of the new standard on its consolidated financial statements and disclosures.</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Company does not expect there will be material changes to its revenue recognition. The Company expects that its revenue will continue to be recognized based on the usage by its customers, in the period the traffic traverses the Company’s network. Based on the Company’s evaluation to date, it expects the revenue related impact will not be material to the Company's consolidated financial statements.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Based on the Company’s analysis of incremental contract acquisition costs, the Company does not expect any material changes to its accounting for sales commissions, which are currently expensed.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Discontinued Operations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stockholders received one share of Republic common stock for each share of Bandwidth common or redeemable convertible preferred stock held as of the close of business on November 30, 2016. Accordingly, the results of operations, financial condition and cash flows of Republic have been presented as discontinued operations for all periods presented in the accompanying consolidated financial statements.</w:t>
      </w:r>
    </w:p>
    <w:p>
      <w:pPr>
        <w:spacing w:after="0" w:line="179" w:lineRule="exact"/>
        <w:rPr>
          <w:sz w:val="20"/>
          <w:szCs w:val="20"/>
          <w:color w:val="auto"/>
        </w:rPr>
      </w:pPr>
    </w:p>
    <w:p>
      <w:pPr>
        <w:ind w:right="620" w:firstLine="648"/>
        <w:spacing w:after="0" w:line="250" w:lineRule="auto"/>
        <w:rPr>
          <w:sz w:val="20"/>
          <w:szCs w:val="20"/>
          <w:color w:val="auto"/>
        </w:rPr>
      </w:pPr>
      <w:r>
        <w:rPr>
          <w:rFonts w:ascii="Arial" w:cs="Arial" w:eastAsia="Arial" w:hAnsi="Arial"/>
          <w:sz w:val="20"/>
          <w:szCs w:val="20"/>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213" w:lineRule="exact"/>
        <w:rPr>
          <w:sz w:val="20"/>
          <w:szCs w:val="20"/>
          <w:color w:val="auto"/>
        </w:rPr>
      </w:pPr>
    </w:p>
    <w:p>
      <w:pPr>
        <w:jc w:val="both"/>
        <w:ind w:firstLine="524"/>
        <w:spacing w:after="0" w:line="278" w:lineRule="auto"/>
        <w:rPr>
          <w:sz w:val="20"/>
          <w:szCs w:val="20"/>
          <w:color w:val="auto"/>
        </w:rPr>
      </w:pPr>
      <w:r>
        <w:rPr>
          <w:rFonts w:ascii="Arial" w:cs="Arial" w:eastAsia="Arial" w:hAnsi="Arial"/>
          <w:sz w:val="18"/>
          <w:szCs w:val="18"/>
          <w:color w:val="auto"/>
        </w:rPr>
        <w:t>Given the nature of the Spin-Off transaction, the equity holders of Bandwidth are comprised of substantially the same individuals and entities that are the equity owners of Republic. The Company determined the equity owners of Republic are related parties of Bandwidth. As described in Note 15, the Company has certain involvement with Republic via ongoing services arrangements, with these ongoing services arrangements creating a variable interest in Republic. The Company assessed the relationship with Republic under guidance for variable interest entities, and because investors in Republic have disproportionate voting rights, the Company concluded that Republic is a VIE.</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20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The Company’s maximum exposure to loss relating to this variable interest entity is limited to amounts due under the service agreements between Bandwidth and Republic as described in Notes 12, “Commitments and Contingencies” and 15, “Related Parties”.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Spin-Off represented a strategic shift to Bandwidth’s business. The Company believes that for US Federal income tax purposes, the Spin-Off will qualify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the operating results of the discontinued operations through the date of the Spin-Off for the year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2016:</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9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2016</w:t>
            </w:r>
          </w:p>
        </w:tc>
      </w:tr>
      <w:tr>
        <w:trPr>
          <w:trHeight w:val="27"/>
        </w:trPr>
        <w:tc>
          <w:tcPr>
            <w:tcW w:w="9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83,156</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Direct costs of network services and equipment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(61,582)</w:t>
            </w: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(25,502)</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Depreciation and interest</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9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64"/>
        </w:trPr>
        <w:tc>
          <w:tcPr>
            <w:tcW w:w="9480" w:type="dxa"/>
            <w:vAlign w:val="bottom"/>
          </w:tcPr>
          <w:p>
            <w:pPr>
              <w:ind w:left="20"/>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r>
      <w:tr>
        <w:trPr>
          <w:trHeight w:val="21"/>
        </w:trPr>
        <w:tc>
          <w:tcPr>
            <w:tcW w:w="9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Fair Value of Financial Instruments</w:t>
      </w:r>
    </w:p>
    <w:p>
      <w:pPr>
        <w:spacing w:after="0" w:line="2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carrying amounts of cash and cash equivalents, marketable securities, accounts receivable, accounts payable and accrued expenses approximate fair value as of December 31, 2017 and 2018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loss.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226"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Observable inputs based on unadjusted quoted prices in active markets for identical assets or liabilities;</w:t>
      </w:r>
    </w:p>
    <w:p>
      <w:pPr>
        <w:spacing w:after="0" w:line="21" w:lineRule="exact"/>
        <w:rPr>
          <w:rFonts w:ascii="Arial" w:cs="Arial" w:eastAsia="Arial" w:hAnsi="Arial"/>
          <w:sz w:val="20"/>
          <w:szCs w:val="20"/>
          <w:b w:val="1"/>
          <w:bCs w:val="1"/>
          <w:color w:val="auto"/>
        </w:rPr>
      </w:pPr>
    </w:p>
    <w:p>
      <w:pPr>
        <w:ind w:left="640" w:hanging="308"/>
        <w:spacing w:after="0"/>
        <w:tabs>
          <w:tab w:leader="none" w:pos="64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Inputs, other than quoted prices in active markets, that are observable either directly or indirectly; and</w:t>
      </w:r>
    </w:p>
    <w:p>
      <w:pPr>
        <w:ind w:left="640" w:hanging="308"/>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for which there is little or no market data, which requires the Company to develop its own assumptions.</w:t>
      </w:r>
    </w:p>
    <w:p>
      <w:pPr>
        <w:spacing w:after="0" w:line="2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2017 and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80" w:type="dxa"/>
            <w:vAlign w:val="bottom"/>
            <w:gridSpan w:val="9"/>
          </w:tcPr>
          <w:p>
            <w:pPr>
              <w:jc w:val="center"/>
              <w:ind w:left="710"/>
              <w:spacing w:after="0"/>
              <w:rPr>
                <w:sz w:val="20"/>
                <w:szCs w:val="20"/>
                <w:color w:val="auto"/>
              </w:rPr>
            </w:pPr>
            <w:r>
              <w:rPr>
                <w:rFonts w:ascii="Arial" w:cs="Arial" w:eastAsia="Arial" w:hAnsi="Arial"/>
                <w:sz w:val="18"/>
                <w:szCs w:val="18"/>
                <w:b w:val="1"/>
                <w:bCs w:val="1"/>
                <w:color w:val="auto"/>
                <w:w w:val="89"/>
              </w:rPr>
              <w:t>Fair value measurements on a recurring basis</w:t>
            </w:r>
          </w:p>
        </w:tc>
        <w:tc>
          <w:tcPr>
            <w:tcW w:w="106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2017</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Money market account (included in 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28,015</w:t>
            </w:r>
          </w:p>
        </w:tc>
      </w:tr>
      <w:tr>
        <w:trPr>
          <w:trHeight w:val="27"/>
        </w:trPr>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There were no marketable securities as of December 31, 2017.</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gridSpan w:val="10"/>
          </w:tcPr>
          <w:p>
            <w:pPr>
              <w:jc w:val="right"/>
              <w:ind w:right="550"/>
              <w:spacing w:after="0"/>
              <w:rPr>
                <w:sz w:val="20"/>
                <w:szCs w:val="20"/>
                <w:color w:val="auto"/>
              </w:rPr>
            </w:pPr>
            <w:r>
              <w:rPr>
                <w:rFonts w:ascii="Arial" w:cs="Arial" w:eastAsia="Arial" w:hAnsi="Arial"/>
                <w:sz w:val="18"/>
                <w:szCs w:val="18"/>
                <w:b w:val="1"/>
                <w:bCs w:val="1"/>
                <w:color w:val="auto"/>
              </w:rPr>
              <w:t>Fair value measurements on a recurring basis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 or</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gridSpan w:val="2"/>
            <w:vMerge w:val="restart"/>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carrying</w:t>
            </w:r>
          </w:p>
        </w:tc>
        <w:tc>
          <w:tcPr>
            <w:tcW w:w="140" w:type="dxa"/>
            <w:vAlign w:val="bottom"/>
          </w:tcPr>
          <w:p>
            <w:pPr>
              <w:spacing w:after="0"/>
              <w:rPr>
                <w:sz w:val="7"/>
                <w:szCs w:val="7"/>
                <w:color w:val="auto"/>
              </w:rPr>
            </w:pPr>
          </w:p>
        </w:tc>
        <w:tc>
          <w:tcPr>
            <w:tcW w:w="1140" w:type="dxa"/>
            <w:vAlign w:val="bottom"/>
            <w:gridSpan w:val="2"/>
            <w:vMerge w:val="restart"/>
          </w:tcPr>
          <w:p>
            <w:pPr>
              <w:ind w:left="40"/>
              <w:spacing w:after="0" w:line="198"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7"/>
                <w:szCs w:val="7"/>
                <w:color w:val="auto"/>
              </w:rPr>
            </w:pPr>
          </w:p>
        </w:tc>
        <w:tc>
          <w:tcPr>
            <w:tcW w:w="1160" w:type="dxa"/>
            <w:vAlign w:val="bottom"/>
            <w:gridSpan w:val="2"/>
            <w:vMerge w:val="restart"/>
          </w:tcPr>
          <w:p>
            <w:pPr>
              <w:ind w:left="40"/>
              <w:spacing w:after="0" w:line="198" w:lineRule="exact"/>
              <w:rPr>
                <w:sz w:val="20"/>
                <w:szCs w:val="20"/>
                <w:color w:val="auto"/>
              </w:rPr>
            </w:pPr>
            <w:r>
              <w:rPr>
                <w:rFonts w:ascii="Arial" w:cs="Arial" w:eastAsia="Arial" w:hAnsi="Arial"/>
                <w:sz w:val="18"/>
                <w:szCs w:val="18"/>
                <w:b w:val="1"/>
                <w:bCs w:val="1"/>
                <w:color w:val="auto"/>
              </w:rPr>
              <w:t>Unrealized</w:t>
            </w:r>
          </w:p>
        </w:tc>
        <w:tc>
          <w:tcPr>
            <w:tcW w:w="1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losses</w:t>
            </w:r>
          </w:p>
        </w:tc>
        <w:tc>
          <w:tcPr>
            <w:tcW w:w="18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Money market account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0" w:type="dxa"/>
            <w:vAlign w:val="bottom"/>
          </w:tcPr>
          <w:p>
            <w:pPr>
              <w:spacing w:after="0"/>
              <w:rPr>
                <w:sz w:val="1"/>
                <w:szCs w:val="1"/>
                <w:color w:val="auto"/>
              </w:rPr>
            </w:pPr>
          </w:p>
        </w:tc>
      </w:tr>
      <w:tr>
        <w:trPr>
          <w:trHeight w:val="229"/>
        </w:trPr>
        <w:tc>
          <w:tcPr>
            <w:tcW w:w="2760" w:type="dxa"/>
            <w:vAlign w:val="bottom"/>
          </w:tcPr>
          <w:p>
            <w:pPr>
              <w:ind w:left="120"/>
              <w:spacing w:after="0"/>
              <w:rPr>
                <w:sz w:val="20"/>
                <w:szCs w:val="20"/>
                <w:color w:val="auto"/>
              </w:rPr>
            </w:pPr>
            <w:r>
              <w:rPr>
                <w:rFonts w:ascii="Arial" w:cs="Arial" w:eastAsia="Arial" w:hAnsi="Arial"/>
                <w:sz w:val="18"/>
                <w:szCs w:val="18"/>
                <w:color w:val="auto"/>
              </w:rPr>
              <w:t>U.S. Reverse repurchase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20"/>
              <w:spacing w:after="0"/>
              <w:rPr>
                <w:sz w:val="20"/>
                <w:szCs w:val="20"/>
                <w:color w:val="auto"/>
              </w:rPr>
            </w:pPr>
            <w:r>
              <w:rPr>
                <w:rFonts w:ascii="Arial" w:cs="Arial" w:eastAsia="Arial" w:hAnsi="Arial"/>
                <w:sz w:val="18"/>
                <w:szCs w:val="18"/>
                <w:color w:val="auto"/>
              </w:rPr>
              <w:t>agreements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Total included in cash and cash</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37"/>
        </w:trPr>
        <w:tc>
          <w:tcPr>
            <w:tcW w:w="2760" w:type="dxa"/>
            <w:vAlign w:val="bottom"/>
          </w:tcPr>
          <w:p>
            <w:pPr>
              <w:ind w:left="22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25,594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classifies its marketable securities as current assets as they are available for current operating needs. The following table summarizes the contractual maturities of marketable securities as of December 31,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Aggregate fair</w:t>
            </w:r>
          </w:p>
        </w:tc>
      </w:tr>
      <w:tr>
        <w:trPr>
          <w:trHeight w:val="234"/>
        </w:trPr>
        <w:tc>
          <w:tcPr>
            <w:tcW w:w="8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value</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Less than one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17,402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17,400</w:t>
            </w:r>
          </w:p>
        </w:tc>
      </w:tr>
      <w:tr>
        <w:trPr>
          <w:trHeight w:val="27"/>
        </w:trPr>
        <w:tc>
          <w:tcPr>
            <w:tcW w:w="8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2017 and 2018.</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money market account is included in cash and cash equivalents in the consolidated balance sheets as of December 31, 2017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2018.</w:t>
      </w:r>
    </w:p>
    <w:p>
      <w:pPr>
        <w:spacing w:after="0" w:line="2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For fixed income securities that had unrealized losses as of December 31, 2018, the Company determined that no other-than-temporary impairment existed. As of December 31, 2018, all securities in an unrealized loss position have been in an unrealized loss position for less than one year. During the years ended December 31, 2017 and 2018, there were $0 and $18,000, respectively, in maturities of marketable securities. Interest earned on marketable securities in the years ended December 31, 2017 and 2018 was $0 and $77, respectively, and is recorded as other (expense) income, net, in the accompanying consolidated statements of operations and comprehensive income.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Financial Statement Components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Accounts receivable, net of allowance for doubtful accounts consist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13,620</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11,174</w:t>
            </w: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accounts receivable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2" w:lineRule="exact"/>
        <w:rPr>
          <w:sz w:val="20"/>
          <w:szCs w:val="20"/>
          <w:color w:val="auto"/>
        </w:rPr>
      </w:pPr>
    </w:p>
    <w:p>
      <w:pPr>
        <w:jc w:val="right"/>
        <w:ind w:right="1840"/>
        <w:spacing w:after="0"/>
        <w:rPr>
          <w:sz w:val="20"/>
          <w:szCs w:val="20"/>
          <w:color w:val="auto"/>
        </w:rPr>
      </w:pPr>
      <w:r>
        <w:rPr>
          <w:rFonts w:ascii="Arial" w:cs="Arial" w:eastAsia="Arial" w:hAnsi="Arial"/>
          <w:sz w:val="20"/>
          <w:szCs w:val="20"/>
          <w:color w:val="auto"/>
        </w:rPr>
        <w:t>Components of allowance for doubtful accounts are as follows: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3773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beginning of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Charged to 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Deductions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2023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10"/>
              <w:spacing w:after="0"/>
              <w:rPr>
                <w:sz w:val="20"/>
                <w:szCs w:val="20"/>
                <w:color w:val="auto"/>
              </w:rPr>
            </w:pPr>
            <w:r>
              <w:rPr>
                <w:rFonts w:ascii="Arial" w:cs="Arial" w:eastAsia="Arial" w:hAnsi="Arial"/>
                <w:sz w:val="18"/>
                <w:szCs w:val="18"/>
                <w:color w:val="auto"/>
                <w:w w:val="93"/>
              </w:rPr>
              <w:t>255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30"/>
              <w:spacing w:after="0"/>
              <w:rPr>
                <w:sz w:val="20"/>
                <w:szCs w:val="20"/>
                <w:color w:val="auto"/>
              </w:rPr>
            </w:pPr>
            <w:r>
              <w:rPr>
                <w:rFonts w:ascii="Arial" w:cs="Arial" w:eastAsia="Arial" w:hAnsi="Arial"/>
                <w:sz w:val="18"/>
                <w:szCs w:val="18"/>
                <w:color w:val="auto"/>
                <w:w w:val="86"/>
              </w:rPr>
              <w:t>189</w:t>
            </w:r>
          </w:p>
        </w:tc>
      </w:tr>
      <w:tr>
        <w:trPr>
          <w:trHeight w:val="270"/>
        </w:trPr>
        <w:tc>
          <w:tcPr>
            <w:tcW w:w="340" w:type="dxa"/>
            <w:vAlign w:val="bottom"/>
          </w:tcPr>
          <w:p>
            <w:pPr>
              <w:spacing w:after="0"/>
              <w:rPr>
                <w:sz w:val="23"/>
                <w:szCs w:val="23"/>
                <w:color w:val="auto"/>
              </w:rPr>
            </w:pPr>
          </w:p>
        </w:tc>
        <w:tc>
          <w:tcPr>
            <w:tcW w:w="1200" w:type="dxa"/>
            <w:vAlign w:val="bottom"/>
          </w:tcPr>
          <w:p>
            <w:pPr>
              <w:jc w:val="center"/>
              <w:ind w:left="710"/>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center"/>
              <w:ind w:left="730"/>
              <w:spacing w:after="0"/>
              <w:rPr>
                <w:sz w:val="20"/>
                <w:szCs w:val="20"/>
                <w:color w:val="auto"/>
              </w:rPr>
            </w:pPr>
            <w:r>
              <w:rPr>
                <w:rFonts w:ascii="Arial" w:cs="Arial" w:eastAsia="Arial" w:hAnsi="Arial"/>
                <w:sz w:val="18"/>
                <w:szCs w:val="18"/>
                <w:color w:val="auto"/>
                <w:w w:val="86"/>
              </w:rPr>
              <w:t>454</w:t>
            </w:r>
          </w:p>
        </w:tc>
      </w:tr>
      <w:tr>
        <w:trPr>
          <w:trHeight w:val="270"/>
        </w:trPr>
        <w:tc>
          <w:tcPr>
            <w:tcW w:w="340" w:type="dxa"/>
            <w:vAlign w:val="bottom"/>
          </w:tcPr>
          <w:p>
            <w:pPr>
              <w:spacing w:after="0"/>
              <w:rPr>
                <w:sz w:val="23"/>
                <w:szCs w:val="23"/>
                <w:color w:val="auto"/>
              </w:rPr>
            </w:pPr>
          </w:p>
        </w:tc>
        <w:tc>
          <w:tcPr>
            <w:tcW w:w="1200" w:type="dxa"/>
            <w:vAlign w:val="bottom"/>
          </w:tcPr>
          <w:p>
            <w:pPr>
              <w:jc w:val="center"/>
              <w:ind w:left="690"/>
              <w:spacing w:after="0"/>
              <w:rPr>
                <w:sz w:val="20"/>
                <w:szCs w:val="20"/>
                <w:color w:val="auto"/>
              </w:rPr>
            </w:pPr>
            <w:r>
              <w:rPr>
                <w:rFonts w:ascii="Arial" w:cs="Arial" w:eastAsia="Arial" w:hAnsi="Arial"/>
                <w:sz w:val="18"/>
                <w:szCs w:val="18"/>
                <w:color w:val="auto"/>
                <w:w w:val="90"/>
              </w:rPr>
              <w:t>(242)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center"/>
              <w:ind w:left="690"/>
              <w:spacing w:after="0"/>
              <w:rPr>
                <w:sz w:val="20"/>
                <w:szCs w:val="20"/>
                <w:color w:val="auto"/>
              </w:rPr>
            </w:pPr>
            <w:r>
              <w:rPr>
                <w:rFonts w:ascii="Arial" w:cs="Arial" w:eastAsia="Arial" w:hAnsi="Arial"/>
                <w:sz w:val="18"/>
                <w:szCs w:val="18"/>
                <w:color w:val="auto"/>
                <w:w w:val="90"/>
              </w:rPr>
              <w:t>(421)</w:t>
            </w:r>
          </w:p>
        </w:tc>
      </w:tr>
      <w:tr>
        <w:trPr>
          <w:trHeight w:val="27"/>
        </w:trPr>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10"/>
              <w:spacing w:after="0"/>
              <w:rPr>
                <w:sz w:val="20"/>
                <w:szCs w:val="20"/>
                <w:color w:val="auto"/>
              </w:rPr>
            </w:pPr>
            <w:r>
              <w:rPr>
                <w:rFonts w:ascii="Arial" w:cs="Arial" w:eastAsia="Arial" w:hAnsi="Arial"/>
                <w:sz w:val="18"/>
                <w:szCs w:val="18"/>
                <w:color w:val="auto"/>
                <w:w w:val="93"/>
              </w:rPr>
              <w:t>189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30"/>
              <w:spacing w:after="0"/>
              <w:rPr>
                <w:sz w:val="20"/>
                <w:szCs w:val="20"/>
                <w:color w:val="auto"/>
              </w:rPr>
            </w:pPr>
            <w:r>
              <w:rPr>
                <w:rFonts w:ascii="Arial" w:cs="Arial" w:eastAsia="Arial" w:hAnsi="Arial"/>
                <w:sz w:val="18"/>
                <w:szCs w:val="18"/>
                <w:color w:val="auto"/>
                <w:w w:val="86"/>
              </w:rPr>
              <w:t>222</w:t>
            </w:r>
          </w:p>
        </w:tc>
      </w:tr>
      <w:tr>
        <w:trPr>
          <w:trHeight w:val="27"/>
        </w:trPr>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200"/>
          </w:cols>
          <w:pgMar w:left="240" w:top="121" w:right="2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(1) Write off of uncollectible accounts after all collection efforts have been exhausted.</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8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7"/>
        </w:trPr>
        <w:tc>
          <w:tcPr>
            <w:tcW w:w="82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Charged to bad debt expense</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 of previously outstanding and fully reserved billings related to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(24,968)</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from outstanding billings previously deemed uncollectible related to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Deductions (2)</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8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-95885</wp:posOffset>
            </wp:positionV>
            <wp:extent cx="2032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 w:lineRule="exact"/>
        <w:rPr>
          <w:sz w:val="20"/>
          <w:szCs w:val="20"/>
          <w:color w:val="auto"/>
        </w:rPr>
      </w:pPr>
    </w:p>
    <w:p>
      <w:pPr>
        <w:ind w:firstLine="656"/>
        <w:spacing w:after="0" w:line="249" w:lineRule="auto"/>
        <w:tabs>
          <w:tab w:leader="none" w:pos="9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amounts billed in the period but where collectibility is not probable based on customers collection experience. Amounts were charged to a contra-revenue account.</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8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CABS revenue:</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Revenue recognized from current billings (2)</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deemed not probable of collection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4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-95885</wp:posOffset>
            </wp:positionV>
            <wp:extent cx="3138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(1) Represents amounts billed in the period but where collectibility is not probable based on customers collection experience. Amounts were charged to a contra-revenue account.</w:t>
      </w:r>
    </w:p>
    <w:p>
      <w:pPr>
        <w:ind w:firstLine="656"/>
        <w:spacing w:after="0" w:line="274" w:lineRule="auto"/>
        <w:tabs>
          <w:tab w:leader="none" w:pos="9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Does not include $6,268 in revenue recognized in the year ended December 31, 2018, as a result of a settlement agreement related to previously billed and outstanding and uncollectible invoices</w:t>
      </w:r>
      <w:r>
        <w:rPr>
          <w:rFonts w:ascii="Arial" w:cs="Arial" w:eastAsia="Arial" w:hAnsi="Arial"/>
          <w:sz w:val="21"/>
          <w:szCs w:val="21"/>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Immediately following receipt of the $4,400 payment, the Company issued to Verizon bill credits with respect to other CABS amounts previously billed and reserved to Verizon of $24,968. The amount credited to Verizon comprised the majority of the allowance for CABS revenue as of December 31, 2017. The Company recognized as revenue $6,268, including the $4,400 payment made on February 8, 2018 and the other current outstanding Verizon CABS receivables which had been previously reserved as uncollectible, but for which collection was no longer in doubt as a result of the settlement. The settlement agreement also specifies certain terms for the Company’s CABS billings to Verizon prospectively.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Accrued expenses and other current liabilities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6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7,323</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sales, use, and telecom related taxes</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rent, current portion</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15,725</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21,393</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Property and Equipment</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Property and equipment, net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8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Computer and office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Telecommunications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30,694</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2,438</w:t>
            </w:r>
          </w:p>
        </w:tc>
      </w:tr>
      <w:tr>
        <w:trPr>
          <w:trHeight w:val="27"/>
        </w:trPr>
        <w:tc>
          <w:tcPr>
            <w:tcW w:w="8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58,838</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Less—accumulated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(33,702)</w:t>
            </w:r>
          </w:p>
        </w:tc>
      </w:tr>
      <w:tr>
        <w:trPr>
          <w:trHeight w:val="27"/>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$3,795 and $3,271 as of December 31, 2017 and 2018, respectively.</w:t>
      </w:r>
    </w:p>
    <w:p>
      <w:pPr>
        <w:spacing w:after="0" w:line="22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Amortization expense related to capitalized software development costs were $2,820, $2,133 and $1,801 for the years ended December 31, 2016, 2017 and 2018, respectively.</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recognized an impairment of $91, $81 and $158 during the years ended December 31, 2016, 2017 and 2018, respectively, related to capitalized software development costs that provided no future benefit and therefore were impaired. This expense is reflected within cost of revenue in the accompanying consolidated statements of operations.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capitalized $2,230, $2,942 and $2,028 of software development costs in the December 31, 2016, 2017 and 2018, respectively.</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depreciation expense, which includes amortization of capitalized software development costs,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8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6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5,251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December 31, 2017:</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Carrying</w:t>
            </w:r>
          </w:p>
        </w:tc>
        <w:tc>
          <w:tcPr>
            <w:tcW w:w="120" w:type="dxa"/>
            <w:vAlign w:val="bottom"/>
          </w:tcPr>
          <w:p>
            <w:pPr>
              <w:spacing w:after="0"/>
              <w:rPr>
                <w:sz w:val="18"/>
                <w:szCs w:val="18"/>
                <w:color w:val="auto"/>
              </w:rPr>
            </w:pPr>
          </w:p>
        </w:tc>
        <w:tc>
          <w:tcPr>
            <w:tcW w:w="1540" w:type="dxa"/>
            <w:vAlign w:val="bottom"/>
          </w:tcPr>
          <w:p>
            <w:pPr>
              <w:ind w:left="260"/>
              <w:spacing w:after="0"/>
              <w:rPr>
                <w:sz w:val="20"/>
                <w:szCs w:val="20"/>
                <w:color w:val="auto"/>
              </w:rPr>
            </w:pPr>
            <w:r>
              <w:rPr>
                <w:rFonts w:ascii="Arial" w:cs="Arial" w:eastAsia="Arial" w:hAnsi="Arial"/>
                <w:sz w:val="18"/>
                <w:szCs w:val="18"/>
                <w:b w:val="1"/>
                <w:bCs w:val="1"/>
                <w:color w:val="auto"/>
              </w:rPr>
              <w:t>Amortization</w:t>
            </w:r>
          </w:p>
        </w:tc>
      </w:tr>
      <w:tr>
        <w:trPr>
          <w:trHeight w:val="234"/>
        </w:trPr>
        <w:tc>
          <w:tcPr>
            <w:tcW w:w="4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3–7</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2–5</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Intangible assets consisted of the following as of December 31,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Net Carrying</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r>
      <w:tr>
        <w:trPr>
          <w:trHeight w:val="27"/>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Domain name and related trademarks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3–7</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 amortizable</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2</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2–5</w:t>
            </w:r>
          </w:p>
        </w:tc>
      </w:tr>
      <w:tr>
        <w:trPr>
          <w:trHeight w:val="27"/>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Licenses, indefinite lived</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8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Amortization expense for definite lived intangible assets was $891, $839 and $554 for the years ended December 31, 2016, 2017 and 2018, respectively. The weighted average amortization period for all definite lived intangible assets is 19 years.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20" w:type="dxa"/>
            <w:vAlign w:val="bottom"/>
          </w:tcPr>
          <w:p>
            <w:pPr>
              <w:ind w:left="660"/>
              <w:spacing w:after="0"/>
              <w:rPr>
                <w:sz w:val="20"/>
                <w:szCs w:val="20"/>
                <w:color w:val="auto"/>
              </w:rPr>
            </w:pPr>
            <w:r>
              <w:rPr>
                <w:rFonts w:ascii="Arial" w:cs="Arial" w:eastAsia="Arial" w:hAnsi="Arial"/>
                <w:sz w:val="20"/>
                <w:szCs w:val="20"/>
                <w:color w:val="auto"/>
              </w:rPr>
              <w:t>Future estimated amortization expense for definite lived intangible assets is as follows: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8"/>
        </w:trPr>
        <w:tc>
          <w:tcPr>
            <w:tcW w:w="9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As of December 31,</w:t>
            </w:r>
          </w:p>
        </w:tc>
      </w:tr>
      <w:tr>
        <w:trPr>
          <w:trHeight w:val="234"/>
        </w:trPr>
        <w:tc>
          <w:tcPr>
            <w:tcW w:w="9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3,725</w:t>
            </w:r>
          </w:p>
        </w:tc>
      </w:tr>
      <w:tr>
        <w:trPr>
          <w:trHeight w:val="27"/>
        </w:trPr>
        <w:tc>
          <w:tcPr>
            <w:tcW w:w="9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9"/>
        </w:trPr>
        <w:tc>
          <w:tcPr>
            <w:tcW w:w="94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2017 and 2018 and concluded no impairment exists.</w:t>
      </w:r>
    </w:p>
    <w:p>
      <w:pPr>
        <w:spacing w:after="0" w:line="1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During the year ended December 31, 2016, the Company re-evaluated its marketing and branding usage of the trade name assets acquired in the Dash acquisition as part of its annual evaluation of its intangible assets, and concluded there was no further benefit from the use of the trade name. The Company impaired the asset and recognized a loss of $695, which is reflected within general and administrative expenses in the accompanying consolidated statements of operations and comprehensive income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Debt</w:t>
      </w:r>
    </w:p>
    <w:p>
      <w:pPr>
        <w:spacing w:after="0" w:line="2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On November 4, 2016, the Company entered into a Credit and Security Agreement with a syndicate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 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November 14, 2017, the term loan was paid in full with proceeds from the IPO. As of December 31, 2017 and 2018, the Company had $0 outstanding on the term loan and revolving loan and was in compliance with all financial and non-financial covenants for all periods presented. The available borrowing capacity under the Credit and Security Agreement revolving loan was $25,000 as of December 31, 2018.</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Capital Leases</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The Company leased various equipment under leases accounted for as capital leases with expiration dates through December 2018. As of December 31, 2017, cost and accumulated depreciation of the assets under capital leases recorded by the Company were $1,951 and $1,855, respectively. As of December 31, 2018, cost and accumulated depreciation of the assets under capital leases recorded by the Company were $1,951 and $1,884, respectively. There were no remaining payments due on the Company’s capital lease obligations as of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Segment and Geographic Information</w:t>
      </w:r>
    </w:p>
    <w:p>
      <w:pPr>
        <w:spacing w:after="0" w:line="24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CPaaS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117,078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131,572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164,415</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94,296</w:t>
            </w:r>
          </w:p>
        </w:tc>
      </w:tr>
      <w:tr>
        <w:trPr>
          <w:trHeight w:val="237"/>
        </w:trPr>
        <w:tc>
          <w:tcPr>
            <w:tcW w:w="65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70,119</w:t>
            </w: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6580" w:type="dxa"/>
            <w:vAlign w:val="bottom"/>
          </w:tcPr>
          <w:p>
            <w:pPr>
              <w:ind w:left="3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31,383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39,698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13,849</w:t>
            </w:r>
          </w:p>
        </w:tc>
      </w:tr>
      <w:tr>
        <w:trPr>
          <w:trHeight w:val="237"/>
        </w:trPr>
        <w:tc>
          <w:tcPr>
            <w:tcW w:w="65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25,849</w:t>
            </w: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6580" w:type="dxa"/>
            <w:vAlign w:val="bottom"/>
          </w:tcPr>
          <w:p>
            <w:pPr>
              <w:ind w:left="3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152,135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162,955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204,113</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108,145</w:t>
            </w:r>
          </w:p>
        </w:tc>
      </w:tr>
      <w:tr>
        <w:trPr>
          <w:trHeight w:val="237"/>
        </w:trPr>
        <w:tc>
          <w:tcPr>
            <w:tcW w:w="658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95,968</w:t>
            </w: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assets were held in the United States as of December 31, 2017 and 2018.</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generates its revenue primarily in the United States. Revenue by geographical area is detailed in the table below (which is determined based on the customer billing address):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203,567</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152,135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204,113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Stockholders’ (Deficit) Equity</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Prior to the IPO, the Company had three classes of stock: 1) Series A redeemable convertible preferred stock (“Series A preferred stock”), 2) Old Class A common stock, and 3) Old Class B common stock.</w:t>
      </w:r>
    </w:p>
    <w:p>
      <w:pPr>
        <w:spacing w:after="0" w:line="2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October 19, 2017, the Company’s Board of Directors approved, and on October 23, 2017 the Company effected, a 2.5-to-1 split of its common stock. In connection with the common stock split, each share of outstanding common stock, option to purchase common stock and warrant to purchase common stock was increased to 2.5 shares of common stock and the exercise price of each outstanding option or warrant to purchase common stock was proportionately decreased. The stock split has been reflected retrospectively in these consolidated financial statements. In connection with the stock split, the conversion ratio of each share of outstanding Series A preferred stock was also adjusted such that each share of outstanding Series A preferred stock converted into 2.5 shares of Old Class A common stock after the 2.5-to-1 split.</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Redeemable Convertible Preferred Stock</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January 1, 2010, the Company had authorized 5,000,000 shares of Series A preferred stock. On February 22, 2011, the Company amended and restated its Certificate of Incorporation such that the Company authorized 1,200,000 shares of preferred stock, all of which have been designated as Series A preferred stock.</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of December 31, 2016, the Company had 710,000 issued and outstanding shares of Series A preferred stock.</w:t>
      </w: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On November 9, 2017, each share of Series A preferred stock converted into 2.5 shares of Old Class A common stock at the stockholders’ option resulting in the issuance of 1,775,000 shares of Old Class A common stock.</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Conversion</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Each share of Series A preferred stock was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was initially equal to $30.8358 and is subject to adjustment related to dilutive transactions. As a result of the stock split, the conversion ratio of each share of outstanding preferred stock also was adjusted, such that each share of outstanding preferred stock converts into 2.5 shares of Old Class A common stock at a conversion price of $12.3343.</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Liquidation Preference</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the event of any Liquidation Event or Deemed Liquidation Event, the holders of Series A, preferred stock were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 Upon completion of the distribution referred to above, all of the remaining proceeds available for distribution shall be distributed to the holders of the Company’s common stock pro rata based on the number of common stock held by each.</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Redemption</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Shares of Series A preferred stock were redeemable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shares of Series A Preferred stock were redeemable, on a pro-rata basis in accordance with the number of shares of Series A preferred stock owned by each holder, that number of outstanding shares of Series A preferred stock determined by dividing the total number of shares of Series A preferred stock outstanding by the number of remaining redemption dates (including the redemption date to which such calculation applies).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Voting Rights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holders of Series A preferred stock were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with the holders of Old Class A common stock as a single class. The holders of record of the shares of Series A preferred stock, exclusively and as a separate class, were entitled to elect one director of the Company.</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could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Dividends</w:t>
      </w:r>
    </w:p>
    <w:p>
      <w:pPr>
        <w:spacing w:after="0" w:line="24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2016, 2017 and 2018, no dividends were declared.</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Preferred Stock</w:t>
      </w:r>
    </w:p>
    <w:p>
      <w:pPr>
        <w:spacing w:after="0" w:line="243"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6"/>
          <w:szCs w:val="16"/>
          <w:color w:val="auto"/>
        </w:rPr>
        <w:t>On November 9, 2017, the Company filed its second amended and restated certificate of incorporation and authorized 10,000,000 shares of undesignated preferred stock, par value $0.001, of which no shares were issued and outstanding as of December 31, 2017 and 2018.</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Common Stock</w:t>
      </w: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December 31, 2016, the Company had two classes of common stock: (1) Old Class A common stock and (2) Old Class B common stock. The Old Class A common stock had one vote per share and the Old Class B common stock had no voting rights.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there were 11,779,975 shares of Old Class A common stock issued and outstanding at $0.001 par value per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share.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there were 18,590 shares of Old Class B common stock issued and outstanding at $0.001 par value per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share.</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i) each share of Old Class A common stock was reclassified as one share of Class B common stock with ten votes per share, ii) each share of Old Class B common stock was reclassified as one share of Class A common stock with one vote per share. Consequently, the Series A preferred stock, that had previously converted into 2.5 shares of the Old Class A common stock, at the option of the holder, was converted into 1,775,000 shares of Class B common stock.</w:t>
      </w: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Subsequent to the effectiveness of the Company’s second amended and restated certificate of incorporation, the Company’s common stock consists of 120,000,000 authorized shares, par value $0.001 per share, of which the authorized Class A common stock consists of 100,000,000 shares and the authorized Class B common stock consists of 20,000,000 shares as of December 31, 2017 and 2018.</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2017 and 2018, there were 4,197,831 and 12,912,747 shares, respectively, of Class A common stock issued and outstanding at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2017 and 2018, there were 13,440,725 and 6,510,732 shares, respectively, of Class B common stock issued and outstanding at $0.001 par value per share.</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Voting Rights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Dividends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dividends or distributions paid or payable to the holders of shares of Class A common stock and Class B common stock shall be paid pro rata, on an equal priority. During the year ended December 31, 2018, no dividends were declared.</w:t>
      </w:r>
    </w:p>
    <w:p>
      <w:pPr>
        <w:spacing w:after="0" w:line="20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Dividend payments are subject to a restriction by the Company’s Credit and Security Agreement prohibiting the Company to pay any dividends or any other distribution or payment on account of or in redemption, retirement or purchase of any capital stock through the term of the agreement.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Option to Purchase Additional Shares</w:t>
      </w:r>
    </w:p>
    <w:p>
      <w:pPr>
        <w:spacing w:after="0" w:line="2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November 28, 2017, the Underwriters exercised their option to purchase 162,991 of Class B common stock held by certain selling shareholders. Immediately upon transfer, the shares converted into Class A common stock in accordance with the Company’s second amendment and restated certificate of incorporation.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Purchase Warrants</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connection with four notes payable issued December 20, 2010, the Company granted stock purchase warrants to the previous debt holders. The warrants were exercisable for 30,470 shares of the Company’s Old Class A common stock at an exercise price of $5.80 per share. 15,844 of these warrants were exercised in 2017, resulting in none outstanding at December 31, 2017 and 2018.</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granted other stock purchase warrants in 2011 that were exercisable for 43,847 shares of the Company’s Old Class A common stock at an exercise price of $0.001 per share. Warrants outstanding to purchase shares of the Company’s Old Class A common stock were 39,000 and 0, respectively, at December 31, 2017 and 2018.</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Additional warrants to purchase 9,846 shares of the Company’s Old Class A common stock were granted in 2011 at an exercise price of $5.80 per share. These warrants outstanding at December 31, 2017 and 2018 were 9,846 and 0, respectively.</w:t>
      </w:r>
    </w:p>
    <w:p>
      <w:pPr>
        <w:spacing w:after="0" w:line="20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Warrants to purchase 4,531 shares of the Company’s Old Class A common stock were granted in 2017 at an exercise price of $6.57 per share. These warrants outstanding at December 31, 2017 and 2018 were 2,504 and 0, respectively.</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Pursuant to the Spin-Off, each holder of a warrant to purchase common stock was issued a warrant to purchase shares of Republic Class A voting common stock with equivalent economic terms. A total of 51,350 and 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were reserved for the issuance of stock purchase warrants at December 31, 2017 and 2018, respectively.</w:t>
      </w:r>
    </w:p>
    <w:p>
      <w:pPr>
        <w:spacing w:after="0" w:line="2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warrants exercisable for shares of Old Class A common stock became exercisable into shares of Class B common stock.</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Spin-Off</w:t>
      </w:r>
    </w:p>
    <w:p>
      <w:pPr>
        <w:spacing w:after="0" w:line="24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Pursuant to the Spin-Off, (i) each holder of Old Class A common stock received one share of Republic Class A common stock for each share of Old Class A common stock held by such holder, (ii) each holder of Old Class B common stock received one share of Republic Class B non-voting common stock for each share of Old Class B non-voting common stock held by such holder and (iii) each holder of Series A preferred stock received a number of shares of Republic Class A voting common stock for each share of Series A preferred stock held by such holder equal to the number of shares of Old Class A common stock into which such share of Series A preferred stock is then convertible.</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Reserved Shares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had reserved shares of Class A common stock for issuance under stock-based award agreements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16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2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3,659,791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1,937,370</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Nonvested restricted stock units issued and outstanding</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324,252</w:t>
            </w:r>
          </w:p>
        </w:tc>
      </w:tr>
      <w:tr>
        <w:trPr>
          <w:trHeight w:val="27"/>
        </w:trPr>
        <w:tc>
          <w:tcPr>
            <w:tcW w:w="8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purchase warrants issued and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Stock-based awards available for grant under the 2017 Plan</w:t>
            </w:r>
          </w:p>
        </w:tc>
        <w:tc>
          <w:tcPr>
            <w:tcW w:w="1520" w:type="dxa"/>
            <w:vAlign w:val="bottom"/>
          </w:tcPr>
          <w:p>
            <w:pPr>
              <w:jc w:val="right"/>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896,760</w:t>
            </w:r>
          </w:p>
        </w:tc>
      </w:tr>
      <w:tr>
        <w:trPr>
          <w:trHeight w:val="27"/>
        </w:trPr>
        <w:tc>
          <w:tcPr>
            <w:tcW w:w="82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4,761,141</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3,158,382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Stock Based Compensation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2001 and 2010 Stock Option Plans</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2001, the Company adopted the Bandwidth Inc. Stock Option Plan (the “2001 Plan”). As of July 26, 2010, the Company adopted the 2010 Equity Compensation Plan (the “2010 Plan”). On August 24, 2017, the 2010 Plan was amended to provide for a total of 3,466,275 shares of common stock reserved for issuance under the 2010 Plan.</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Eligible plan participants include employees, directors and consultants. The 2001 Plan and the 2010 Plan each permit the granting of incentive stock options and non-qualified stock options.</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Following the effectiveness of the 2010 Plan, the Company did not make any further grants under the 2001 Plan. On November 9, 2017, the 2010 Plan was terminated in connection with the Company’s IPO. Accordingly, no shares are available for future issuance under the 2010 Plan. However, the 2010 Plan continues to govern the terms and conditions of the outstanding awards granted thereunder.</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options exercisable into shares of Old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common stock and Old Class B common stock became exercisable into shares of Class B common stock and Class A common stock, respectively.</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2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2018, the shares available for grant under the 2017 Plan were automatically increased by 200,000 shares.</w:t>
      </w:r>
    </w:p>
    <w:p>
      <w:pPr>
        <w:spacing w:after="0" w:line="19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Restricted stock units (“RSU”)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Other RSUs awarded to executives and employees generally are earned over a service period of four years.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 options</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fair value of options granted is estimated on the date of grant using the Black-Scholes option pricing model based on the assumptions in the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9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5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3"/>
              </w:rPr>
              <w:t>—%</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340" w:type="dxa"/>
            <w:vAlign w:val="bottom"/>
          </w:tcPr>
          <w:p>
            <w:pPr>
              <w:ind w:left="580"/>
              <w:spacing w:after="0"/>
              <w:rPr>
                <w:sz w:val="20"/>
                <w:szCs w:val="20"/>
                <w:color w:val="auto"/>
              </w:rPr>
            </w:pPr>
            <w:r>
              <w:rPr>
                <w:rFonts w:ascii="Arial" w:cs="Arial" w:eastAsia="Arial" w:hAnsi="Arial"/>
                <w:sz w:val="18"/>
                <w:szCs w:val="18"/>
                <w:color w:val="auto"/>
              </w:rPr>
              <w:t>44%</w:t>
            </w:r>
          </w:p>
        </w:tc>
        <w:tc>
          <w:tcPr>
            <w:tcW w:w="1920" w:type="dxa"/>
            <w:vAlign w:val="bottom"/>
            <w:gridSpan w:val="3"/>
          </w:tcPr>
          <w:p>
            <w:pPr>
              <w:jc w:val="center"/>
              <w:ind w:left="270"/>
              <w:spacing w:after="0"/>
              <w:rPr>
                <w:sz w:val="20"/>
                <w:szCs w:val="20"/>
                <w:color w:val="auto"/>
              </w:rPr>
            </w:pPr>
            <w:r>
              <w:rPr>
                <w:rFonts w:ascii="Arial" w:cs="Arial" w:eastAsia="Arial" w:hAnsi="Arial"/>
                <w:sz w:val="18"/>
                <w:szCs w:val="18"/>
                <w:color w:val="auto"/>
                <w:w w:val="92"/>
              </w:rPr>
              <w:t>44%-49%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color w:val="auto"/>
                <w:w w:val="88"/>
              </w:rPr>
              <w:t>47%</w:t>
            </w:r>
          </w:p>
        </w:tc>
      </w:tr>
      <w:tr>
        <w:trPr>
          <w:trHeight w:val="27"/>
        </w:trPr>
        <w:tc>
          <w:tcPr>
            <w:tcW w:w="6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risk-free interest rate</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1.3%-2.0%</w:t>
            </w:r>
          </w:p>
        </w:tc>
        <w:tc>
          <w:tcPr>
            <w:tcW w:w="1920" w:type="dxa"/>
            <w:vAlign w:val="bottom"/>
            <w:tcBorders>
              <w:bottom w:val="single" w:sz="8" w:color="CCEEFF"/>
            </w:tcBorders>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93"/>
              </w:rPr>
              <w:t>1.9%-2.3%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87"/>
              </w:rPr>
              <w:t>2.5%</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340" w:type="dxa"/>
            <w:vAlign w:val="bottom"/>
          </w:tcPr>
          <w:p>
            <w:pPr>
              <w:jc w:val="center"/>
              <w:ind w:left="190"/>
              <w:spacing w:after="0"/>
              <w:rPr>
                <w:sz w:val="20"/>
                <w:szCs w:val="20"/>
                <w:color w:val="auto"/>
              </w:rPr>
            </w:pPr>
            <w:r>
              <w:rPr>
                <w:rFonts w:ascii="Arial" w:cs="Arial" w:eastAsia="Arial" w:hAnsi="Arial"/>
                <w:sz w:val="18"/>
                <w:szCs w:val="18"/>
                <w:color w:val="auto"/>
                <w:w w:val="89"/>
              </w:rPr>
              <w:t>6.2 years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6.2 years</w:t>
            </w: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86"/>
              </w:rPr>
              <w:t>6.2 years</w:t>
            </w:r>
          </w:p>
        </w:tc>
      </w:tr>
      <w:tr>
        <w:trPr>
          <w:trHeight w:val="27"/>
        </w:trPr>
        <w:tc>
          <w:tcPr>
            <w:tcW w:w="6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$9.57-$9.60</w:t>
            </w:r>
          </w:p>
        </w:tc>
        <w:tc>
          <w:tcPr>
            <w:tcW w:w="192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0"/>
              </w:rPr>
              <w:t>$9.60-$20.83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$22.81</w:t>
            </w:r>
          </w:p>
        </w:tc>
      </w:tr>
      <w:tr>
        <w:trPr>
          <w:trHeight w:val="27"/>
        </w:trPr>
        <w:tc>
          <w:tcPr>
            <w:tcW w:w="65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following summarizes the stock option activity for the year ended December 31, 2018: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average</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remaining</w:t>
            </w:r>
          </w:p>
        </w:tc>
        <w:tc>
          <w:tcPr>
            <w:tcW w:w="14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Aggregate</w:t>
            </w:r>
          </w:p>
        </w:tc>
      </w:tr>
      <w:tr>
        <w:trPr>
          <w:trHeight w:val="203"/>
        </w:trPr>
        <w:tc>
          <w:tcPr>
            <w:tcW w:w="58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 price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contract life</w:t>
            </w:r>
          </w:p>
        </w:tc>
        <w:tc>
          <w:tcPr>
            <w:tcW w:w="14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intrinsic value</w:t>
            </w:r>
          </w:p>
        </w:tc>
      </w:tr>
      <w:tr>
        <w:trPr>
          <w:trHeight w:val="210"/>
        </w:trPr>
        <w:tc>
          <w:tcPr>
            <w:tcW w:w="58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 share)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(in years)</w:t>
            </w: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(in thousands)</w:t>
            </w:r>
          </w:p>
        </w:tc>
      </w:tr>
      <w:tr>
        <w:trPr>
          <w:trHeight w:val="33"/>
        </w:trPr>
        <w:tc>
          <w:tcPr>
            <w:tcW w:w="58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3,659,791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59,436</w:t>
            </w:r>
          </w:p>
        </w:tc>
      </w:tr>
      <w:tr>
        <w:trPr>
          <w:trHeight w:val="243"/>
        </w:trPr>
        <w:tc>
          <w:tcPr>
            <w:tcW w:w="58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17,988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(1,724,689)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56,313</w:t>
            </w:r>
          </w:p>
        </w:tc>
      </w:tr>
      <w:tr>
        <w:trPr>
          <w:trHeight w:val="243"/>
        </w:trPr>
        <w:tc>
          <w:tcPr>
            <w:tcW w:w="584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400" w:type="dxa"/>
            <w:vAlign w:val="bottom"/>
          </w:tcPr>
          <w:p>
            <w:pPr>
              <w:jc w:val="right"/>
              <w:spacing w:after="0"/>
              <w:rPr>
                <w:sz w:val="20"/>
                <w:szCs w:val="20"/>
                <w:color w:val="auto"/>
              </w:rPr>
            </w:pPr>
            <w:r>
              <w:rPr>
                <w:rFonts w:ascii="Arial" w:cs="Arial" w:eastAsia="Arial" w:hAnsi="Arial"/>
                <w:sz w:val="16"/>
                <w:szCs w:val="16"/>
                <w:color w:val="auto"/>
              </w:rPr>
              <w:t>(15,720)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1,937,370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64,596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77"/>
        </w:trPr>
        <w:tc>
          <w:tcPr>
            <w:tcW w:w="5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8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vested and exercisable at December 31, 2018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1,684,575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57,421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231"/>
        </w:trPr>
        <w:tc>
          <w:tcPr>
            <w:tcW w:w="5840" w:type="dxa"/>
            <w:vAlign w:val="bottom"/>
          </w:tcPr>
          <w:p>
            <w:pPr>
              <w:ind w:left="20"/>
              <w:spacing w:after="0"/>
              <w:rPr>
                <w:sz w:val="20"/>
                <w:szCs w:val="20"/>
                <w:color w:val="auto"/>
              </w:rPr>
            </w:pPr>
            <w:r>
              <w:rPr>
                <w:rFonts w:ascii="Arial" w:cs="Arial" w:eastAsia="Arial" w:hAnsi="Arial"/>
                <w:sz w:val="18"/>
                <w:szCs w:val="18"/>
                <w:color w:val="auto"/>
              </w:rPr>
              <w:t>Options vested and expected to vest as of December 31, 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1,931,004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64,422</w:t>
            </w:r>
          </w:p>
        </w:tc>
      </w:tr>
      <w:tr>
        <w:trPr>
          <w:trHeight w:val="21"/>
        </w:trPr>
        <w:tc>
          <w:tcPr>
            <w:tcW w:w="5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Aggregate intrinsic value is computed based on the difference between the option exercise price and the estimated fair value of the Company’s common stock as of December 31, 2018. Prior to the IPO, the fair value of the Company’s common stock was estimated by the Company’s board of directors. After the IPO, the fair value of the Company’s common stock is the Company’s Class A common stock price as reported on the NASDAQ Global Select Market.</w:t>
      </w:r>
    </w:p>
    <w:p>
      <w:pPr>
        <w:spacing w:after="0" w:line="2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weighted average grant-date fair value of stock options granted was $4.06, $7.72 and $11.10 for the years ended December 31, 2016, 2017 and 2018, respectively.</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total estimated grant date fair value of options vested was $2,082, $1,299 and $979 for the years ended December 31, 2016, 2017 and 2018, respectively.</w:t>
      </w:r>
    </w:p>
    <w:p>
      <w:pPr>
        <w:spacing w:after="0" w:line="21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of December 31, 2018, total unrecognized compensation cost related to all non-vested stock options was $1,197, which will be amortized over a weighted-average period of 2.04 years.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summarizes the restricted stock unit activity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Weighted-average</w:t>
            </w:r>
          </w:p>
        </w:tc>
      </w:tr>
      <w:tr>
        <w:trPr>
          <w:trHeight w:val="216"/>
        </w:trPr>
        <w:tc>
          <w:tcPr>
            <w:tcW w:w="8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Number of awards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grant date fair</w:t>
            </w:r>
          </w:p>
        </w:tc>
      </w:tr>
      <w:tr>
        <w:trPr>
          <w:trHeight w:val="234"/>
        </w:trPr>
        <w:tc>
          <w:tcPr>
            <w:tcW w:w="822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(per share)</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342,423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26.89</w:t>
            </w:r>
          </w:p>
        </w:tc>
      </w:tr>
      <w:tr>
        <w:trPr>
          <w:trHeight w:val="27"/>
        </w:trPr>
        <w:tc>
          <w:tcPr>
            <w:tcW w:w="8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Forfeited or cancelled</w:t>
            </w:r>
          </w:p>
        </w:tc>
        <w:tc>
          <w:tcPr>
            <w:tcW w:w="1520" w:type="dxa"/>
            <w:vAlign w:val="bottom"/>
          </w:tcPr>
          <w:p>
            <w:pPr>
              <w:jc w:val="right"/>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28.74</w:t>
            </w:r>
          </w:p>
        </w:tc>
      </w:tr>
      <w:tr>
        <w:trPr>
          <w:trHeight w:val="27"/>
        </w:trPr>
        <w:tc>
          <w:tcPr>
            <w:tcW w:w="8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RSUs as of December 31,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2018, total unrecognized compensation cost related to non-vested RSUs was $6,769, which will be amortized over a weighted-average period of 3.22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Stock-Based Compensation Expense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recognized total stock-based compensation expense in continuing operations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8"/>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General and administrative (1) (2)</w:t>
            </w:r>
          </w:p>
        </w:tc>
        <w:tc>
          <w:tcPr>
            <w:tcW w:w="1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firstLine="656"/>
        <w:spacing w:after="0" w:line="251" w:lineRule="auto"/>
        <w:tabs>
          <w:tab w:leader="none" w:pos="911" w:val="left"/>
        </w:tabs>
        <w:numPr>
          <w:ilvl w:val="1"/>
          <w:numId w:val="48"/>
        </w:numPr>
        <w:rPr>
          <w:rFonts w:ascii="Arial" w:cs="Arial" w:eastAsia="Arial" w:hAnsi="Arial"/>
          <w:sz w:val="18"/>
          <w:szCs w:val="18"/>
          <w:color w:val="auto"/>
        </w:rPr>
      </w:pPr>
      <w:r>
        <w:rPr>
          <w:rFonts w:ascii="Arial" w:cs="Arial" w:eastAsia="Arial" w:hAnsi="Arial"/>
          <w:sz w:val="18"/>
          <w:szCs w:val="18"/>
          <w:color w:val="auto"/>
        </w:rPr>
        <w:t>On September 1, 2017, the Company reached a separation agreement with an executive. The agreement resulted in a modification of the former employee</w:t>
      </w:r>
      <w:r>
        <w:rPr>
          <w:rFonts w:ascii="Arial" w:cs="Arial" w:eastAsia="Arial" w:hAnsi="Arial"/>
          <w:sz w:val="19"/>
          <w:szCs w:val="19"/>
          <w:color w:val="auto"/>
        </w:rPr>
        <w:t>’</w:t>
      </w:r>
      <w:r>
        <w:rPr>
          <w:rFonts w:ascii="Arial" w:cs="Arial" w:eastAsia="Arial" w:hAnsi="Arial"/>
          <w:sz w:val="18"/>
          <w:szCs w:val="18"/>
          <w:color w:val="auto"/>
        </w:rPr>
        <w:t>s 194,234 outstanding options to purchase common stock, which accelerated the vesting period and extended the exercise period, resulting in the recognition of $394 of additional stock compensation expense for the year ended December 31, 2017.</w:t>
      </w:r>
    </w:p>
    <w:p>
      <w:pPr>
        <w:jc w:val="both"/>
        <w:ind w:firstLine="656"/>
        <w:spacing w:after="0" w:line="256" w:lineRule="auto"/>
        <w:tabs>
          <w:tab w:leader="none" w:pos="9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On December 21, 2018, the Company reached a separation agreement with an executive. The agreement resulted in a modification of the former employee</w:t>
      </w:r>
      <w:r>
        <w:rPr>
          <w:rFonts w:ascii="Arial" w:cs="Arial" w:eastAsia="Arial" w:hAnsi="Arial"/>
          <w:sz w:val="19"/>
          <w:szCs w:val="19"/>
          <w:color w:val="auto"/>
        </w:rPr>
        <w:t>’</w:t>
      </w:r>
      <w:r>
        <w:rPr>
          <w:rFonts w:ascii="Arial" w:cs="Arial" w:eastAsia="Arial" w:hAnsi="Arial"/>
          <w:sz w:val="18"/>
          <w:szCs w:val="18"/>
          <w:color w:val="auto"/>
        </w:rPr>
        <w:t>s 17,725 non-vested restricted stock units, which accelerated the vesting period, resulting in the recognition of $535 of additional stock compensation expense for the year ended December 31, 2018.</w:t>
      </w:r>
    </w:p>
    <w:p>
      <w:pPr>
        <w:spacing w:after="0" w:line="207" w:lineRule="exact"/>
        <w:rPr>
          <w:rFonts w:ascii="Arial" w:cs="Arial" w:eastAsia="Arial" w:hAnsi="Arial"/>
          <w:sz w:val="18"/>
          <w:szCs w:val="18"/>
          <w:color w:val="auto"/>
        </w:rPr>
      </w:pPr>
    </w:p>
    <w:p>
      <w:pPr>
        <w:ind w:left="300" w:hanging="292"/>
        <w:spacing w:after="0"/>
        <w:tabs>
          <w:tab w:leader="none" w:pos="30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62"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Operating Leases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 leases approximately 181,000 square feet of office space under operating lease agreements that expire at various dates beginning in 2021 and extend through 2025 in several locations within the United States including its headquarters, which is located in Raleigh, NC. On January 12, 2018, the Company entered into an 84-month operating lease agreement to provide 40,035 square feet of additional office space, which was occupied in September 2018. On March 27, 2018, the Company entered into a 60-month operating lease agreement to provide 5,930 square feet of additional office space, which commenced in June 2018. On July 20, 2018, the Company entered into a 12-month operating lease agreement to provide 2,605 square feet of additional office space, which commenced in July 2018. The leases contain escalation clauses and various landlord concessions including tenant improvement allowances. The Company recognizes the total minimum lease payments on a straight-line basis over the term of the lease.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40" w:type="dxa"/>
            <w:vAlign w:val="bottom"/>
          </w:tcPr>
          <w:p>
            <w:pPr>
              <w:ind w:left="660"/>
              <w:spacing w:after="0"/>
              <w:rPr>
                <w:sz w:val="20"/>
                <w:szCs w:val="20"/>
                <w:color w:val="auto"/>
              </w:rPr>
            </w:pPr>
            <w:r>
              <w:rPr>
                <w:rFonts w:ascii="Arial" w:cs="Arial" w:eastAsia="Arial" w:hAnsi="Arial"/>
                <w:sz w:val="20"/>
                <w:szCs w:val="20"/>
                <w:color w:val="auto"/>
              </w:rPr>
              <w:t>Future minimum lease payments required under operating leases are as follows:</w:t>
            </w: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66"/>
        </w:trPr>
        <w:tc>
          <w:tcPr>
            <w:tcW w:w="8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As of December 31, 2018</w:t>
            </w:r>
          </w:p>
        </w:tc>
      </w:tr>
      <w:tr>
        <w:trPr>
          <w:trHeight w:val="27"/>
        </w:trPr>
        <w:tc>
          <w:tcPr>
            <w:tcW w:w="8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5,180</w:t>
            </w:r>
          </w:p>
        </w:tc>
      </w:tr>
      <w:tr>
        <w:trPr>
          <w:trHeight w:val="27"/>
        </w:trPr>
        <w:tc>
          <w:tcPr>
            <w:tcW w:w="8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3,438</w:t>
            </w:r>
          </w:p>
        </w:tc>
      </w:tr>
      <w:tr>
        <w:trPr>
          <w:trHeight w:val="27"/>
        </w:trPr>
        <w:tc>
          <w:tcPr>
            <w:tcW w:w="8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27"/>
        </w:trPr>
        <w:tc>
          <w:tcPr>
            <w:tcW w:w="8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9"/>
        </w:trPr>
        <w:tc>
          <w:tcPr>
            <w:tcW w:w="8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incurred rent expense of $2,003, $3,327 and $4,331 for the years ended December 31, 2016, 2017 and 2018, respectively, which is included in general and administrative expenses in the consolidated statements of operations and comprehensive income.</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conjunction with the Spin-Off, the Company signed a Facilities Service Agreement with Republic in which the Company agreed to sub-lease 40,657 square feet of office space to Republic. The sub-lease is non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1" w:right="2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-cancellable and extends to May 2022. The Company recorded a reduction of rent expense of $47, $949 and $1,005 for the years ended December 31, 2016, 2017 and 2018 respectively, which is included in general and administrative expenses in the consolidated statements of operations and comprehensive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1"/>
                <w:szCs w:val="21"/>
                <w:color w:val="auto"/>
              </w:rPr>
            </w:pPr>
          </w:p>
        </w:tc>
        <w:tc>
          <w:tcPr>
            <w:tcW w:w="8620" w:type="dxa"/>
            <w:vAlign w:val="bottom"/>
            <w:gridSpan w:val="2"/>
          </w:tcPr>
          <w:p>
            <w:pPr>
              <w:jc w:val="right"/>
              <w:ind w:right="1240"/>
              <w:spacing w:after="0"/>
              <w:rPr>
                <w:sz w:val="20"/>
                <w:szCs w:val="20"/>
                <w:color w:val="auto"/>
              </w:rPr>
            </w:pPr>
            <w:r>
              <w:rPr>
                <w:rFonts w:ascii="Arial" w:cs="Arial" w:eastAsia="Arial" w:hAnsi="Arial"/>
                <w:sz w:val="20"/>
                <w:szCs w:val="20"/>
                <w:color w:val="auto"/>
                <w:w w:val="90"/>
              </w:rPr>
              <w:t>Future minimum sub-lease receipts required under the non-cancellable lease are as follows:</w:t>
            </w:r>
          </w:p>
        </w:tc>
        <w:tc>
          <w:tcPr>
            <w:tcW w:w="2260" w:type="dxa"/>
            <w:vAlign w:val="bottom"/>
          </w:tcPr>
          <w:p>
            <w:pPr>
              <w:spacing w:after="0"/>
              <w:rPr>
                <w:sz w:val="21"/>
                <w:szCs w:val="21"/>
                <w:color w:val="auto"/>
              </w:rPr>
            </w:pPr>
          </w:p>
        </w:tc>
      </w:tr>
      <w:tr>
        <w:trPr>
          <w:trHeight w:val="266"/>
        </w:trPr>
        <w:tc>
          <w:tcPr>
            <w:tcW w:w="52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As of December 31, 2018</w:t>
            </w:r>
          </w:p>
        </w:tc>
      </w:tr>
      <w:tr>
        <w:trPr>
          <w:trHeight w:val="27"/>
        </w:trPr>
        <w:tc>
          <w:tcPr>
            <w:tcW w:w="5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2019</w:t>
            </w:r>
          </w:p>
        </w:tc>
        <w:tc>
          <w:tcPr>
            <w:tcW w:w="8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r>
      <w:tr>
        <w:trPr>
          <w:trHeight w:val="243"/>
        </w:trPr>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2020</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5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2021</w:t>
            </w:r>
          </w:p>
        </w:tc>
        <w:tc>
          <w:tcPr>
            <w:tcW w:w="8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43"/>
        </w:trPr>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2022</w:t>
            </w:r>
          </w:p>
        </w:tc>
        <w:tc>
          <w:tcPr>
            <w:tcW w:w="8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520" w:type="dxa"/>
            <w:vAlign w:val="bottom"/>
            <w:tcBorders>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89"/>
        </w:trPr>
        <w:tc>
          <w:tcPr>
            <w:tcW w:w="520" w:type="dxa"/>
            <w:vAlign w:val="bottom"/>
            <w:tcBorders>
              <w:bottom w:val="single" w:sz="8" w:color="CCEEFF"/>
            </w:tcBorders>
            <w:shd w:val="clear" w:color="auto" w:fill="CCEEFF"/>
          </w:tcPr>
          <w:p>
            <w:pPr>
              <w:spacing w:after="0"/>
              <w:rPr>
                <w:sz w:val="24"/>
                <w:szCs w:val="24"/>
                <w:color w:val="auto"/>
              </w:rPr>
            </w:pPr>
          </w:p>
        </w:tc>
        <w:tc>
          <w:tcPr>
            <w:tcW w:w="8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Contractual Obligations</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December 31, 2018 the Company has $4,782 in other non-cancellable purchase obligations, consisting of primarily network equipment maintenance and software license contracts, of which $4,070 will be fulfilled within a year.</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20"/>
          <w:szCs w:val="20"/>
          <w:i w:val="1"/>
          <w:iCs w:val="1"/>
          <w:color w:val="auto"/>
        </w:rPr>
        <w:t>Legal Matters</w:t>
      </w:r>
    </w:p>
    <w:p>
      <w:pPr>
        <w:spacing w:after="0" w:line="25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9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Employee Benefit Plan</w:t>
      </w:r>
    </w:p>
    <w:p>
      <w:pPr>
        <w:spacing w:after="0" w:line="2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sponsors a defined contribution 401(k) plan which allows eligible employees to defer a portion of their compensation. The Company, at its discretion, may make matching contributions. The Company made matching contributions of $716, $806 and $1,117 for the years ended December 31, 2016, 2017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Income Taxes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Benefit (provision) for income taxes from continuing operations consists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40" w:type="dxa"/>
            <w:vAlign w:val="bottom"/>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Pr>
          <w:p>
            <w:pPr>
              <w:spacing w:after="0"/>
              <w:rPr>
                <w:sz w:val="20"/>
                <w:szCs w:val="20"/>
                <w:color w:val="auto"/>
              </w:rPr>
            </w:pPr>
          </w:p>
        </w:tc>
      </w:tr>
      <w:tr>
        <w:trPr>
          <w:trHeight w:val="27"/>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4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6600" w:type="dxa"/>
            <w:vAlign w:val="bottom"/>
          </w:tcPr>
          <w:p>
            <w:pPr>
              <w:ind w:left="6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34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8,945</w:t>
            </w:r>
          </w:p>
        </w:tc>
      </w:tr>
      <w:tr>
        <w:trPr>
          <w:trHeight w:val="27"/>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37"/>
        </w:trPr>
        <w:tc>
          <w:tcPr>
            <w:tcW w:w="6600" w:type="dxa"/>
            <w:vAlign w:val="bottom"/>
          </w:tcPr>
          <w:p>
            <w:pPr>
              <w:ind w:left="6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11,086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10,833</w:t>
            </w:r>
          </w:p>
        </w:tc>
      </w:tr>
      <w:tr>
        <w:trPr>
          <w:trHeight w:val="27"/>
        </w:trPr>
        <w:tc>
          <w:tcPr>
            <w:tcW w:w="66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11,094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of the statutory federal tax rate and the Company’s effective tax rate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2016, 2017 and 2018:</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34290</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ind w:left="7000"/>
              <w:spacing w:after="0"/>
              <w:rPr>
                <w:sz w:val="20"/>
                <w:szCs w:val="20"/>
                <w:color w:val="auto"/>
              </w:rPr>
            </w:pPr>
            <w:r>
              <w:rPr>
                <w:rFonts w:ascii="Arial" w:cs="Arial" w:eastAsia="Arial" w:hAnsi="Arial"/>
                <w:sz w:val="18"/>
                <w:szCs w:val="18"/>
                <w:b w:val="1"/>
                <w:bCs w:val="1"/>
                <w:color w:val="auto"/>
                <w:w w:val="84"/>
              </w:rPr>
              <w:t>2016</w:t>
            </w:r>
          </w:p>
        </w:tc>
        <w:tc>
          <w:tcPr>
            <w:tcW w:w="46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Rate</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State Tax Rate</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credit</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(168.0)</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(98.6)</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rate change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16.1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64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(77.4)%</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53.7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presents the significant components of the Company’s net deferred tax assets: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6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0"/>
                <w:szCs w:val="20"/>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Stock-based compensation - deferred tax asset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operating losses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11,359</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deferred tax assets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21,227</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21,227</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7"/>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Other liability</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82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r>
      <w:tr>
        <w:trPr>
          <w:trHeight w:val="237"/>
        </w:trPr>
        <w:tc>
          <w:tcPr>
            <w:tcW w:w="8200" w:type="dxa"/>
            <w:vAlign w:val="bottom"/>
          </w:tcPr>
          <w:p>
            <w:pPr>
              <w:ind w:left="20"/>
              <w:spacing w:after="0"/>
              <w:rPr>
                <w:sz w:val="20"/>
                <w:szCs w:val="20"/>
                <w:color w:val="auto"/>
              </w:rPr>
            </w:pPr>
            <w:r>
              <w:rPr>
                <w:rFonts w:ascii="Arial" w:cs="Arial" w:eastAsia="Arial" w:hAnsi="Arial"/>
                <w:sz w:val="18"/>
                <w:szCs w:val="18"/>
                <w:color w:val="auto"/>
              </w:rPr>
              <w:t>Net deferred tax asset</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17,359</w:t>
            </w:r>
          </w:p>
        </w:tc>
      </w:tr>
      <w:tr>
        <w:trPr>
          <w:trHeight w:val="27"/>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Company’s accounting for deferred taxes involves the evaluation of a number of factors concerning the realizability of its net deferred tax assets. The Company primarily considered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2018 no valuation allowance against deferred tax assets was required.</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December 31, 2018, the Company had approximately $45,148 in federal net operating loss carryforwards and $3,691 in federal tax credits. All federal net operating loss carryforwards were generated after the enactment of the Tax Cuts and Jobs Act (the “Act”) and as such do not expire, but can only be utilized to offset up to 80% of taxable income in any given year. The federal tax credits start to expire at various dates beginning in 2032.</w:t>
      </w:r>
    </w:p>
    <w:p>
      <w:pPr>
        <w:spacing w:after="0" w:line="2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As of December 31, 2018, the Company had approximately $36,499 in state net operating loss carryforwards. If not utilized, some state net operating loss carryforwards will expire at various dates beginning in 2023.</w:t>
      </w: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accordance with SEC Staff Accounting Bulletin (“SAB”) 118, the Company completed all accounting related to the Act in the fourth quarter of 2018. There was no change made to the provisional re-measurement of the deferred tax balance, which was recorded in the fourth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reconciliation of the beginning and ending amount of unrecognized tax benefits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26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benefits—January 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Gross increases—tax positions in prior period</w:t>
            </w:r>
          </w:p>
        </w:tc>
        <w:tc>
          <w:tcPr>
            <w:tcW w:w="10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increases—tax positions in current period</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9"/>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benefits—December 31,</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the $1,046 of unrecognized tax benefit is recognized, it would impact the effective tax rate.</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has not incurred any material tax interest or penalties with respect to income taxes in the years ended December 31, 2017 and 2018.</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expects no material changes in the twelve months following December 31, 2018 in its uncertain tax positions.</w:t>
      </w:r>
    </w:p>
    <w:p>
      <w:pPr>
        <w:spacing w:after="0" w:line="25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Company files U.S. federal income tax returns as well as income tax returns in many U.S. states. The tax years 2008-2010 and 2012-2016 remain open to examination by the major jurisdictions in which the Company is subject to tax due to the carryforward of net operating losses.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Related Parties</w:t>
      </w:r>
    </w:p>
    <w:p>
      <w:pPr>
        <w:spacing w:after="0" w:line="2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pre-IPO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 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The Company received net compensation under the Transition Services Agreement of $134, $575 and $80 for the years ended December 31, 2016, 2017 and 2018, respectively, which is included in general and administrative expenses in the consolidated statements of operations and comprehensive income. In addition, there was approximately $15 and $0 due from Republic as of December 31, 2017 and 2018, respectively, which was recorded within accounts receivable in the accompanying consolidated balance sheets.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Facilities Sharing Agreement specifies that the Company will sublet office space to Republic for at least 63 months. The Company received rental payments under the Facilities Sharing Agreement of $47, $949 and $1,005 for the years ended December 31, 2016, 2017 and 2018, respectively, which is included in general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administrative expenses in the consolidated statements of operations and comprehensive income. No amounts were due to the Company under the Facilities Sharing Agreement as of December 31, 2017 and 2018.</w:t>
      </w:r>
    </w:p>
    <w:p>
      <w:pPr>
        <w:spacing w:after="0" w:line="2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2017 and 2018.</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Master Services Agreement specifies certain wholesale telecommunications services to be provided by the Company. The agreement is cancellable at any time by either party. The Company provided telecommunication services to Republic of $173, $2,451 and $3,884 for the years ended December 31, 2016, 2017 and 2018, respectively. The Company recognized such amounts as revenue in the accompanying consolidated statements of operations and comprehensive income. As of December 31, 2017 and 2018, the Company had a receivable of $311 and $327, respectively, under the Master Services Agreement.</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Subsequent to the expiration of the 180-day blackout window on May 9, 2018, Republic employees that held Bandwidth stock options began exercising their options. Upon exercise, Bandwidth withholds the employee tax amounts due from the proceeds. For the year ended December 31, 2018 Bandwidth had collected on behalf of, and remitted withholding tax to, Republic of $9,213, and had a related payable of $0 as of December 31, 2018.</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Basic and Diluted Income per Common Share</w:t>
      </w:r>
    </w:p>
    <w:p>
      <w:pPr>
        <w:spacing w:after="0" w:line="24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During the year ended December 31, 2017, the Company used the two-class method to compute net income per common share, because it had issued securities, other than common stock, that contractually entitled the holders to participate in dividends and earnings. These participating securities included the Company’s redeemable convertible preferred stock which had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20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As of January 1, 2018, the Company no longer had outstanding securities other than common stock, which required holders’ participation in dividends and earnings; therefore, the Company no longer was required to calculate EPS under the two-class method. 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basic and diluted earnings per share, or EPS,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Income from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25,430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22,075</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Loss from Discontinued Operations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Less: loss allocated to participating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from discontinued operations per share attributable to stockholders: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22,358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19,408</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11,678,568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12,590,221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18,573,067</w:t>
            </w: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Dilutive effect of stock options, restricted stock units, and warrants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1,192,064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1,952,949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2,567,315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12,870,632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14,543,170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21,140,382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common share equivalents have been excluded from the calculation of weighted-average common shares outstanding, because the effect is anti-dilutive for the periods presented:</w:t>
      </w:r>
    </w:p>
    <w:p>
      <w:pPr>
        <w:spacing w:after="0" w:line="1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34290</wp:posOffset>
            </wp:positionV>
            <wp:extent cx="2872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8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Anti-dilutive Disclosure</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6880" w:type="dxa"/>
            <w:vAlign w:val="bottom"/>
          </w:tcPr>
          <w:p>
            <w:pPr>
              <w:ind w:left="340"/>
              <w:spacing w:after="0"/>
              <w:rPr>
                <w:sz w:val="20"/>
                <w:szCs w:val="20"/>
                <w:color w:val="auto"/>
              </w:rPr>
            </w:pPr>
            <w:r>
              <w:rPr>
                <w:rFonts w:ascii="Arial" w:cs="Arial" w:eastAsia="Arial" w:hAnsi="Arial"/>
                <w:sz w:val="18"/>
                <w:szCs w:val="18"/>
                <w:color w:val="auto"/>
              </w:rPr>
              <w:t>Series A redeemable convertible preferred stock outstanding</w:t>
            </w:r>
          </w:p>
        </w:tc>
        <w:tc>
          <w:tcPr>
            <w:tcW w:w="1440" w:type="dxa"/>
            <w:vAlign w:val="bottom"/>
          </w:tcPr>
          <w:p>
            <w:pPr>
              <w:jc w:val="right"/>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1,522,123</w:t>
            </w:r>
          </w:p>
        </w:tc>
        <w:tc>
          <w:tcPr>
            <w:tcW w:w="100" w:type="dxa"/>
            <w:vAlign w:val="bottom"/>
          </w:tcPr>
          <w:p>
            <w:pPr>
              <w:spacing w:after="0"/>
              <w:rPr>
                <w:sz w:val="21"/>
                <w:szCs w:val="21"/>
                <w:color w:val="auto"/>
              </w:rPr>
            </w:pPr>
          </w:p>
        </w:tc>
        <w:tc>
          <w:tcPr>
            <w:tcW w:w="1440" w:type="dxa"/>
            <w:vAlign w:val="bottom"/>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issued and outstanding</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237,185</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Subsequent Events</w:t>
      </w:r>
    </w:p>
    <w:p>
      <w:pPr>
        <w:spacing w:after="0" w:line="26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On January 1, 2019, the Company entered into an amendment to an office building lease relating to 117,719 square feet of office space, which includes the Company’s headquarters.</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amendment adds an additional 30,114 square feet and extends the lease term until January 31, 2024. In addition, this amendment gives the Company the option to extend the lease for an additional five-year term, with</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increases in the annual base rent. The amendment to the office building lease is expected to commence in April 2019. Future expected minimum payments under the amended lease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7"/>
        </w:trPr>
        <w:tc>
          <w:tcPr>
            <w:tcW w:w="9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3,543</w:t>
            </w:r>
          </w:p>
        </w:tc>
      </w:tr>
      <w:tr>
        <w:trPr>
          <w:trHeight w:val="27"/>
        </w:trPr>
        <w:tc>
          <w:tcPr>
            <w:tcW w:w="9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3,845</w:t>
            </w:r>
          </w:p>
        </w:tc>
      </w:tr>
      <w:tr>
        <w:trPr>
          <w:trHeight w:val="27"/>
        </w:trPr>
        <w:tc>
          <w:tcPr>
            <w:tcW w:w="9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9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98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On January 1, 2019, the Company entered into an amendment to an office building lease relating to 40,657 square feet of office space in conjunction with the Spin-Off. The amendment gives the Company the options to extend the lease for an additional period of approximately 18 months and a subsequent additional five-year term. The amendment to the office building lease commenced in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 Changes in and Disagreements with Accountants on Accounting and Financial Disclosure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9A. Controls and Procedures</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Evaluation of disclosure controls and procedures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Management’s Annual Report on Internal Control Over Financial Reporting</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231F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2018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December 31, 2018.</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Changes in internal control over financial reporting</w:t>
      </w:r>
    </w:p>
    <w:p>
      <w:pPr>
        <w:spacing w:after="0" w:line="2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There were no changes in our internal control over financial reporting identified in connection with the evaluation required by Rule 13a-15(d) and 15d-15(d) of the Exchange Act during the year ended December 31, 2018 that have materially affected, or are reasonably likely to materially affect, our internal control over financial reporting.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231F20"/>
        </w:rPr>
        <w:t>Inherent limitation on the effectiveness of internal control</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9B. Other Information.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Not applicable.</w:t>
      </w:r>
    </w:p>
    <w:p>
      <w:pPr>
        <w:spacing w:after="0" w:line="237"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10. Directors, Executive Officers and Corporate Governance</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 information required by this item is incorporated by reference to our Proxy Statement relating to our 2019 Annual Meeting of Shareholders. The Proxy Statement will be filed with the Securities and Exchange Commission within 120 days of the fiscal year ended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Codes of Business Conduct and Ethics</w:t>
      </w:r>
    </w:p>
    <w:p>
      <w:pPr>
        <w:spacing w:after="0" w:line="1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board of directors has adopted a Code of Business Conduct and Ethics that applies to all officers, directors and employees, which is available on our website at (https://investors.bandwidth.com/corporate-governance/governance-overview)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11. Executive Compensation</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 information required by this item is incorporated by reference to our Proxy Statement relating to our 2019 Annual Meeting of Shareholders. The Proxy Statement will be filed with the Securities and Exchange Commission within 120 days of the fiscal year ended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12. Security Ownership of Certain Beneficial Owners and Management Related Stockholder Matters</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 information required by this item is incorporated by reference to our Proxy Statement relating to our 2019 Annual Meeting of Shareholders. The Proxy Statement will be filed with the Securities and Exchange Commission within 120 days of the fiscal year ended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13. Certain Relationships and Related Transactions and Director Independence</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 information required by this item is incorporated by reference to our Proxy Statement relating to our 2019 Annual Meeting of Shareholders. The Proxy Statement will be filed with the Securities and Exchange Commission within 120 days of the fiscal year ended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14. Principal Accountant Fees and Services</w:t>
      </w:r>
    </w:p>
    <w:p>
      <w:pPr>
        <w:spacing w:after="0" w:line="1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231F20"/>
        </w:rPr>
        <w:t>The information required by this item is incorporated by reference to our Proxy Statement relating to our 2019 Annual Meeting of Shareholders. The Proxy Statement will be filed with the Securities and Exchange Commission within 120 days of the fiscal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(a) The following documents are filed as part of this report:</w:t>
      </w:r>
    </w:p>
    <w:p>
      <w:pPr>
        <w:spacing w:after="0" w:line="25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Financial Statements</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See Index to Financial Statements at Item 8 herein.</w:t>
      </w:r>
    </w:p>
    <w:p>
      <w:pPr>
        <w:spacing w:after="0" w:line="25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6"/>
          <w:szCs w:val="16"/>
          <w:color w:val="auto"/>
        </w:rPr>
        <w:t>Financial Statement Schedules</w:t>
      </w:r>
    </w:p>
    <w:p>
      <w:pPr>
        <w:spacing w:after="0" w:line="256"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Schedules not listed above have been omitted because they are not required, not applicable, or the required information is otherwise included.</w:t>
      </w:r>
    </w:p>
    <w:p>
      <w:pPr>
        <w:spacing w:after="0" w:line="20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1"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ind w:left="2520"/>
              <w:spacing w:after="0"/>
              <w:rPr>
                <w:sz w:val="20"/>
                <w:szCs w:val="20"/>
                <w:color w:val="auto"/>
              </w:rPr>
            </w:pPr>
            <w:r>
              <w:rPr>
                <w:rFonts w:ascii="Arial" w:cs="Arial" w:eastAsia="Arial" w:hAnsi="Arial"/>
                <w:sz w:val="20"/>
                <w:szCs w:val="20"/>
                <w:b w:val="1"/>
                <w:bCs w:val="1"/>
                <w:color w:val="auto"/>
              </w:rPr>
              <w:t>EXHIBIT INDEX</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1040" w:type="dxa"/>
            <w:vAlign w:val="bottom"/>
            <w:gridSpan w:val="7"/>
          </w:tcPr>
          <w:p>
            <w:pPr>
              <w:spacing w:after="0"/>
              <w:rPr>
                <w:sz w:val="20"/>
                <w:szCs w:val="20"/>
                <w:color w:val="auto"/>
              </w:rPr>
            </w:pPr>
            <w:r>
              <w:rPr>
                <w:rFonts w:ascii="Arial" w:cs="Arial" w:eastAsia="Arial" w:hAnsi="Arial"/>
                <w:sz w:val="14"/>
                <w:szCs w:val="14"/>
                <w:b w:val="1"/>
                <w:bCs w:val="1"/>
                <w:color w:val="auto"/>
              </w:rPr>
              <w:t>Exhibit</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20" w:type="dxa"/>
            <w:vAlign w:val="bottom"/>
            <w:vMerge w:val="restart"/>
          </w:tcPr>
          <w:p>
            <w:pPr>
              <w:spacing w:after="0"/>
              <w:rPr>
                <w:sz w:val="24"/>
                <w:szCs w:val="2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0" w:type="dxa"/>
            <w:vAlign w:val="bottom"/>
          </w:tcPr>
          <w:p>
            <w:pPr>
              <w:spacing w:after="0"/>
              <w:rPr>
                <w:sz w:val="1"/>
                <w:szCs w:val="1"/>
                <w:color w:val="auto"/>
              </w:rPr>
            </w:pPr>
          </w:p>
        </w:tc>
      </w:tr>
      <w:tr>
        <w:trPr>
          <w:trHeight w:val="149"/>
        </w:trPr>
        <w:tc>
          <w:tcPr>
            <w:tcW w:w="5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3"/>
              </w:rPr>
              <w:t>number</w:t>
            </w:r>
          </w:p>
        </w:tc>
        <w:tc>
          <w:tcPr>
            <w:tcW w:w="5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gridSpan w:val="2"/>
          </w:tcPr>
          <w:p>
            <w:pPr>
              <w:spacing w:after="0" w:line="196" w:lineRule="exact"/>
              <w:rPr>
                <w:rFonts w:ascii="Arial" w:cs="Arial" w:eastAsia="Arial" w:hAnsi="Arial"/>
                <w:sz w:val="18"/>
                <w:szCs w:val="18"/>
                <w:color w:val="0000FF"/>
                <w:w w:val="95"/>
              </w:rPr>
            </w:pPr>
            <w:hyperlink r:id="rId27">
              <w:r>
                <w:rPr>
                  <w:rFonts w:ascii="Arial" w:cs="Arial" w:eastAsia="Arial" w:hAnsi="Arial"/>
                  <w:sz w:val="18"/>
                  <w:szCs w:val="18"/>
                  <w:color w:val="0000FF"/>
                  <w:w w:val="95"/>
                </w:rPr>
                <w:t>2.</w:t>
              </w:r>
              <w:r>
                <w:rPr>
                  <w:rFonts w:ascii="Arial" w:cs="Arial" w:eastAsia="Arial" w:hAnsi="Arial"/>
                  <w:sz w:val="18"/>
                  <w:szCs w:val="18"/>
                  <w:u w:val="single" w:color="auto"/>
                  <w:color w:val="0000FF"/>
                  <w:w w:val="95"/>
                </w:rPr>
                <w:t>1</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20" w:type="dxa"/>
            <w:vAlign w:val="bottom"/>
            <w:gridSpan w:val="4"/>
          </w:tcPr>
          <w:p>
            <w:pPr>
              <w:spacing w:after="0" w:line="196" w:lineRule="exact"/>
              <w:rPr>
                <w:sz w:val="20"/>
                <w:szCs w:val="20"/>
                <w:color w:val="auto"/>
              </w:rPr>
            </w:pPr>
            <w:r>
              <w:rPr>
                <w:rFonts w:ascii="Arial" w:cs="Arial" w:eastAsia="Arial" w:hAnsi="Arial"/>
                <w:sz w:val="18"/>
                <w:szCs w:val="18"/>
                <w:color w:val="auto"/>
                <w:w w:val="95"/>
              </w:rPr>
              <w:t>Reorganization Agreement, dated as of November 30, 2016, by and between 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Republic Wireless, Inc.</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0000FF"/>
            </w:tcBorders>
            <w:gridSpan w:val="2"/>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640" w:type="dxa"/>
            <w:vAlign w:val="bottom"/>
            <w:gridSpan w:val="2"/>
          </w:tcPr>
          <w:p>
            <w:pPr>
              <w:spacing w:after="0"/>
              <w:rPr>
                <w:sz w:val="20"/>
                <w:szCs w:val="20"/>
                <w:color w:val="auto"/>
              </w:rPr>
            </w:pPr>
            <w:r>
              <w:rPr>
                <w:rFonts w:ascii="Arial" w:cs="Arial" w:eastAsia="Arial" w:hAnsi="Arial"/>
                <w:sz w:val="18"/>
                <w:szCs w:val="18"/>
                <w:color w:val="auto"/>
                <w:w w:val="89"/>
              </w:rPr>
              <w:t>Q3 10-Q</w:t>
            </w:r>
          </w:p>
        </w:tc>
        <w:tc>
          <w:tcPr>
            <w:tcW w:w="0" w:type="dxa"/>
            <w:vAlign w:val="bottom"/>
          </w:tcPr>
          <w:p>
            <w:pPr>
              <w:spacing w:after="0"/>
              <w:rPr>
                <w:sz w:val="1"/>
                <w:szCs w:val="1"/>
                <w:color w:val="auto"/>
              </w:rPr>
            </w:pPr>
          </w:p>
        </w:tc>
      </w:tr>
      <w:tr>
        <w:trPr>
          <w:trHeight w:val="250"/>
        </w:trPr>
        <w:tc>
          <w:tcPr>
            <w:tcW w:w="260" w:type="dxa"/>
            <w:vAlign w:val="bottom"/>
            <w:tcBorders>
              <w:bottom w:val="single" w:sz="8" w:color="0000FF"/>
            </w:tcBorders>
            <w:gridSpan w:val="2"/>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640" w:type="dxa"/>
            <w:vAlign w:val="bottom"/>
            <w:gridSpan w:val="2"/>
          </w:tcPr>
          <w:p>
            <w:pPr>
              <w:spacing w:after="0"/>
              <w:rPr>
                <w:sz w:val="20"/>
                <w:szCs w:val="20"/>
                <w:color w:val="auto"/>
              </w:rPr>
            </w:pPr>
            <w:r>
              <w:rPr>
                <w:rFonts w:ascii="Arial" w:cs="Arial" w:eastAsia="Arial" w:hAnsi="Arial"/>
                <w:sz w:val="18"/>
                <w:szCs w:val="18"/>
                <w:color w:val="auto"/>
                <w:w w:val="89"/>
              </w:rPr>
              <w:t>Q3 10-Q</w:t>
            </w:r>
          </w:p>
        </w:tc>
        <w:tc>
          <w:tcPr>
            <w:tcW w:w="0" w:type="dxa"/>
            <w:vAlign w:val="bottom"/>
          </w:tcPr>
          <w:p>
            <w:pPr>
              <w:spacing w:after="0"/>
              <w:rPr>
                <w:sz w:val="1"/>
                <w:szCs w:val="1"/>
                <w:color w:val="auto"/>
              </w:rPr>
            </w:pPr>
          </w:p>
        </w:tc>
      </w:tr>
      <w:tr>
        <w:trPr>
          <w:trHeight w:val="250"/>
        </w:trPr>
        <w:tc>
          <w:tcPr>
            <w:tcW w:w="260" w:type="dxa"/>
            <w:vAlign w:val="bottom"/>
            <w:tcBorders>
              <w:bottom w:val="single" w:sz="8" w:color="0000FF"/>
            </w:tcBorders>
            <w:gridSpan w:val="2"/>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Investors’ Rights Agreement.</w:t>
            </w: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3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Form of Buy-Sell Agreement.</w:t>
            </w: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gridSpan w:val="3"/>
          </w:tcPr>
          <w:p>
            <w:pPr>
              <w:spacing w:after="0"/>
              <w:rPr>
                <w:rFonts w:ascii="Arial" w:cs="Arial" w:eastAsia="Arial" w:hAnsi="Arial"/>
                <w:sz w:val="18"/>
                <w:szCs w:val="18"/>
                <w:color w:val="0000FF"/>
                <w:w w:val="85"/>
              </w:rPr>
            </w:pPr>
            <w:hyperlink r:id="rId3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Credit and Security Agreement among Bandwidth.com, Inc., Keybank</w:t>
            </w: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3"/>
              </w:rPr>
              <w:t>National Association, Keybanc Capital Markets Inc., Pacific Western Bank,</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6"/>
              </w:rPr>
              <w:t>Fifth Third Bank and Silicon Valley Bank, dated as of November 4, 2016.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3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20" w:type="dxa"/>
            <w:vAlign w:val="bottom"/>
            <w:gridSpan w:val="4"/>
          </w:tcPr>
          <w:p>
            <w:pPr>
              <w:spacing w:after="0" w:line="196" w:lineRule="exact"/>
              <w:rPr>
                <w:sz w:val="20"/>
                <w:szCs w:val="20"/>
                <w:color w:val="auto"/>
              </w:rPr>
            </w:pPr>
            <w:r>
              <w:rPr>
                <w:rFonts w:ascii="Arial" w:cs="Arial" w:eastAsia="Arial" w:hAnsi="Arial"/>
                <w:sz w:val="18"/>
                <w:szCs w:val="18"/>
                <w:color w:val="auto"/>
                <w:w w:val="96"/>
              </w:rPr>
              <w:t>Form of Indemnification Agreement between Bandwidth Inc. and each of its S-1A</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Executive Officers and Directors.</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3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2001 Stock Option Plan and forms of awards thereunder.</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gridSpan w:val="3"/>
          </w:tcPr>
          <w:p>
            <w:pPr>
              <w:spacing w:after="0"/>
              <w:rPr>
                <w:rFonts w:ascii="Arial" w:cs="Arial" w:eastAsia="Arial" w:hAnsi="Arial"/>
                <w:sz w:val="18"/>
                <w:szCs w:val="18"/>
                <w:color w:val="0000FF"/>
                <w:w w:val="85"/>
              </w:rPr>
            </w:pPr>
            <w:hyperlink r:id="rId35">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2010 Equity Compensation Plan and forms of awards thereunder.</w:t>
            </w: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gridSpan w:val="3"/>
          </w:tcPr>
          <w:p>
            <w:pPr>
              <w:spacing w:after="0"/>
              <w:rPr>
                <w:rFonts w:ascii="Arial" w:cs="Arial" w:eastAsia="Arial" w:hAnsi="Arial"/>
                <w:sz w:val="18"/>
                <w:szCs w:val="18"/>
                <w:color w:val="0000FF"/>
                <w:w w:val="85"/>
              </w:rPr>
            </w:pPr>
            <w:hyperlink r:id="rId3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Employment Agreement, dated as of October 1, 2008, by and between</w:t>
            </w: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John Murdock.</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3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Employment Agreement, dated as of May 3, 2010, by and between</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W. Christopher Matton.</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3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3"/>
              </w:rPr>
              <w:t>Employment Agreement, dated as of September 16, 2011, by and between</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Jeff Hoffman.</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20" w:type="dxa"/>
            <w:vAlign w:val="bottom"/>
            <w:gridSpan w:val="4"/>
          </w:tcPr>
          <w:p>
            <w:pPr>
              <w:spacing w:after="0" w:line="196" w:lineRule="exact"/>
              <w:rPr>
                <w:sz w:val="20"/>
                <w:szCs w:val="20"/>
                <w:color w:val="auto"/>
              </w:rPr>
            </w:pPr>
            <w:r>
              <w:rPr>
                <w:rFonts w:ascii="Arial" w:cs="Arial" w:eastAsia="Arial" w:hAnsi="Arial"/>
                <w:sz w:val="18"/>
                <w:szCs w:val="18"/>
                <w:color w:val="auto"/>
                <w:w w:val="95"/>
              </w:rPr>
              <w:t>Employment Agreement, dated as of January 1, 2015, as amended on March 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9, 2017, by and between Bandwidth.com, Inc. and David A. Morken.</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0000FF"/>
            </w:tcBorders>
            <w:gridSpan w:val="3"/>
          </w:tcPr>
          <w:p>
            <w:pPr>
              <w:spacing w:after="0" w:line="196" w:lineRule="exact"/>
              <w:rPr>
                <w:rFonts w:ascii="Arial" w:cs="Arial" w:eastAsia="Arial" w:hAnsi="Arial"/>
                <w:sz w:val="18"/>
                <w:szCs w:val="18"/>
                <w:color w:val="0000FF"/>
                <w:w w:val="85"/>
              </w:rPr>
            </w:pPr>
            <w:hyperlink r:id="rId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Employment Agreement, dated as of March 1, 2017, by and between</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Henry R. Kaestner.</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10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8"/>
              </w:rPr>
              <w:t>Consulting Agreement, dated as of February 22, 2010, by and between</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and Carmichael Investment Partners, LLC.</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gridSpan w:val="5"/>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7"/>
              </w:rPr>
              <w:t>Office Lease, by and between Venture Center LLC and Bandwidth.com,</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Inc., dated January 22, 2013, as amended to date.</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rPr>
              <w:t>Sublease, by and between Allied Telesis Capital Corporation and</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dated December 1, 2015.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7"/>
              </w:rPr>
              <w:t>Facilities Sharing Agreement, by and between Bandwidth.com, Inc. and</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4"/>
              </w:rPr>
              <w:t>Transition Services Agreement, by and between Bandwidth.com, Inc. and</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1"/>
              </w:rPr>
              <w:t>Transition Services Agreement, by and between Republic Wireless, Inc. and</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Bandwidth.com, Inc., dated November 30, 2016.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1"/>
              </w:rPr>
              <w:t>Tax Sharing Agreement, by and between Bandwidth.com, Inc. and Republic</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Wireless, Inc., dated November 30, 2016.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gridSpan w:val="6"/>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540" w:type="dxa"/>
            <w:vAlign w:val="bottom"/>
          </w:tcPr>
          <w:p>
            <w:pPr>
              <w:spacing w:after="0"/>
              <w:rPr>
                <w:sz w:val="18"/>
                <w:szCs w:val="18"/>
                <w:color w:val="auto"/>
              </w:rPr>
            </w:pPr>
          </w:p>
        </w:tc>
        <w:tc>
          <w:tcPr>
            <w:tcW w:w="5580" w:type="dxa"/>
            <w:vAlign w:val="bottom"/>
            <w:gridSpan w:val="2"/>
          </w:tcPr>
          <w:p>
            <w:pPr>
              <w:spacing w:after="0" w:line="196" w:lineRule="exact"/>
              <w:rPr>
                <w:sz w:val="20"/>
                <w:szCs w:val="20"/>
                <w:color w:val="auto"/>
              </w:rPr>
            </w:pPr>
            <w:r>
              <w:rPr>
                <w:rFonts w:ascii="Arial" w:cs="Arial" w:eastAsia="Arial" w:hAnsi="Arial"/>
                <w:sz w:val="18"/>
                <w:szCs w:val="18"/>
                <w:color w:val="auto"/>
                <w:w w:val="96"/>
              </w:rPr>
              <w:t>Employee Matters Agreement, by and between Bandwidth.com, Inc. and</w:t>
            </w:r>
          </w:p>
        </w:tc>
        <w:tc>
          <w:tcPr>
            <w:tcW w:w="640" w:type="dxa"/>
            <w:vAlign w:val="bottom"/>
            <w:gridSpan w:val="2"/>
          </w:tcPr>
          <w:p>
            <w:pPr>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5"/>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80" w:type="dxa"/>
            <w:vAlign w:val="bottom"/>
            <w:gridSpan w:val="2"/>
          </w:tcPr>
          <w:p>
            <w:pPr>
              <w:ind w:left="452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4"/>
          <w:szCs w:val="14"/>
          <w:b w:val="1"/>
          <w:bCs w:val="1"/>
          <w:u w:val="single" w:color="auto"/>
          <w:color w:val="auto"/>
        </w:rPr>
        <w:t>File No.</w:t>
      </w:r>
      <w:r>
        <w:rPr>
          <w:sz w:val="20"/>
          <w:szCs w:val="20"/>
          <w:color w:val="auto"/>
        </w:rPr>
        <w:tab/>
      </w: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3"/>
          <w:szCs w:val="13"/>
          <w:b w:val="1"/>
          <w:bCs w:val="1"/>
          <w:u w:val="single" w:color="auto"/>
          <w:color w:val="auto"/>
        </w:rPr>
        <w:t>Filing Date</w:t>
      </w:r>
    </w:p>
    <w:p>
      <w:pPr>
        <w:spacing w:after="0" w:line="50"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10/13/2017</w:t>
      </w:r>
    </w:p>
    <w:p>
      <w:pPr>
        <w:spacing w:after="0" w:line="266"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001-38285</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12/14/2017</w:t>
      </w:r>
    </w:p>
    <w:p>
      <w:pPr>
        <w:spacing w:after="0" w:line="6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001-38285</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12/14/2017</w:t>
      </w:r>
    </w:p>
    <w:p>
      <w:pPr>
        <w:spacing w:after="0" w:line="77"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10/13/2017</w:t>
      </w:r>
    </w:p>
    <w:p>
      <w:pPr>
        <w:spacing w:after="0" w:line="200" w:lineRule="exact"/>
        <w:rPr>
          <w:sz w:val="20"/>
          <w:szCs w:val="20"/>
          <w:color w:val="auto"/>
        </w:rPr>
      </w:pPr>
    </w:p>
    <w:p>
      <w:pPr>
        <w:spacing w:after="0" w:line="295"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10/30/2017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00" w:val="left"/>
          <w:tab w:leader="none" w:pos="192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10/13/2017</w:t>
      </w:r>
    </w:p>
    <w:p>
      <w:pPr>
        <w:sectPr>
          <w:pgSz w:w="11900" w:h="16838" w:orient="portrait"/>
          <w:cols w:equalWidth="0" w:num="2">
            <w:col w:w="7280" w:space="560"/>
            <w:col w:w="2760"/>
          </w:cols>
          <w:pgMar w:left="240" w:top="121" w:right="10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20" w:type="dxa"/>
            <w:vAlign w:val="bottom"/>
            <w:tcBorders>
              <w:bottom w:val="single" w:sz="8" w:color="0000FF"/>
            </w:tcBorders>
          </w:tcPr>
          <w:p>
            <w:pPr>
              <w:jc w:val="right"/>
              <w:spacing w:after="0"/>
              <w:rPr>
                <w:rFonts w:ascii="Arial" w:cs="Arial" w:eastAsia="Arial" w:hAnsi="Arial"/>
                <w:sz w:val="18"/>
                <w:szCs w:val="18"/>
                <w:color w:val="0000FF"/>
                <w:w w:val="88"/>
              </w:rPr>
            </w:pPr>
            <w:hyperlink r:id="rId4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6120" w:type="dxa"/>
            <w:vAlign w:val="bottom"/>
          </w:tcPr>
          <w:p>
            <w:pPr>
              <w:ind w:left="620"/>
              <w:spacing w:after="0"/>
              <w:rPr>
                <w:sz w:val="20"/>
                <w:szCs w:val="20"/>
                <w:color w:val="auto"/>
              </w:rPr>
            </w:pPr>
            <w:r>
              <w:rPr>
                <w:rFonts w:ascii="Arial" w:cs="Arial" w:eastAsia="Arial" w:hAnsi="Arial"/>
                <w:sz w:val="18"/>
                <w:szCs w:val="18"/>
                <w:color w:val="auto"/>
                <w:w w:val="97"/>
              </w:rPr>
              <w:t>Master Services Agreement, by and between Bandwidth.com, Inc. and</w:t>
            </w:r>
          </w:p>
        </w:tc>
        <w:tc>
          <w:tcPr>
            <w:tcW w:w="1060" w:type="dxa"/>
            <w:vAlign w:val="bottom"/>
          </w:tcPr>
          <w:p>
            <w:pPr>
              <w:ind w:left="80"/>
              <w:spacing w:after="0"/>
              <w:rPr>
                <w:sz w:val="20"/>
                <w:szCs w:val="20"/>
                <w:color w:val="auto"/>
              </w:rPr>
            </w:pPr>
            <w:r>
              <w:rPr>
                <w:rFonts w:ascii="Arial" w:cs="Arial" w:eastAsia="Arial" w:hAnsi="Arial"/>
                <w:sz w:val="18"/>
                <w:szCs w:val="18"/>
                <w:color w:val="auto"/>
              </w:rPr>
              <w:t>S-1</w:t>
            </w:r>
          </w:p>
        </w:tc>
        <w:tc>
          <w:tcPr>
            <w:tcW w:w="1260" w:type="dxa"/>
            <w:vAlign w:val="bottom"/>
          </w:tcPr>
          <w:p>
            <w:pPr>
              <w:ind w:left="220"/>
              <w:spacing w:after="0"/>
              <w:rPr>
                <w:sz w:val="20"/>
                <w:szCs w:val="20"/>
                <w:color w:val="auto"/>
              </w:rPr>
            </w:pPr>
            <w:r>
              <w:rPr>
                <w:rFonts w:ascii="Arial" w:cs="Arial" w:eastAsia="Arial" w:hAnsi="Arial"/>
                <w:sz w:val="18"/>
                <w:szCs w:val="18"/>
                <w:color w:val="auto"/>
              </w:rPr>
              <w:t>333-220945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10.18</w:t>
            </w:r>
          </w:p>
        </w:tc>
        <w:tc>
          <w:tcPr>
            <w:tcW w:w="980" w:type="dxa"/>
            <w:vAlign w:val="bottom"/>
          </w:tcPr>
          <w:p>
            <w:pPr>
              <w:ind w:left="160"/>
              <w:spacing w:after="0"/>
              <w:rPr>
                <w:sz w:val="20"/>
                <w:szCs w:val="20"/>
                <w:color w:val="auto"/>
              </w:rPr>
            </w:pPr>
            <w:r>
              <w:rPr>
                <w:rFonts w:ascii="Arial" w:cs="Arial" w:eastAsia="Arial" w:hAnsi="Arial"/>
                <w:sz w:val="18"/>
                <w:szCs w:val="18"/>
                <w:color w:val="auto"/>
                <w:w w:val="88"/>
              </w:rPr>
              <w:t>10/13/2017</w:t>
            </w:r>
          </w:p>
        </w:tc>
      </w:tr>
      <w:tr>
        <w:trPr>
          <w:trHeight w:val="250"/>
        </w:trPr>
        <w:tc>
          <w:tcPr>
            <w:tcW w:w="420" w:type="dxa"/>
            <w:vAlign w:val="bottom"/>
          </w:tcPr>
          <w:p>
            <w:pPr>
              <w:spacing w:after="0"/>
              <w:rPr>
                <w:sz w:val="21"/>
                <w:szCs w:val="21"/>
                <w:color w:val="auto"/>
              </w:rPr>
            </w:pPr>
          </w:p>
        </w:tc>
        <w:tc>
          <w:tcPr>
            <w:tcW w:w="6120" w:type="dxa"/>
            <w:vAlign w:val="bottom"/>
          </w:tcPr>
          <w:p>
            <w:pPr>
              <w:ind w:left="620"/>
              <w:spacing w:after="0"/>
              <w:rPr>
                <w:sz w:val="20"/>
                <w:szCs w:val="20"/>
                <w:color w:val="auto"/>
              </w:rPr>
            </w:pPr>
            <w:r>
              <w:rPr>
                <w:rFonts w:ascii="Arial" w:cs="Arial" w:eastAsia="Arial" w:hAnsi="Arial"/>
                <w:sz w:val="18"/>
                <w:szCs w:val="18"/>
                <w:color w:val="auto"/>
              </w:rPr>
              <w:t>Republic Wireless, Inc., dated November 30, 2016.</w:t>
            </w: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420" w:type="dxa"/>
            <w:vAlign w:val="bottom"/>
            <w:tcBorders>
              <w:bottom w:val="single" w:sz="8" w:color="0000FF"/>
            </w:tcBorders>
          </w:tcPr>
          <w:p>
            <w:pPr>
              <w:jc w:val="right"/>
              <w:spacing w:after="0" w:line="196" w:lineRule="exact"/>
              <w:rPr>
                <w:rFonts w:ascii="Arial" w:cs="Arial" w:eastAsia="Arial" w:hAnsi="Arial"/>
                <w:sz w:val="18"/>
                <w:szCs w:val="18"/>
                <w:color w:val="0000FF"/>
                <w:w w:val="88"/>
              </w:rPr>
            </w:pPr>
            <w:hyperlink r:id="rId5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6120" w:type="dxa"/>
            <w:vAlign w:val="bottom"/>
          </w:tcPr>
          <w:p>
            <w:pPr>
              <w:ind w:left="620"/>
              <w:spacing w:after="0" w:line="196" w:lineRule="exact"/>
              <w:rPr>
                <w:sz w:val="20"/>
                <w:szCs w:val="20"/>
                <w:color w:val="auto"/>
              </w:rPr>
            </w:pPr>
            <w:r>
              <w:rPr>
                <w:rFonts w:ascii="Arial" w:cs="Arial" w:eastAsia="Arial" w:hAnsi="Arial"/>
                <w:sz w:val="18"/>
                <w:szCs w:val="18"/>
                <w:color w:val="auto"/>
                <w:w w:val="92"/>
              </w:rPr>
              <w:t>Master Service Agreement, by and between Level 3 Communications, LLC</w:t>
            </w:r>
          </w:p>
        </w:tc>
        <w:tc>
          <w:tcPr>
            <w:tcW w:w="1060" w:type="dxa"/>
            <w:vAlign w:val="bottom"/>
          </w:tcPr>
          <w:p>
            <w:pPr>
              <w:ind w:left="80"/>
              <w:spacing w:after="0" w:line="196" w:lineRule="exact"/>
              <w:rPr>
                <w:sz w:val="20"/>
                <w:szCs w:val="20"/>
                <w:color w:val="auto"/>
              </w:rPr>
            </w:pPr>
            <w:r>
              <w:rPr>
                <w:rFonts w:ascii="Arial" w:cs="Arial" w:eastAsia="Arial" w:hAnsi="Arial"/>
                <w:sz w:val="18"/>
                <w:szCs w:val="18"/>
                <w:color w:val="auto"/>
              </w:rPr>
              <w:t>S-1</w:t>
            </w:r>
          </w:p>
        </w:tc>
        <w:tc>
          <w:tcPr>
            <w:tcW w:w="1260" w:type="dxa"/>
            <w:vAlign w:val="bottom"/>
          </w:tcPr>
          <w:p>
            <w:pPr>
              <w:ind w:left="220"/>
              <w:spacing w:after="0" w:line="196" w:lineRule="exact"/>
              <w:rPr>
                <w:sz w:val="20"/>
                <w:szCs w:val="20"/>
                <w:color w:val="auto"/>
              </w:rPr>
            </w:pPr>
            <w:r>
              <w:rPr>
                <w:rFonts w:ascii="Arial" w:cs="Arial" w:eastAsia="Arial" w:hAnsi="Arial"/>
                <w:sz w:val="18"/>
                <w:szCs w:val="18"/>
                <w:color w:val="auto"/>
              </w:rPr>
              <w:t>333-220945</w:t>
            </w:r>
          </w:p>
        </w:tc>
        <w:tc>
          <w:tcPr>
            <w:tcW w:w="7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10.19</w:t>
            </w:r>
          </w:p>
        </w:tc>
        <w:tc>
          <w:tcPr>
            <w:tcW w:w="980" w:type="dxa"/>
            <w:vAlign w:val="bottom"/>
          </w:tcPr>
          <w:p>
            <w:pPr>
              <w:ind w:left="160"/>
              <w:spacing w:after="0" w:line="196" w:lineRule="exact"/>
              <w:rPr>
                <w:sz w:val="20"/>
                <w:szCs w:val="20"/>
                <w:color w:val="auto"/>
              </w:rPr>
            </w:pPr>
            <w:r>
              <w:rPr>
                <w:rFonts w:ascii="Arial" w:cs="Arial" w:eastAsia="Arial" w:hAnsi="Arial"/>
                <w:sz w:val="18"/>
                <w:szCs w:val="18"/>
                <w:color w:val="auto"/>
                <w:w w:val="88"/>
              </w:rPr>
              <w:t>10/13/2017</w:t>
            </w:r>
          </w:p>
        </w:tc>
      </w:tr>
      <w:tr>
        <w:trPr>
          <w:trHeight w:val="250"/>
        </w:trPr>
        <w:tc>
          <w:tcPr>
            <w:tcW w:w="420" w:type="dxa"/>
            <w:vAlign w:val="bottom"/>
          </w:tcPr>
          <w:p>
            <w:pPr>
              <w:spacing w:after="0"/>
              <w:rPr>
                <w:sz w:val="21"/>
                <w:szCs w:val="21"/>
                <w:color w:val="auto"/>
              </w:rPr>
            </w:pPr>
          </w:p>
        </w:tc>
        <w:tc>
          <w:tcPr>
            <w:tcW w:w="6120" w:type="dxa"/>
            <w:vAlign w:val="bottom"/>
          </w:tcPr>
          <w:p>
            <w:pPr>
              <w:ind w:left="620"/>
              <w:spacing w:after="0"/>
              <w:rPr>
                <w:sz w:val="20"/>
                <w:szCs w:val="20"/>
                <w:color w:val="auto"/>
              </w:rPr>
            </w:pPr>
            <w:r>
              <w:rPr>
                <w:rFonts w:ascii="Arial" w:cs="Arial" w:eastAsia="Arial" w:hAnsi="Arial"/>
                <w:sz w:val="18"/>
                <w:szCs w:val="18"/>
                <w:color w:val="auto"/>
                <w:w w:val="99"/>
              </w:rPr>
              <w:t>and Bandwidth.com, Inc, dated March 14, 2008, as amended to date.</w:t>
            </w: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420" w:type="dxa"/>
            <w:vAlign w:val="bottom"/>
            <w:tcBorders>
              <w:bottom w:val="single" w:sz="8" w:color="0000FF"/>
            </w:tcBorders>
          </w:tcPr>
          <w:p>
            <w:pPr>
              <w:jc w:val="right"/>
              <w:spacing w:after="0" w:line="196" w:lineRule="exact"/>
              <w:rPr>
                <w:rFonts w:ascii="Arial" w:cs="Arial" w:eastAsia="Arial" w:hAnsi="Arial"/>
                <w:sz w:val="18"/>
                <w:szCs w:val="18"/>
                <w:color w:val="0000FF"/>
                <w:w w:val="88"/>
              </w:rPr>
            </w:pPr>
            <w:hyperlink r:id="rId51">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20</w:t>
            </w:r>
          </w:p>
        </w:tc>
        <w:tc>
          <w:tcPr>
            <w:tcW w:w="6120" w:type="dxa"/>
            <w:vAlign w:val="bottom"/>
          </w:tcPr>
          <w:p>
            <w:pPr>
              <w:ind w:left="620"/>
              <w:spacing w:after="0" w:line="196" w:lineRule="exact"/>
              <w:rPr>
                <w:sz w:val="20"/>
                <w:szCs w:val="20"/>
                <w:color w:val="auto"/>
              </w:rPr>
            </w:pPr>
            <w:r>
              <w:rPr>
                <w:rFonts w:ascii="Arial" w:cs="Arial" w:eastAsia="Arial" w:hAnsi="Arial"/>
                <w:sz w:val="18"/>
                <w:szCs w:val="18"/>
                <w:color w:val="auto"/>
                <w:w w:val="94"/>
              </w:rPr>
              <w:t>Form of Conversion Lock-up Agreement between Bandwidth Inc. and the</w:t>
            </w:r>
          </w:p>
        </w:tc>
        <w:tc>
          <w:tcPr>
            <w:tcW w:w="1060" w:type="dxa"/>
            <w:vAlign w:val="bottom"/>
          </w:tcPr>
          <w:p>
            <w:pPr>
              <w:ind w:left="80"/>
              <w:spacing w:after="0" w:line="196" w:lineRule="exact"/>
              <w:rPr>
                <w:sz w:val="20"/>
                <w:szCs w:val="20"/>
                <w:color w:val="auto"/>
              </w:rPr>
            </w:pPr>
            <w:r>
              <w:rPr>
                <w:rFonts w:ascii="Arial" w:cs="Arial" w:eastAsia="Arial" w:hAnsi="Arial"/>
                <w:sz w:val="18"/>
                <w:szCs w:val="18"/>
                <w:color w:val="auto"/>
              </w:rPr>
              <w:t>S-1A</w:t>
            </w:r>
          </w:p>
        </w:tc>
        <w:tc>
          <w:tcPr>
            <w:tcW w:w="1260" w:type="dxa"/>
            <w:vAlign w:val="bottom"/>
          </w:tcPr>
          <w:p>
            <w:pPr>
              <w:ind w:left="220"/>
              <w:spacing w:after="0" w:line="196" w:lineRule="exact"/>
              <w:rPr>
                <w:sz w:val="20"/>
                <w:szCs w:val="20"/>
                <w:color w:val="auto"/>
              </w:rPr>
            </w:pPr>
            <w:r>
              <w:rPr>
                <w:rFonts w:ascii="Arial" w:cs="Arial" w:eastAsia="Arial" w:hAnsi="Arial"/>
                <w:sz w:val="18"/>
                <w:szCs w:val="18"/>
                <w:color w:val="auto"/>
              </w:rPr>
              <w:t>333-220945</w:t>
            </w:r>
          </w:p>
        </w:tc>
        <w:tc>
          <w:tcPr>
            <w:tcW w:w="7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10.20</w:t>
            </w:r>
          </w:p>
        </w:tc>
        <w:tc>
          <w:tcPr>
            <w:tcW w:w="980" w:type="dxa"/>
            <w:vAlign w:val="bottom"/>
          </w:tcPr>
          <w:p>
            <w:pPr>
              <w:ind w:left="160"/>
              <w:spacing w:after="0" w:line="196" w:lineRule="exact"/>
              <w:rPr>
                <w:sz w:val="20"/>
                <w:szCs w:val="20"/>
                <w:color w:val="auto"/>
              </w:rPr>
            </w:pPr>
            <w:r>
              <w:rPr>
                <w:rFonts w:ascii="Arial" w:cs="Arial" w:eastAsia="Arial" w:hAnsi="Arial"/>
                <w:sz w:val="18"/>
                <w:szCs w:val="18"/>
                <w:color w:val="auto"/>
                <w:w w:val="88"/>
              </w:rPr>
              <w:t>10/30/2017</w:t>
            </w:r>
          </w:p>
        </w:tc>
      </w:tr>
      <w:tr>
        <w:trPr>
          <w:trHeight w:val="250"/>
        </w:trPr>
        <w:tc>
          <w:tcPr>
            <w:tcW w:w="420" w:type="dxa"/>
            <w:vAlign w:val="bottom"/>
          </w:tcPr>
          <w:p>
            <w:pPr>
              <w:spacing w:after="0"/>
              <w:rPr>
                <w:sz w:val="21"/>
                <w:szCs w:val="21"/>
                <w:color w:val="auto"/>
              </w:rPr>
            </w:pPr>
          </w:p>
        </w:tc>
        <w:tc>
          <w:tcPr>
            <w:tcW w:w="6120" w:type="dxa"/>
            <w:vAlign w:val="bottom"/>
          </w:tcPr>
          <w:p>
            <w:pPr>
              <w:ind w:left="620"/>
              <w:spacing w:after="0"/>
              <w:rPr>
                <w:sz w:val="20"/>
                <w:szCs w:val="20"/>
                <w:color w:val="auto"/>
              </w:rPr>
            </w:pPr>
            <w:r>
              <w:rPr>
                <w:rFonts w:ascii="Arial" w:cs="Arial" w:eastAsia="Arial" w:hAnsi="Arial"/>
                <w:sz w:val="18"/>
                <w:szCs w:val="18"/>
                <w:color w:val="auto"/>
              </w:rPr>
              <w:t>Key Holders.</w:t>
            </w: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6"/>
        </w:trPr>
        <w:tc>
          <w:tcPr>
            <w:tcW w:w="420" w:type="dxa"/>
            <w:vAlign w:val="bottom"/>
            <w:tcBorders>
              <w:bottom w:val="single" w:sz="8" w:color="0000FF"/>
            </w:tcBorders>
          </w:tcPr>
          <w:p>
            <w:pPr>
              <w:jc w:val="right"/>
              <w:spacing w:after="0" w:line="196"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6120" w:type="dxa"/>
            <w:vAlign w:val="bottom"/>
          </w:tcPr>
          <w:p>
            <w:pPr>
              <w:ind w:left="620"/>
              <w:spacing w:after="0" w:line="196" w:lineRule="exact"/>
              <w:rPr>
                <w:sz w:val="20"/>
                <w:szCs w:val="20"/>
                <w:color w:val="auto"/>
              </w:rPr>
            </w:pPr>
            <w:r>
              <w:rPr>
                <w:rFonts w:ascii="Arial" w:cs="Arial" w:eastAsia="Arial" w:hAnsi="Arial"/>
                <w:sz w:val="18"/>
                <w:szCs w:val="18"/>
                <w:color w:val="auto"/>
                <w:w w:val="95"/>
              </w:rPr>
              <w:t>2017 Incentive Award Plan, and forms of award agreements thereunder.</w:t>
            </w:r>
          </w:p>
        </w:tc>
        <w:tc>
          <w:tcPr>
            <w:tcW w:w="1060" w:type="dxa"/>
            <w:vAlign w:val="bottom"/>
          </w:tcPr>
          <w:p>
            <w:pPr>
              <w:ind w:left="80"/>
              <w:spacing w:after="0" w:line="196" w:lineRule="exact"/>
              <w:rPr>
                <w:sz w:val="20"/>
                <w:szCs w:val="20"/>
                <w:color w:val="auto"/>
              </w:rPr>
            </w:pPr>
            <w:r>
              <w:rPr>
                <w:rFonts w:ascii="Arial" w:cs="Arial" w:eastAsia="Arial" w:hAnsi="Arial"/>
                <w:sz w:val="18"/>
                <w:szCs w:val="18"/>
                <w:color w:val="auto"/>
              </w:rPr>
              <w:t>S-1A</w:t>
            </w:r>
          </w:p>
        </w:tc>
        <w:tc>
          <w:tcPr>
            <w:tcW w:w="1260" w:type="dxa"/>
            <w:vAlign w:val="bottom"/>
          </w:tcPr>
          <w:p>
            <w:pPr>
              <w:ind w:left="220"/>
              <w:spacing w:after="0" w:line="196" w:lineRule="exact"/>
              <w:rPr>
                <w:sz w:val="20"/>
                <w:szCs w:val="20"/>
                <w:color w:val="auto"/>
              </w:rPr>
            </w:pPr>
            <w:r>
              <w:rPr>
                <w:rFonts w:ascii="Arial" w:cs="Arial" w:eastAsia="Arial" w:hAnsi="Arial"/>
                <w:sz w:val="18"/>
                <w:szCs w:val="18"/>
                <w:color w:val="auto"/>
              </w:rPr>
              <w:t>333-220945</w:t>
            </w:r>
          </w:p>
        </w:tc>
        <w:tc>
          <w:tcPr>
            <w:tcW w:w="7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10.21</w:t>
            </w:r>
          </w:p>
        </w:tc>
        <w:tc>
          <w:tcPr>
            <w:tcW w:w="980" w:type="dxa"/>
            <w:vAlign w:val="bottom"/>
          </w:tcPr>
          <w:p>
            <w:pPr>
              <w:ind w:left="160"/>
              <w:spacing w:after="0" w:line="196" w:lineRule="exact"/>
              <w:rPr>
                <w:sz w:val="20"/>
                <w:szCs w:val="20"/>
                <w:color w:val="auto"/>
              </w:rPr>
            </w:pPr>
            <w:r>
              <w:rPr>
                <w:rFonts w:ascii="Arial" w:cs="Arial" w:eastAsia="Arial" w:hAnsi="Arial"/>
                <w:sz w:val="18"/>
                <w:szCs w:val="18"/>
                <w:color w:val="auto"/>
                <w:w w:val="88"/>
              </w:rPr>
              <w:t>10/30/2017</w:t>
            </w:r>
          </w:p>
        </w:tc>
      </w:tr>
      <w:tr>
        <w:trPr>
          <w:trHeight w:val="250"/>
        </w:trPr>
        <w:tc>
          <w:tcPr>
            <w:tcW w:w="420" w:type="dxa"/>
            <w:vAlign w:val="bottom"/>
            <w:tcBorders>
              <w:bottom w:val="single" w:sz="8" w:color="0000FF"/>
            </w:tcBorders>
          </w:tcPr>
          <w:p>
            <w:pPr>
              <w:jc w:val="right"/>
              <w:spacing w:after="0"/>
              <w:rPr>
                <w:rFonts w:ascii="Arial" w:cs="Arial" w:eastAsia="Arial" w:hAnsi="Arial"/>
                <w:sz w:val="18"/>
                <w:szCs w:val="18"/>
                <w:color w:val="0000FF"/>
                <w:w w:val="88"/>
              </w:rPr>
            </w:pPr>
            <w:hyperlink r:id="rId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6120" w:type="dxa"/>
            <w:vAlign w:val="bottom"/>
          </w:tcPr>
          <w:p>
            <w:pPr>
              <w:ind w:left="620"/>
              <w:spacing w:after="0"/>
              <w:rPr>
                <w:sz w:val="20"/>
                <w:szCs w:val="20"/>
                <w:color w:val="auto"/>
              </w:rPr>
            </w:pPr>
            <w:r>
              <w:rPr>
                <w:rFonts w:ascii="Arial" w:cs="Arial" w:eastAsia="Arial" w:hAnsi="Arial"/>
                <w:sz w:val="18"/>
                <w:szCs w:val="18"/>
                <w:color w:val="auto"/>
              </w:rPr>
              <w:t>Office Lease, by and between Keystone-Centennial II, LLC and</w:t>
            </w:r>
          </w:p>
        </w:tc>
        <w:tc>
          <w:tcPr>
            <w:tcW w:w="1060" w:type="dxa"/>
            <w:vAlign w:val="bottom"/>
          </w:tcPr>
          <w:p>
            <w:pPr>
              <w:ind w:left="80"/>
              <w:spacing w:after="0"/>
              <w:rPr>
                <w:sz w:val="20"/>
                <w:szCs w:val="20"/>
                <w:color w:val="auto"/>
              </w:rPr>
            </w:pPr>
            <w:r>
              <w:rPr>
                <w:rFonts w:ascii="Arial" w:cs="Arial" w:eastAsia="Arial" w:hAnsi="Arial"/>
                <w:sz w:val="18"/>
                <w:szCs w:val="18"/>
                <w:color w:val="auto"/>
              </w:rPr>
              <w:t>2017 10-K</w:t>
            </w:r>
          </w:p>
        </w:tc>
        <w:tc>
          <w:tcPr>
            <w:tcW w:w="1260" w:type="dxa"/>
            <w:vAlign w:val="bottom"/>
          </w:tcPr>
          <w:p>
            <w:pPr>
              <w:ind w:left="220"/>
              <w:spacing w:after="0"/>
              <w:rPr>
                <w:sz w:val="20"/>
                <w:szCs w:val="20"/>
                <w:color w:val="auto"/>
              </w:rPr>
            </w:pPr>
            <w:r>
              <w:rPr>
                <w:rFonts w:ascii="Arial" w:cs="Arial" w:eastAsia="Arial" w:hAnsi="Arial"/>
                <w:sz w:val="18"/>
                <w:szCs w:val="18"/>
                <w:color w:val="auto"/>
              </w:rPr>
              <w:t>001-38285</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10.22</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2/26/2018</w:t>
            </w:r>
          </w:p>
        </w:tc>
      </w:tr>
      <w:tr>
        <w:trPr>
          <w:trHeight w:val="250"/>
        </w:trPr>
        <w:tc>
          <w:tcPr>
            <w:tcW w:w="420" w:type="dxa"/>
            <w:vAlign w:val="bottom"/>
          </w:tcPr>
          <w:p>
            <w:pPr>
              <w:spacing w:after="0"/>
              <w:rPr>
                <w:sz w:val="21"/>
                <w:szCs w:val="21"/>
                <w:color w:val="auto"/>
              </w:rPr>
            </w:pPr>
          </w:p>
        </w:tc>
        <w:tc>
          <w:tcPr>
            <w:tcW w:w="6120" w:type="dxa"/>
            <w:vAlign w:val="bottom"/>
          </w:tcPr>
          <w:p>
            <w:pPr>
              <w:ind w:left="620"/>
              <w:spacing w:after="0"/>
              <w:rPr>
                <w:sz w:val="20"/>
                <w:szCs w:val="20"/>
                <w:color w:val="auto"/>
              </w:rPr>
            </w:pPr>
            <w:r>
              <w:rPr>
                <w:rFonts w:ascii="Arial" w:cs="Arial" w:eastAsia="Arial" w:hAnsi="Arial"/>
                <w:sz w:val="18"/>
                <w:szCs w:val="18"/>
                <w:color w:val="auto"/>
              </w:rPr>
              <w:t>Bandwidth.com, Inc., dated January 12, 2018.</w:t>
            </w:r>
          </w:p>
        </w:tc>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6" w:lineRule="exact"/>
        <w:rPr>
          <w:sz w:val="20"/>
          <w:szCs w:val="20"/>
          <w:color w:val="auto"/>
        </w:rPr>
      </w:pPr>
    </w:p>
    <w:p>
      <w:pPr>
        <w:sectPr>
          <w:pgSz w:w="11900" w:h="16838" w:orient="portrait"/>
          <w:cols w:equalWidth="0" w:num="1">
            <w:col w:w="11180"/>
          </w:cols>
          <w:pgMar w:left="240" w:top="121" w:right="47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6"/>
              </w:rPr>
              <w:t>Office Lease, by and between WP Propco III, LLC and Bandwidth Inc.,</w:t>
            </w:r>
          </w:p>
        </w:tc>
      </w:tr>
      <w:tr>
        <w:trPr>
          <w:trHeight w:val="217"/>
        </w:trPr>
        <w:tc>
          <w:tcPr>
            <w:tcW w:w="860" w:type="dxa"/>
            <w:vAlign w:val="bottom"/>
            <w:gridSpan w:val="3"/>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5620" w:type="dxa"/>
            <w:vAlign w:val="bottom"/>
          </w:tcPr>
          <w:p>
            <w:pPr>
              <w:ind w:left="180"/>
              <w:spacing w:after="0"/>
              <w:rPr>
                <w:sz w:val="20"/>
                <w:szCs w:val="20"/>
                <w:color w:val="auto"/>
              </w:rPr>
            </w:pPr>
            <w:r>
              <w:rPr>
                <w:rFonts w:ascii="Arial" w:cs="Arial" w:eastAsia="Arial" w:hAnsi="Arial"/>
                <w:sz w:val="18"/>
                <w:szCs w:val="18"/>
                <w:color w:val="auto"/>
              </w:rPr>
              <w:t>dated January 1, 2019, Venture III amendment.</w:t>
            </w:r>
          </w:p>
        </w:tc>
      </w:tr>
      <w:tr>
        <w:trPr>
          <w:trHeight w:val="249"/>
        </w:trPr>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6"/>
              </w:rPr>
              <w:t>Office Lease, by and between WP Propco III, LLC and Bandwidth Inc.,</w:t>
            </w:r>
          </w:p>
        </w:tc>
      </w:tr>
      <w:tr>
        <w:trPr>
          <w:trHeight w:val="217"/>
        </w:trPr>
        <w:tc>
          <w:tcPr>
            <w:tcW w:w="860" w:type="dxa"/>
            <w:vAlign w:val="bottom"/>
            <w:gridSpan w:val="3"/>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5620" w:type="dxa"/>
            <w:vAlign w:val="bottom"/>
          </w:tcPr>
          <w:p>
            <w:pPr>
              <w:ind w:left="180"/>
              <w:spacing w:after="0"/>
              <w:rPr>
                <w:sz w:val="20"/>
                <w:szCs w:val="20"/>
                <w:color w:val="auto"/>
              </w:rPr>
            </w:pPr>
            <w:r>
              <w:rPr>
                <w:rFonts w:ascii="Arial" w:cs="Arial" w:eastAsia="Arial" w:hAnsi="Arial"/>
                <w:sz w:val="18"/>
                <w:szCs w:val="18"/>
                <w:color w:val="auto"/>
              </w:rPr>
              <w:t>dated January 1, 2019, Venture I amendment.</w:t>
            </w:r>
          </w:p>
        </w:tc>
      </w:tr>
      <w:tr>
        <w:trPr>
          <w:trHeight w:val="210"/>
        </w:trPr>
        <w:tc>
          <w:tcPr>
            <w:tcW w:w="3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w:anchor="page224">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ind w:left="180"/>
              <w:spacing w:after="0" w:line="196" w:lineRule="exact"/>
              <w:rPr>
                <w:sz w:val="20"/>
                <w:szCs w:val="20"/>
                <w:color w:val="auto"/>
              </w:rPr>
            </w:pPr>
            <w:r>
              <w:rPr>
                <w:rFonts w:ascii="Arial" w:cs="Arial" w:eastAsia="Arial" w:hAnsi="Arial"/>
                <w:sz w:val="18"/>
                <w:szCs w:val="18"/>
                <w:color w:val="auto"/>
              </w:rPr>
              <w:t>List of subsidiaries of Bandwidth Inc.</w:t>
            </w: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22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Consent of Ernst &amp; Young LLP, Independent Registered</w:t>
            </w:r>
          </w:p>
        </w:tc>
      </w:tr>
      <w:tr>
        <w:trPr>
          <w:trHeight w:val="250"/>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Public Accounting Firm.</w:t>
            </w:r>
          </w:p>
        </w:tc>
      </w:tr>
      <w:tr>
        <w:trPr>
          <w:trHeight w:val="216"/>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22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3"/>
              </w:rPr>
              <w:t>Certificate of the Chief Executive Officer pursuant to Exchange Act Rules</w:t>
            </w:r>
          </w:p>
        </w:tc>
      </w:tr>
      <w:tr>
        <w:trPr>
          <w:trHeight w:val="142"/>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ind w:left="180"/>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190"/>
        </w:trPr>
        <w:tc>
          <w:tcPr>
            <w:tcW w:w="320" w:type="dxa"/>
            <w:vAlign w:val="bottom"/>
            <w:tcBorders>
              <w:bottom w:val="single" w:sz="8" w:color="0000FF"/>
            </w:tcBorders>
          </w:tcPr>
          <w:p>
            <w:pPr>
              <w:spacing w:after="0" w:line="190" w:lineRule="exact"/>
              <w:rPr>
                <w:rFonts w:ascii="Arial" w:cs="Arial" w:eastAsia="Arial" w:hAnsi="Arial"/>
                <w:sz w:val="18"/>
                <w:szCs w:val="18"/>
                <w:color w:val="0000FF"/>
                <w:w w:val="85"/>
              </w:rPr>
            </w:pPr>
            <w:hyperlink w:anchor="page22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20" w:type="dxa"/>
            <w:vAlign w:val="bottom"/>
          </w:tcPr>
          <w:p>
            <w:pPr>
              <w:ind w:left="180"/>
              <w:spacing w:after="0" w:line="190" w:lineRule="exact"/>
              <w:rPr>
                <w:sz w:val="20"/>
                <w:szCs w:val="20"/>
                <w:color w:val="auto"/>
              </w:rPr>
            </w:pPr>
            <w:r>
              <w:rPr>
                <w:rFonts w:ascii="Arial" w:cs="Arial" w:eastAsia="Arial" w:hAnsi="Arial"/>
                <w:sz w:val="18"/>
                <w:szCs w:val="18"/>
                <w:color w:val="auto"/>
                <w:w w:val="91"/>
              </w:rPr>
              <w:t>Certification of the Chief Financial Officer pursuant to Exchange Act Rules</w:t>
            </w:r>
          </w:p>
        </w:tc>
      </w:tr>
      <w:tr>
        <w:trPr>
          <w:trHeight w:val="142"/>
        </w:trPr>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ind w:left="180"/>
              <w:spacing w:after="0" w:line="142" w:lineRule="exact"/>
              <w:rPr>
                <w:sz w:val="20"/>
                <w:szCs w:val="20"/>
                <w:color w:val="auto"/>
              </w:rPr>
            </w:pPr>
            <w:r>
              <w:rPr>
                <w:rFonts w:ascii="Arial" w:cs="Arial" w:eastAsia="Arial" w:hAnsi="Arial"/>
                <w:sz w:val="16"/>
                <w:szCs w:val="16"/>
                <w:color w:val="auto"/>
              </w:rPr>
              <w:t>13a-14(a) and 15d-14(a), as adopted pursuant to Section 302 of the</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190"/>
        </w:trPr>
        <w:tc>
          <w:tcPr>
            <w:tcW w:w="860" w:type="dxa"/>
            <w:vAlign w:val="bottom"/>
            <w:gridSpan w:val="3"/>
          </w:tcPr>
          <w:p>
            <w:pPr>
              <w:spacing w:after="0" w:line="190" w:lineRule="exact"/>
              <w:rPr>
                <w:rFonts w:ascii="Arial" w:cs="Arial" w:eastAsia="Arial" w:hAnsi="Arial"/>
                <w:sz w:val="18"/>
                <w:szCs w:val="18"/>
                <w:color w:val="0000FF"/>
              </w:rPr>
            </w:pPr>
            <w:hyperlink w:anchor="page22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620" w:type="dxa"/>
            <w:vAlign w:val="bottom"/>
          </w:tcPr>
          <w:p>
            <w:pPr>
              <w:ind w:left="180"/>
              <w:spacing w:after="0" w:line="190" w:lineRule="exact"/>
              <w:rPr>
                <w:sz w:val="20"/>
                <w:szCs w:val="20"/>
                <w:color w:val="auto"/>
              </w:rPr>
            </w:pPr>
            <w:r>
              <w:rPr>
                <w:rFonts w:ascii="Arial" w:cs="Arial" w:eastAsia="Arial" w:hAnsi="Arial"/>
                <w:sz w:val="18"/>
                <w:szCs w:val="18"/>
                <w:color w:val="auto"/>
                <w:w w:val="98"/>
              </w:rPr>
              <w:t>Certification of the Chief Executive Officer and Chief Financial Officer</w:t>
            </w:r>
          </w:p>
        </w:tc>
      </w:tr>
      <w:tr>
        <w:trPr>
          <w:trHeight w:val="142"/>
        </w:trPr>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40" w:type="dxa"/>
            <w:vAlign w:val="bottom"/>
          </w:tcPr>
          <w:p>
            <w:pPr>
              <w:spacing w:after="0"/>
              <w:rPr>
                <w:sz w:val="12"/>
                <w:szCs w:val="12"/>
                <w:color w:val="auto"/>
              </w:rPr>
            </w:pPr>
          </w:p>
        </w:tc>
        <w:tc>
          <w:tcPr>
            <w:tcW w:w="5620" w:type="dxa"/>
            <w:vAlign w:val="bottom"/>
          </w:tcPr>
          <w:p>
            <w:pPr>
              <w:ind w:left="180"/>
              <w:spacing w:after="0" w:line="142" w:lineRule="exact"/>
              <w:rPr>
                <w:sz w:val="20"/>
                <w:szCs w:val="20"/>
                <w:color w:val="auto"/>
              </w:rPr>
            </w:pPr>
            <w:r>
              <w:rPr>
                <w:rFonts w:ascii="Arial" w:cs="Arial" w:eastAsia="Arial" w:hAnsi="Arial"/>
                <w:sz w:val="16"/>
                <w:szCs w:val="16"/>
                <w:color w:val="auto"/>
              </w:rPr>
              <w:t>pursuant to 18 U.S.C. Section 1350, as adopted pursuant to Section 906 of</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the Sarbanes-Oxley Act 2002.</w:t>
            </w:r>
          </w:p>
        </w:tc>
      </w:tr>
      <w:tr>
        <w:trPr>
          <w:trHeight w:val="228"/>
        </w:trPr>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20" w:type="dxa"/>
            <w:vAlign w:val="bottom"/>
          </w:tcPr>
          <w:p>
            <w:pPr>
              <w:ind w:left="180"/>
              <w:spacing w:after="0"/>
              <w:rPr>
                <w:sz w:val="20"/>
                <w:szCs w:val="20"/>
                <w:color w:val="auto"/>
              </w:rPr>
            </w:pPr>
            <w:r>
              <w:rPr>
                <w:rFonts w:ascii="Arial" w:cs="Arial" w:eastAsia="Arial" w:hAnsi="Arial"/>
                <w:sz w:val="18"/>
                <w:szCs w:val="18"/>
                <w:color w:val="auto"/>
                <w:w w:val="91"/>
              </w:rPr>
              <w:t>XBRL Instance Document - the Instance Document does not appear in the</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w w:val="92"/>
              </w:rPr>
              <w:t>interactive data file because its XBRL tags are embedded within the Inline</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20" w:type="dxa"/>
            <w:vAlign w:val="bottom"/>
          </w:tcPr>
          <w:p>
            <w:pPr>
              <w:ind w:left="180"/>
              <w:spacing w:after="0"/>
              <w:rPr>
                <w:sz w:val="20"/>
                <w:szCs w:val="20"/>
                <w:color w:val="auto"/>
              </w:rPr>
            </w:pPr>
            <w:r>
              <w:rPr>
                <w:rFonts w:ascii="Arial" w:cs="Arial" w:eastAsia="Arial" w:hAnsi="Arial"/>
                <w:sz w:val="18"/>
                <w:szCs w:val="18"/>
                <w:color w:val="auto"/>
              </w:rPr>
              <w:t>XBRL Document.</w:t>
            </w:r>
          </w:p>
        </w:tc>
      </w:tr>
      <w:tr>
        <w:trPr>
          <w:trHeight w:val="297"/>
        </w:trPr>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620" w:type="dxa"/>
            <w:vAlign w:val="bottom"/>
          </w:tcPr>
          <w:p>
            <w:pPr>
              <w:ind w:left="180"/>
              <w:spacing w:after="0"/>
              <w:rPr>
                <w:sz w:val="20"/>
                <w:szCs w:val="20"/>
                <w:color w:val="auto"/>
              </w:rPr>
            </w:pPr>
            <w:r>
              <w:rPr>
                <w:rFonts w:ascii="Arial" w:cs="Arial" w:eastAsia="Arial" w:hAnsi="Arial"/>
                <w:sz w:val="18"/>
                <w:szCs w:val="18"/>
                <w:color w:val="auto"/>
              </w:rPr>
              <w:t>XBRL Taxonomy Schema Document.</w:t>
            </w: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6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62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6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62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3" w:lineRule="exact"/>
        <w:rPr>
          <w:sz w:val="20"/>
          <w:szCs w:val="20"/>
          <w:color w:val="auto"/>
        </w:rPr>
      </w:pPr>
    </w:p>
    <w:p>
      <w:pPr>
        <w:sectPr>
          <w:pgSz w:w="11900" w:h="16838" w:orient="portrait"/>
          <w:cols w:equalWidth="0" w:num="2">
            <w:col w:w="9060" w:space="720"/>
            <w:col w:w="1400"/>
          </w:cols>
          <w:pgMar w:left="240" w:top="121" w:right="479" w:bottom="1440" w:gutter="0" w:footer="0" w:header="0"/>
          <w:type w:val="continuous"/>
        </w:sectPr>
      </w:pPr>
    </w:p>
    <w:p>
      <w:pPr>
        <w:ind w:left="400" w:right="280" w:hanging="392"/>
        <w:spacing w:after="0" w:line="224" w:lineRule="auto"/>
        <w:tabs>
          <w:tab w:leader="none" w:pos="368" w:val="left"/>
        </w:tabs>
        <w:numPr>
          <w:ilvl w:val="0"/>
          <w:numId w:val="50"/>
        </w:numPr>
        <w:rPr>
          <w:rFonts w:ascii="MS PGothic" w:cs="MS PGothic" w:eastAsia="MS PGothic" w:hAnsi="MS PGothic"/>
          <w:sz w:val="18"/>
          <w:szCs w:val="18"/>
          <w:color w:val="auto"/>
        </w:rPr>
      </w:pPr>
      <w:r>
        <w:rPr>
          <w:rFonts w:ascii="Arial" w:cs="Arial" w:eastAsia="Arial" w:hAnsi="Arial"/>
          <w:sz w:val="18"/>
          <w:szCs w:val="18"/>
          <w:color w:val="auto"/>
        </w:rPr>
        <w:t xml:space="preserve">The certifications furnished in Exhibit 32.1 hereto are deemed to accompany this </w:t>
      </w:r>
      <w:r>
        <w:rPr>
          <w:rFonts w:ascii="Arial" w:cs="Arial" w:eastAsia="Arial" w:hAnsi="Arial"/>
          <w:sz w:val="18"/>
          <w:szCs w:val="18"/>
          <w:color w:val="231F20"/>
        </w:rPr>
        <w:t>Annual Report on Form 10-K</w:t>
      </w:r>
      <w:r>
        <w:rPr>
          <w:rFonts w:ascii="Arial" w:cs="Arial" w:eastAsia="Arial" w:hAnsi="Arial"/>
          <w:sz w:val="18"/>
          <w:szCs w:val="18"/>
          <w:color w:val="auto"/>
        </w:rPr>
        <w:t xml:space="preserve"> and will not be deemed “filed” for purposes of Section 18 of the Securities Exchange Act of 1934, as amended, except to the extent that the registrant specifically incorporates it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Item 16. Form 10-K Summary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240" w:top="121" w:right="47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Section 13 or 15(d) of the Securities Exchange Act of 1934, as amended, the Registrant has duly caused this report 10-K to be signed on its behalf by the undersigned, thereunto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940" w:type="dxa"/>
            <w:vAlign w:val="bottom"/>
            <w:gridSpan w:val="2"/>
          </w:tcPr>
          <w:p>
            <w:pPr>
              <w:ind w:left="1260"/>
              <w:spacing w:after="0"/>
              <w:rPr>
                <w:sz w:val="20"/>
                <w:szCs w:val="20"/>
                <w:color w:val="auto"/>
              </w:rPr>
            </w:pPr>
            <w:r>
              <w:rPr>
                <w:rFonts w:ascii="Arial" w:cs="Arial" w:eastAsia="Arial" w:hAnsi="Arial"/>
                <w:sz w:val="18"/>
                <w:szCs w:val="18"/>
                <w:color w:val="auto"/>
              </w:rPr>
              <w:t>BANDWIDTH INC.</w:t>
            </w:r>
          </w:p>
        </w:tc>
      </w:tr>
      <w:tr>
        <w:trPr>
          <w:trHeight w:val="54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David A. Morken</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David A. Morken</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Jeffrey A. Hoffman</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Jeffrey A. Hoffman</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John C. Murdock</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John C. Murdock</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Brian D. Bailey</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Brian D. Bailey</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Lukas M. Roush</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Lukas M. Roush</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0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420"/>
              <w:spacing w:after="0"/>
              <w:rPr>
                <w:sz w:val="20"/>
                <w:szCs w:val="20"/>
                <w:color w:val="auto"/>
              </w:rPr>
            </w:pPr>
            <w:r>
              <w:rPr>
                <w:rFonts w:ascii="Arial" w:cs="Arial" w:eastAsia="Arial" w:hAnsi="Arial"/>
                <w:sz w:val="18"/>
                <w:szCs w:val="18"/>
                <w:color w:val="auto"/>
              </w:rPr>
              <w:t>February 15, 2019</w:t>
            </w:r>
          </w:p>
        </w:tc>
        <w:tc>
          <w:tcPr>
            <w:tcW w:w="1780" w:type="dxa"/>
            <w:vAlign w:val="bottom"/>
          </w:tcPr>
          <w:p>
            <w:pPr>
              <w:ind w:left="12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Douglas A. Suriano</w:t>
            </w:r>
          </w:p>
        </w:tc>
      </w:tr>
      <w:tr>
        <w:trPr>
          <w:trHeight w:val="27"/>
        </w:trPr>
        <w:tc>
          <w:tcPr>
            <w:tcW w:w="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Douglas A. Suriano</w:t>
            </w:r>
          </w:p>
        </w:tc>
      </w:tr>
      <w:tr>
        <w:trPr>
          <w:trHeight w:val="270"/>
        </w:trPr>
        <w:tc>
          <w:tcPr>
            <w:tcW w:w="8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240" w:top="121" w:right="539" w:bottom="1440"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3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9434830</wp:posOffset>
            </wp:positionV>
            <wp:extent cx="678751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678751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518160</wp:posOffset>
            </wp:positionV>
            <wp:extent cx="6787515" cy="8938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333333"/>
        </w:rPr>
        <w:t>Exhibit 21.1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 of Subsidiaries of Bandwidth Inc.</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Bandwidth.com CLEC, LLC (Delaware, United States)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Broadband, LLC (Delaware, United States)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IP Spectrum Solutions, LLC (Delaware, United States)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UK Bandwidth Limited (England and Wales)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NL Bandwidth B.V. (Netherlands)</w:t>
      </w:r>
    </w:p>
    <w:p>
      <w:pPr>
        <w:sectPr>
          <w:pgSz w:w="11900" w:h="16838" w:orient="portrait"/>
          <w:cols w:equalWidth="0" w:num="1">
            <w:col w:w="11420"/>
          </w:cols>
          <w:pgMar w:left="240" w:top="116"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333333"/>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333333"/>
        </w:rPr>
        <w:t>Consent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333333"/>
        </w:rPr>
        <w:t>We consent to the incorporation by reference in the following Registration Statements:</w:t>
      </w:r>
    </w:p>
    <w:p>
      <w:pPr>
        <w:spacing w:after="0" w:line="10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Registration Statement (Form S-3 No. 333-228939) of Bandwidth Inc., and</w:t>
      </w:r>
    </w:p>
    <w:p>
      <w:pPr>
        <w:spacing w:after="0" w:line="107"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51"/>
        </w:numPr>
        <w:rPr>
          <w:rFonts w:ascii="Arial" w:cs="Arial" w:eastAsia="Arial" w:hAnsi="Arial"/>
          <w:sz w:val="20"/>
          <w:szCs w:val="20"/>
          <w:color w:val="333333"/>
        </w:rPr>
      </w:pPr>
      <w:r>
        <w:rPr>
          <w:rFonts w:ascii="Arial" w:cs="Arial" w:eastAsia="Arial" w:hAnsi="Arial"/>
          <w:sz w:val="20"/>
          <w:szCs w:val="20"/>
          <w:color w:val="333333"/>
        </w:rPr>
        <w:t>Registration Statement (Form S-8 No. 333-222167) pertaining to the Bandwidth Inc. 2017 Incentive Award Plan, the Bandwidth.com, Inc. 2010 Equity Compensation Plan, and the Bandwidth.com, Inc. 2001 Stock Option Plan;</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20"/>
          <w:szCs w:val="20"/>
          <w:color w:val="333333"/>
        </w:rPr>
        <w:t>of our report dated February 15, 2019, with respect to the consolidated financial statements of Bandwidth Inc. included in this Annual Report (Form 10-K) of Bandwidth Inc. for the year ended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333333"/>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333333"/>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333333"/>
        </w:rPr>
        <w:t>February 15, 2019</w:t>
      </w:r>
    </w:p>
    <w:p>
      <w:pPr>
        <w:sectPr>
          <w:pgSz w:w="11900" w:h="16838" w:orient="portrait"/>
          <w:cols w:equalWidth="0" w:num="1">
            <w:col w:w="11420"/>
          </w:cols>
          <w:pgMar w:left="240" w:top="118"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6"/>
          <w:szCs w:val="16"/>
          <w:b w:val="1"/>
          <w:bCs w:val="1"/>
          <w:color w:val="auto"/>
        </w:rPr>
        <w:t>Exhibit 31.1</w:t>
      </w:r>
    </w:p>
    <w:p>
      <w:pPr>
        <w:spacing w:after="0" w:line="185"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David A. Morken, certify that:</w:t>
      </w:r>
    </w:p>
    <w:p>
      <w:pPr>
        <w:spacing w:after="0" w:line="10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Bandwidth Inc.;</w:t>
      </w:r>
    </w:p>
    <w:p>
      <w:pPr>
        <w:spacing w:after="0" w:line="6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20"/>
          <w:szCs w:val="20"/>
          <w:color w:val="auto"/>
        </w:rPr>
      </w:pPr>
    </w:p>
    <w:p>
      <w:pPr>
        <w:ind w:left="660" w:right="20" w:hanging="328"/>
        <w:spacing w:after="0" w:line="343"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jc w:val="both"/>
        <w:ind w:left="1300" w:hanging="320"/>
        <w:spacing w:after="0" w:line="269"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2019</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36106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6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Chief Executive Officer and Chairman</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420"/>
          </w:cols>
          <w:pgMar w:left="240" w:top="936"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6"/>
          <w:szCs w:val="16"/>
          <w:b w:val="1"/>
          <w:bCs w:val="1"/>
          <w:color w:val="auto"/>
        </w:rPr>
        <w:t>Exhibit 31.2</w:t>
      </w:r>
    </w:p>
    <w:p>
      <w:pPr>
        <w:spacing w:after="0" w:line="185" w:lineRule="exact"/>
        <w:rPr>
          <w:sz w:val="20"/>
          <w:szCs w:val="20"/>
          <w:color w:val="auto"/>
        </w:rPr>
      </w:pPr>
    </w:p>
    <w:p>
      <w:pPr>
        <w:jc w:val="center"/>
        <w:spacing w:after="0" w:line="248" w:lineRule="auto"/>
        <w:rPr>
          <w:sz w:val="20"/>
          <w:szCs w:val="20"/>
          <w:color w:val="auto"/>
        </w:rPr>
      </w:pPr>
      <w:r>
        <w:rPr>
          <w:rFonts w:ascii="Arial" w:cs="Arial" w:eastAsia="Arial" w:hAnsi="Arial"/>
          <w:sz w:val="20"/>
          <w:szCs w:val="20"/>
          <w:b w:val="1"/>
          <w:bCs w:val="1"/>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 Jeffrey A. Hoffman certify that:</w:t>
      </w:r>
    </w:p>
    <w:p>
      <w:pPr>
        <w:spacing w:after="0" w:line="10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Bandwidth Inc.;</w:t>
      </w:r>
    </w:p>
    <w:p>
      <w:pPr>
        <w:spacing w:after="0" w:line="67"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20"/>
          <w:szCs w:val="20"/>
          <w:color w:val="auto"/>
        </w:rPr>
      </w:pPr>
    </w:p>
    <w:p>
      <w:pPr>
        <w:ind w:left="660" w:right="20" w:hanging="328"/>
        <w:spacing w:after="0" w:line="343"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Arial" w:cs="Arial" w:eastAsia="Arial" w:hAnsi="Arial"/>
          <w:sz w:val="20"/>
          <w:szCs w:val="20"/>
          <w:color w:val="auto"/>
        </w:rPr>
      </w:pPr>
    </w:p>
    <w:p>
      <w:pPr>
        <w:jc w:val="both"/>
        <w:ind w:left="1300" w:hanging="320"/>
        <w:spacing w:after="0" w:line="291" w:lineRule="auto"/>
        <w:tabs>
          <w:tab w:leader="none" w:pos="1289"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 w:lineRule="exact"/>
        <w:rPr>
          <w:rFonts w:ascii="Arial" w:cs="Arial" w:eastAsia="Arial" w:hAnsi="Arial"/>
          <w:sz w:val="18"/>
          <w:szCs w:val="18"/>
          <w:color w:val="auto"/>
        </w:rPr>
      </w:pPr>
    </w:p>
    <w:p>
      <w:pPr>
        <w:ind w:left="1300" w:right="140" w:hanging="320"/>
        <w:spacing w:after="0" w:line="269" w:lineRule="auto"/>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9"/>
          <w:szCs w:val="19"/>
          <w:color w:val="auto"/>
        </w:rPr>
      </w:pPr>
    </w:p>
    <w:p>
      <w:pPr>
        <w:jc w:val="both"/>
        <w:ind w:left="1300" w:hanging="320"/>
        <w:spacing w:after="0" w:line="250" w:lineRule="auto"/>
        <w:tabs>
          <w:tab w:leader="none" w:pos="1289"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20"/>
          <w:szCs w:val="20"/>
          <w:color w:val="auto"/>
        </w:rPr>
      </w:pPr>
    </w:p>
    <w:p>
      <w:pPr>
        <w:jc w:val="both"/>
        <w:ind w:left="1300" w:hanging="320"/>
        <w:spacing w:after="0" w:line="269" w:lineRule="auto"/>
        <w:tabs>
          <w:tab w:leader="none" w:pos="1300" w:val="left"/>
        </w:tabs>
        <w:numPr>
          <w:ilvl w:val="1"/>
          <w:numId w:val="5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9"/>
          <w:szCs w:val="19"/>
          <w:color w:val="auto"/>
        </w:rPr>
      </w:pPr>
    </w:p>
    <w:p>
      <w:pPr>
        <w:jc w:val="both"/>
        <w:ind w:left="660" w:hanging="328"/>
        <w:spacing w:after="0" w:line="250" w:lineRule="auto"/>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2019</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6106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(Principal Accounting and Financial Officer)</w:t>
      </w:r>
    </w:p>
    <w:p>
      <w:pPr>
        <w:sectPr>
          <w:pgSz w:w="11900" w:h="16838" w:orient="portrait"/>
          <w:cols w:equalWidth="0" w:num="1">
            <w:col w:w="11420"/>
          </w:cols>
          <w:pgMar w:left="240" w:top="936"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6"/>
          <w:szCs w:val="16"/>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300" w:lineRule="exact"/>
        <w:rPr>
          <w:sz w:val="20"/>
          <w:szCs w:val="20"/>
          <w:color w:val="auto"/>
        </w:rPr>
      </w:pPr>
    </w:p>
    <w:p>
      <w:pPr>
        <w:ind w:left="660" w:hanging="328"/>
        <w:spacing w:after="0" w:line="31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Annual Report on Form 10-K for the full year ended December 31, 2018, to which this Certification is attached as Exhibit 32.1 (the “Periodic Report”), fully complies with the requirements of Section 13(a) or Section 15(d) of the Exchange Act; and</w:t>
      </w:r>
    </w:p>
    <w:p>
      <w:pPr>
        <w:ind w:left="660" w:hanging="328"/>
        <w:spacing w:after="0" w:line="260" w:lineRule="auto"/>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information contained in the Periodic Report fairly presents, in all material respects, the financial condition and results of operations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2019</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10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A. Morken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Executive Officer and Chairman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Executive Officer)</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10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Jeffrey A. Hoffman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Chief Financial Officer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(Principal Accounting and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lowerRoman"/>
      <w:start w:val="4"/>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1"/>
      <w:numFmt w:val="decimal"/>
      <w:start w:val="1"/>
    </w:lvl>
    <w:lvl w:ilvl="1">
      <w:lvlJc w:val="left"/>
      <w:lvlText w:val="(%2)"/>
      <w:numFmt w:val="decimal"/>
      <w:start w:val="1"/>
    </w:lvl>
  </w:abstractNum>
  <w:abstractNum w:abstractNumId="48">
    <w:nsid w:val="79A1DEAA"/>
    <w:multiLevelType w:val="hybridMultilevel"/>
    <w:lvl w:ilvl="0">
      <w:lvlJc w:val="left"/>
      <w:lvlText w:val="%1."/>
      <w:numFmt w:val="decimal"/>
      <w:start w:val="12"/>
    </w:lvl>
    <w:lvl w:ilvl="1">
      <w:lvlJc w:val="left"/>
      <w:lvlText w:val="%2"/>
      <w:numFmt w:val="decimal"/>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27" Type="http://schemas.openxmlformats.org/officeDocument/2006/relationships/hyperlink" Target="http://www.sec.gov/Archives/edgar/data/1514416/000119312517309873/d416018dex21.htm" TargetMode="External"/><Relationship Id="rId28" Type="http://schemas.openxmlformats.org/officeDocument/2006/relationships/hyperlink" Target="http://www.sec.gov/Archives/edgar/data/1514416/000151441617000006/a10qq32017exhibit31.htm" TargetMode="External"/><Relationship Id="rId29" Type="http://schemas.openxmlformats.org/officeDocument/2006/relationships/hyperlink" Target="http://www.sec.gov/Archives/edgar/data/1514416/000151441617000006/a10qq32017exhibit32.htm" TargetMode="External"/><Relationship Id="rId30" Type="http://schemas.openxmlformats.org/officeDocument/2006/relationships/hyperlink" Target="http://www.sec.gov/Archives/edgar/data/1514416/000119312517309873/d416018dex42.htm" TargetMode="External"/><Relationship Id="rId31" Type="http://schemas.openxmlformats.org/officeDocument/2006/relationships/hyperlink" Target="http://www.sec.gov/Archives/edgar/data/1514416/000119312517309873/d416018dex43.htm" TargetMode="External"/><Relationship Id="rId32" Type="http://schemas.openxmlformats.org/officeDocument/2006/relationships/hyperlink" Target="http://www.sec.gov/Archives/edgar/data/1514416/000119312517309873/d416018dex101.htm" TargetMode="External"/><Relationship Id="rId33" Type="http://schemas.openxmlformats.org/officeDocument/2006/relationships/hyperlink" Target="http://www.sec.gov/Archives/edgar/data/1514416/000119312517325086/d416018dex102.htm" TargetMode="External"/><Relationship Id="rId34" Type="http://schemas.openxmlformats.org/officeDocument/2006/relationships/hyperlink" Target="http://www.sec.gov/Archives/edgar/data/1514416/000119312517309873/d416018dex103.htm" TargetMode="External"/><Relationship Id="rId35" Type="http://schemas.openxmlformats.org/officeDocument/2006/relationships/hyperlink" Target="http://www.sec.gov/Archives/edgar/data/1514416/000119312517309873/d416018dex104.htm" TargetMode="External"/><Relationship Id="rId36" Type="http://schemas.openxmlformats.org/officeDocument/2006/relationships/hyperlink" Target="http://www.sec.gov/Archives/edgar/data/1514416/000119312517309873/d416018dex105.htm" TargetMode="External"/><Relationship Id="rId37" Type="http://schemas.openxmlformats.org/officeDocument/2006/relationships/hyperlink" Target="http://www.sec.gov/Archives/edgar/data/1514416/000119312517309873/d416018dex106.htm" TargetMode="External"/><Relationship Id="rId38" Type="http://schemas.openxmlformats.org/officeDocument/2006/relationships/hyperlink" Target="http://www.sec.gov/Archives/edgar/data/1514416/000119312517309873/d416018dex107.htm" TargetMode="External"/><Relationship Id="rId39" Type="http://schemas.openxmlformats.org/officeDocument/2006/relationships/hyperlink" Target="http://www.sec.gov/Archives/edgar/data/1514416/000119312517309873/d416018dex108.htm" TargetMode="External"/><Relationship Id="rId40" Type="http://schemas.openxmlformats.org/officeDocument/2006/relationships/hyperlink" Target="http://www.sec.gov/Archives/edgar/data/1514416/000119312517309873/d416018dex109.htm" TargetMode="External"/><Relationship Id="rId41" Type="http://schemas.openxmlformats.org/officeDocument/2006/relationships/hyperlink" Target="http://www.sec.gov/Archives/edgar/data/1514416/000119312517309873/d416018dex1010.htm" TargetMode="External"/><Relationship Id="rId42" Type="http://schemas.openxmlformats.org/officeDocument/2006/relationships/hyperlink" Target="http://www.sec.gov/Archives/edgar/data/1514416/000119312517309873/d416018dex1011.htm" TargetMode="External"/><Relationship Id="rId43" Type="http://schemas.openxmlformats.org/officeDocument/2006/relationships/hyperlink" Target="http://www.sec.gov/Archives/edgar/data/1514416/000119312517309873/d416018dex1012.htm" TargetMode="External"/><Relationship Id="rId44" Type="http://schemas.openxmlformats.org/officeDocument/2006/relationships/hyperlink" Target="http://www.sec.gov/Archives/edgar/data/1514416/000119312517309873/d416018dex1013.htm" TargetMode="External"/><Relationship Id="rId45" Type="http://schemas.openxmlformats.org/officeDocument/2006/relationships/hyperlink" Target="http://www.sec.gov/Archives/edgar/data/1514416/000119312517309873/d416018dex1014.htm" TargetMode="External"/><Relationship Id="rId46" Type="http://schemas.openxmlformats.org/officeDocument/2006/relationships/hyperlink" Target="http://www.sec.gov/Archives/edgar/data/1514416/000119312517309873/d416018dex1015.htm" TargetMode="External"/><Relationship Id="rId47" Type="http://schemas.openxmlformats.org/officeDocument/2006/relationships/hyperlink" Target="http://www.sec.gov/Archives/edgar/data/1514416/000119312517309873/d416018dex1016.htm" TargetMode="External"/><Relationship Id="rId48" Type="http://schemas.openxmlformats.org/officeDocument/2006/relationships/hyperlink" Target="http://www.sec.gov/Archives/edgar/data/1514416/000119312517309873/d416018dex1017.htm" TargetMode="External"/><Relationship Id="rId49" Type="http://schemas.openxmlformats.org/officeDocument/2006/relationships/hyperlink" Target="http://www.sec.gov/Archives/edgar/data/1514416/000119312517309873/d416018dex1018.htm" TargetMode="External"/><Relationship Id="rId50" Type="http://schemas.openxmlformats.org/officeDocument/2006/relationships/hyperlink" Target="http://www.sec.gov/Archives/edgar/data/1514416/000119312517309873/d416018dex1019.htm" TargetMode="External"/><Relationship Id="rId51" Type="http://schemas.openxmlformats.org/officeDocument/2006/relationships/hyperlink" Target="http://www.sec.gov/Archives/edgar/data/1514416/000119312517323803/d416018dex1020.htm" TargetMode="External"/><Relationship Id="rId52" Type="http://schemas.openxmlformats.org/officeDocument/2006/relationships/hyperlink" Target="http://www.sec.gov/Archives/edgar/data/1514416/000119312517322087/d416018dex1021.htm" TargetMode="External"/><Relationship Id="rId53" Type="http://schemas.openxmlformats.org/officeDocument/2006/relationships/hyperlink" Target="http://www.sec.gov/Archives/edgar/data/1514416/000151441618000003/exhibit1022bandwidth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2019-12-28T16:34:36Z</dcterms:created>
  <dcterms:modified xsi:type="dcterms:W3CDTF">2019-12-28T16:34:36Z</dcterms:modified>
</cp:coreProperties>
</file>