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4068.xml.htm"/>
      <w:bookmarkStart w:id="1" w:name="kswkform4_17882940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Ross Kade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Information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44,442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47,834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49,687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48.8226</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48,742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49.6021</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48,071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$48.29 to $49.28.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$49.33 to $49.6351.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August 28, 2023, the Reporting Person was granted 5,353 Restricted Stock Units, one third of which vested on the first anniversary of the date of grant and the remaining shares vest in eight quarterly installments beginning on November 28,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November 28, 2023, the Reporting Person was granted 40,697 Restricted Stock Units, one third of which vested on the first anniversary of the date of grant and the remaining shares vest in eight equal quarterly installments beginning on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November 28, 2024, the Reporting Person was granted 22,238 Restricted Stock Units, one third of which vested on the first anniversary of the date of grant and the remaining shares vest in eight equal quarterly installments beginning on February 28,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Kade Ross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7759"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956</Words>
  <Characters>4984</Characters>
  <CharactersWithSpaces>5798</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