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0001514416</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Bandwidth.com,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Bandwidth.com,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27513</w:t>
      </w:r>
      <w:r>
        <w:rPr>
          <w:sz w:val="20"/>
          <w:szCs w:val="20"/>
          <w:color w:val="auto"/>
        </w:rPr>
        <w:tab/>
      </w:r>
      <w:r>
        <w:rPr>
          <w:rFonts w:ascii="Arial" w:cs="Arial" w:eastAsia="Arial" w:hAnsi="Arial"/>
          <w:sz w:val="22"/>
          <w:szCs w:val="22"/>
          <w:color w:val="auto"/>
        </w:rPr>
        <w:t>919-439-4171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Kaestner</w:t>
      </w:r>
      <w:r>
        <w:rPr>
          <w:sz w:val="20"/>
          <w:szCs w:val="20"/>
          <w:color w:val="auto"/>
        </w:rPr>
        <w:tab/>
      </w:r>
      <w:r>
        <w:rPr>
          <w:rFonts w:ascii="Arial" w:cs="Arial" w:eastAsia="Arial" w:hAnsi="Arial"/>
          <w:sz w:val="22"/>
          <w:szCs w:val="22"/>
          <w:color w:val="auto"/>
        </w:rPr>
        <w:t>Henry</w:t>
      </w:r>
      <w:r>
        <w:rPr>
          <w:sz w:val="20"/>
          <w:szCs w:val="20"/>
          <w:color w:val="auto"/>
        </w:rPr>
        <w:tab/>
      </w:r>
      <w:r>
        <w:rPr>
          <w:rFonts w:ascii="Arial" w:cs="Arial" w:eastAsia="Arial" w:hAnsi="Arial"/>
          <w:sz w:val="19"/>
          <w:szCs w:val="19"/>
          <w:color w:val="auto"/>
        </w:rPr>
        <w:t>R.</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4"/>
          <w:szCs w:val="24"/>
          <w:color w:val="auto"/>
        </w:rPr>
      </w:pPr>
    </w:p>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Morken</w:t>
      </w:r>
      <w:r>
        <w:rPr>
          <w:sz w:val="20"/>
          <w:szCs w:val="20"/>
          <w:color w:val="auto"/>
        </w:rPr>
        <w:tab/>
      </w:r>
      <w:r>
        <w:rPr>
          <w:rFonts w:ascii="Arial" w:cs="Arial" w:eastAsia="Arial" w:hAnsi="Arial"/>
          <w:sz w:val="22"/>
          <w:szCs w:val="22"/>
          <w:color w:val="auto"/>
        </w:rPr>
        <w:t>David</w:t>
      </w:r>
      <w:r>
        <w:rPr>
          <w:sz w:val="20"/>
          <w:szCs w:val="20"/>
          <w:color w:val="auto"/>
        </w:rPr>
        <w:tab/>
      </w:r>
      <w:r>
        <w:rPr>
          <w:rFonts w:ascii="Arial" w:cs="Arial" w:eastAsia="Arial" w:hAnsi="Arial"/>
          <w:sz w:val="22"/>
          <w:szCs w:val="22"/>
          <w:color w:val="auto"/>
        </w:rPr>
        <w:t>A.</w:t>
      </w:r>
    </w:p>
    <w:p>
      <w:pPr>
        <w:spacing w:after="0" w:line="38" w:lineRule="exact"/>
        <w:rPr>
          <w:sz w:val="24"/>
          <w:szCs w:val="24"/>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4"/>
          <w:szCs w:val="24"/>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4"/>
          <w:szCs w:val="24"/>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4"/>
          <w:szCs w:val="24"/>
          <w:color w:val="auto"/>
        </w:r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Murdock</w:t>
      </w:r>
      <w:r>
        <w:rPr>
          <w:sz w:val="20"/>
          <w:szCs w:val="20"/>
          <w:color w:val="auto"/>
        </w:rPr>
        <w:tab/>
      </w:r>
      <w:r>
        <w:rPr>
          <w:rFonts w:ascii="Arial" w:cs="Arial" w:eastAsia="Arial" w:hAnsi="Arial"/>
          <w:sz w:val="22"/>
          <w:szCs w:val="22"/>
          <w:color w:val="auto"/>
        </w:rPr>
        <w:t>John</w:t>
      </w:r>
      <w:r>
        <w:rPr>
          <w:sz w:val="20"/>
          <w:szCs w:val="20"/>
          <w:color w:val="auto"/>
        </w:rPr>
        <w:tab/>
      </w:r>
      <w:r>
        <w:rPr>
          <w:rFonts w:ascii="Arial" w:cs="Arial" w:eastAsia="Arial" w:hAnsi="Arial"/>
          <w:sz w:val="19"/>
          <w:szCs w:val="19"/>
          <w:color w:val="auto"/>
        </w:rPr>
        <w:t>C.</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Chuang</w:t>
      </w:r>
      <w:r>
        <w:rPr>
          <w:sz w:val="20"/>
          <w:szCs w:val="20"/>
          <w:color w:val="auto"/>
        </w:rPr>
        <w:tab/>
      </w:r>
      <w:r>
        <w:rPr>
          <w:rFonts w:ascii="Arial" w:cs="Arial" w:eastAsia="Arial" w:hAnsi="Arial"/>
          <w:sz w:val="22"/>
          <w:szCs w:val="22"/>
          <w:color w:val="auto"/>
        </w:rPr>
        <w:t>Chris</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48" w:lineRule="exact"/>
        <w:rPr>
          <w:sz w:val="20"/>
          <w:szCs w:val="20"/>
          <w:color w:val="auto"/>
        </w:rPr>
      </w:pPr>
    </w:p>
    <w:p>
      <w:pPr>
        <w:jc w:val="right"/>
        <w:ind w:right="1039"/>
        <w:spacing w:after="0"/>
        <w:tabs>
          <w:tab w:leader="none" w:pos="4640" w:val="left"/>
          <w:tab w:leader="none" w:pos="134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Matton</w:t>
      </w:r>
      <w:r>
        <w:rPr>
          <w:sz w:val="20"/>
          <w:szCs w:val="20"/>
          <w:color w:val="auto"/>
        </w:rPr>
        <w:tab/>
      </w:r>
      <w:r>
        <w:rPr>
          <w:rFonts w:ascii="Arial" w:cs="Arial" w:eastAsia="Arial" w:hAnsi="Arial"/>
          <w:sz w:val="22"/>
          <w:szCs w:val="22"/>
          <w:color w:val="auto"/>
        </w:rPr>
        <w:t>W.</w:t>
      </w:r>
      <w:r>
        <w:rPr>
          <w:sz w:val="20"/>
          <w:szCs w:val="20"/>
          <w:color w:val="auto"/>
        </w:rPr>
        <w:tab/>
      </w:r>
      <w:r>
        <w:rPr>
          <w:rFonts w:ascii="Arial" w:cs="Arial" w:eastAsia="Arial" w:hAnsi="Arial"/>
          <w:sz w:val="19"/>
          <w:szCs w:val="19"/>
          <w:color w:val="auto"/>
        </w:rPr>
        <w:t>Christopher</w:t>
      </w:r>
    </w:p>
    <w:p>
      <w:pPr>
        <w:spacing w:after="0" w:line="38" w:lineRule="exact"/>
        <w:rPr>
          <w:sz w:val="20"/>
          <w:szCs w:val="20"/>
          <w:color w:val="auto"/>
        </w:rPr>
      </w:pPr>
    </w:p>
    <w:p>
      <w:pPr>
        <w:jc w:val="right"/>
        <w:ind w:right="4319"/>
        <w:spacing w:after="0"/>
        <w:tabs>
          <w:tab w:leader="none" w:pos="48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4001 Weston Parkway</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Cary</w:t>
      </w:r>
      <w:r>
        <w:rPr>
          <w:sz w:val="20"/>
          <w:szCs w:val="20"/>
          <w:color w:val="auto"/>
        </w:rPr>
        <w:tab/>
      </w:r>
      <w:r>
        <w:rPr>
          <w:rFonts w:ascii="Arial" w:cs="Arial" w:eastAsia="Arial" w:hAnsi="Arial"/>
          <w:sz w:val="22"/>
          <w:szCs w:val="22"/>
          <w:color w:val="auto"/>
        </w:rPr>
        <w:t>NORTH CAROLINA</w:t>
      </w:r>
      <w:r>
        <w:rPr>
          <w:sz w:val="20"/>
          <w:szCs w:val="20"/>
          <w:color w:val="auto"/>
        </w:rPr>
        <w:tab/>
      </w:r>
      <w:r>
        <w:rPr>
          <w:rFonts w:ascii="Arial" w:cs="Arial" w:eastAsia="Arial" w:hAnsi="Arial"/>
          <w:sz w:val="19"/>
          <w:szCs w:val="19"/>
          <w:color w:val="auto"/>
        </w:rPr>
        <w:t>27513</w:t>
      </w:r>
    </w:p>
    <w:p>
      <w:pPr>
        <w:spacing w:after="0" w:line="65" w:lineRule="exact"/>
        <w:rPr>
          <w:sz w:val="20"/>
          <w:szCs w:val="20"/>
          <w:color w:val="auto"/>
        </w:rPr>
      </w:pPr>
    </w:p>
    <w:p>
      <w:pPr>
        <w:ind w:left="60"/>
        <w:spacing w:after="0"/>
        <w:tabs>
          <w:tab w:leader="none" w:pos="3300" w:val="left"/>
          <w:tab w:leader="none" w:pos="424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w:t>
      </w:r>
      <w:r>
        <w:rPr>
          <w:sz w:val="20"/>
          <w:szCs w:val="20"/>
          <w:color w:val="auto"/>
        </w:rPr>
        <w:tab/>
      </w:r>
      <w:r>
        <w:rPr>
          <w:rFonts w:ascii="Arial" w:cs="Arial" w:eastAsia="Arial" w:hAnsi="Arial"/>
          <w:sz w:val="22"/>
          <w:szCs w:val="22"/>
          <w:color w:val="auto"/>
        </w:rPr>
        <w:t>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18" w:right="1440" w:bottom="0" w:gutter="0" w:footer="0" w:header="0"/>
        </w:sectPr>
      </w:pP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6279"/>
          </w:cols>
          <w:pgMar w:left="240" w:top="118" w:right="1440" w:bottom="0" w:gutter="0" w:footer="0" w:header="0"/>
          <w:type w:val="continuous"/>
        </w:sectPr>
      </w:pPr>
    </w:p>
    <w:bookmarkStart w:id="2" w:name="page3"/>
    <w:bookmarkEnd w:id="2"/>
    <w:p>
      <w:pPr>
        <w:ind w:left="460"/>
        <w:spacing w:after="0"/>
        <w:rPr>
          <w:sz w:val="20"/>
          <w:szCs w:val="20"/>
          <w:color w:val="auto"/>
        </w:rPr>
      </w:pPr>
      <w:r>
        <w:rPr>
          <w:rFonts w:ascii="Arial" w:cs="Arial" w:eastAsia="Arial" w:hAnsi="Arial"/>
          <w:sz w:val="22"/>
          <w:szCs w:val="22"/>
          <w:color w:val="auto"/>
        </w:rPr>
        <w:t>Electric Utilities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3540" w:type="dxa"/>
            <w:vAlign w:val="bottom"/>
            <w:gridSpan w:val="2"/>
          </w:tcPr>
          <w:p>
            <w:pPr>
              <w:spacing w:after="0"/>
              <w:rPr>
                <w:sz w:val="20"/>
                <w:szCs w:val="20"/>
                <w:color w:val="auto"/>
              </w:rPr>
            </w:pPr>
            <w:r>
              <w:rPr>
                <w:rFonts w:ascii="Arial" w:cs="Arial" w:eastAsia="Arial" w:hAnsi="Arial"/>
                <w:sz w:val="22"/>
                <w:szCs w:val="22"/>
                <w:color w:val="auto"/>
              </w:rPr>
              <w:t>Rule 504(b)(1) (not (i), (ii) or (iii))</w:t>
            </w:r>
          </w:p>
        </w:tc>
        <w:tc>
          <w:tcPr>
            <w:tcW w:w="2600" w:type="dxa"/>
            <w:vAlign w:val="bottom"/>
          </w:tcPr>
          <w:p>
            <w:pPr>
              <w:ind w:left="820"/>
              <w:spacing w:after="0"/>
              <w:rPr>
                <w:sz w:val="20"/>
                <w:szCs w:val="20"/>
                <w:color w:val="auto"/>
              </w:rPr>
            </w:pPr>
            <w:r>
              <w:rPr>
                <w:rFonts w:ascii="Arial" w:cs="Arial" w:eastAsia="Arial" w:hAnsi="Arial"/>
                <w:sz w:val="22"/>
                <w:szCs w:val="22"/>
                <w:color w:val="auto"/>
              </w:rPr>
              <w:t>Rule 505</w:t>
            </w:r>
          </w:p>
        </w:tc>
        <w:tc>
          <w:tcPr>
            <w:tcW w:w="1900" w:type="dxa"/>
            <w:vAlign w:val="bottom"/>
          </w:tcPr>
          <w:p>
            <w:pPr>
              <w:spacing w:after="0"/>
              <w:rPr>
                <w:sz w:val="23"/>
                <w:szCs w:val="23"/>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w:t>
            </w:r>
          </w:p>
        </w:tc>
        <w:tc>
          <w:tcPr>
            <w:tcW w:w="2600" w:type="dxa"/>
            <w:vAlign w:val="bottom"/>
          </w:tcPr>
          <w:p>
            <w:pPr>
              <w:ind w:left="540"/>
              <w:spacing w:after="0"/>
              <w:rPr>
                <w:sz w:val="20"/>
                <w:szCs w:val="20"/>
                <w:color w:val="auto"/>
              </w:rPr>
            </w:pPr>
            <w:r>
              <w:rPr>
                <w:rFonts w:ascii="Arial" w:cs="Arial" w:eastAsia="Arial" w:hAnsi="Arial"/>
                <w:sz w:val="22"/>
                <w:szCs w:val="22"/>
                <w:color w:val="auto"/>
              </w:rPr>
              <w:t>X Rule 506</w:t>
            </w:r>
          </w:p>
        </w:tc>
        <w:tc>
          <w:tcPr>
            <w:tcW w:w="1900" w:type="dxa"/>
            <w:vAlign w:val="bottom"/>
          </w:tcPr>
          <w:p>
            <w:pPr>
              <w:spacing w:after="0"/>
              <w:rPr>
                <w:sz w:val="24"/>
                <w:szCs w:val="24"/>
                <w:color w:val="auto"/>
              </w:rPr>
            </w:pP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rPr>
              <w:t>Securities Act Section 4(5)</w:t>
            </w:r>
          </w:p>
        </w:tc>
      </w:tr>
      <w:tr>
        <w:trPr>
          <w:trHeight w:val="297"/>
        </w:trPr>
        <w:tc>
          <w:tcPr>
            <w:tcW w:w="800" w:type="dxa"/>
            <w:vAlign w:val="bottom"/>
          </w:tcPr>
          <w:p>
            <w:pPr>
              <w:spacing w:after="0"/>
              <w:rPr>
                <w:sz w:val="20"/>
                <w:szCs w:val="20"/>
                <w:color w:val="auto"/>
              </w:rPr>
            </w:pPr>
            <w:r>
              <w:rPr>
                <w:rFonts w:ascii="Arial" w:cs="Arial" w:eastAsia="Arial" w:hAnsi="Arial"/>
                <w:sz w:val="22"/>
                <w:szCs w:val="22"/>
                <w:color w:val="auto"/>
                <w:w w:val="88"/>
              </w:rPr>
              <w:t>Rule 504</w:t>
            </w:r>
          </w:p>
        </w:tc>
        <w:tc>
          <w:tcPr>
            <w:tcW w:w="2740" w:type="dxa"/>
            <w:vAlign w:val="bottom"/>
          </w:tcPr>
          <w:p>
            <w:pPr>
              <w:ind w:left="40"/>
              <w:spacing w:after="0"/>
              <w:rPr>
                <w:sz w:val="20"/>
                <w:szCs w:val="20"/>
                <w:color w:val="auto"/>
              </w:rPr>
            </w:pPr>
            <w:r>
              <w:rPr>
                <w:rFonts w:ascii="Arial" w:cs="Arial" w:eastAsia="Arial" w:hAnsi="Arial"/>
                <w:sz w:val="22"/>
                <w:szCs w:val="22"/>
                <w:color w:val="auto"/>
              </w:rPr>
              <w:t>(b)(1)(iii)</w:t>
            </w:r>
          </w:p>
        </w:tc>
        <w:tc>
          <w:tcPr>
            <w:tcW w:w="4500" w:type="dxa"/>
            <w:vAlign w:val="bottom"/>
            <w:gridSpan w:val="2"/>
          </w:tcPr>
          <w:p>
            <w:pPr>
              <w:ind w:left="820"/>
              <w:spacing w:after="0"/>
              <w:rPr>
                <w:sz w:val="20"/>
                <w:szCs w:val="20"/>
                <w:color w:val="auto"/>
              </w:rPr>
            </w:pPr>
            <w:r>
              <w:rPr>
                <w:rFonts w:ascii="Arial" w:cs="Arial" w:eastAsia="Arial" w:hAnsi="Arial"/>
                <w:sz w:val="22"/>
                <w:szCs w:val="22"/>
                <w:color w:val="auto"/>
                <w:w w:val="99"/>
              </w:rPr>
              <w:t>Investment Company Act Section 3(c)</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3(c)(1)</w:t>
            </w:r>
          </w:p>
        </w:tc>
        <w:tc>
          <w:tcPr>
            <w:tcW w:w="1900" w:type="dxa"/>
            <w:vAlign w:val="bottom"/>
          </w:tcPr>
          <w:p>
            <w:pPr>
              <w:ind w:left="460"/>
              <w:spacing w:after="0"/>
              <w:rPr>
                <w:sz w:val="20"/>
                <w:szCs w:val="20"/>
                <w:color w:val="auto"/>
              </w:rPr>
            </w:pPr>
            <w:r>
              <w:rPr>
                <w:rFonts w:ascii="Arial" w:cs="Arial" w:eastAsia="Arial" w:hAnsi="Arial"/>
                <w:sz w:val="22"/>
                <w:szCs w:val="22"/>
                <w:color w:val="auto"/>
                <w:w w:val="98"/>
              </w:rPr>
              <w:t>Section 3(c)(9)</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3(c)(2)</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3(c)(10)</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3(c)(3)</w:t>
            </w:r>
          </w:p>
        </w:tc>
        <w:tc>
          <w:tcPr>
            <w:tcW w:w="1900" w:type="dxa"/>
            <w:vAlign w:val="bottom"/>
          </w:tcPr>
          <w:p>
            <w:pPr>
              <w:ind w:left="500"/>
              <w:spacing w:after="0"/>
              <w:rPr>
                <w:sz w:val="20"/>
                <w:szCs w:val="20"/>
                <w:color w:val="auto"/>
              </w:rPr>
            </w:pPr>
            <w:r>
              <w:rPr>
                <w:rFonts w:ascii="Arial" w:cs="Arial" w:eastAsia="Arial" w:hAnsi="Arial"/>
                <w:sz w:val="22"/>
                <w:szCs w:val="22"/>
                <w:color w:val="auto"/>
                <w:w w:val="88"/>
              </w:rPr>
              <w:t>Section 3(c)(11)</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3(c)(4)</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3(c)(12)</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3(c)(5)</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3(c)(13)</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840"/>
              <w:spacing w:after="0"/>
              <w:rPr>
                <w:sz w:val="20"/>
                <w:szCs w:val="20"/>
                <w:color w:val="auto"/>
              </w:rPr>
            </w:pPr>
            <w:r>
              <w:rPr>
                <w:rFonts w:ascii="Arial" w:cs="Arial" w:eastAsia="Arial" w:hAnsi="Arial"/>
                <w:sz w:val="22"/>
                <w:szCs w:val="22"/>
                <w:color w:val="auto"/>
              </w:rPr>
              <w:t>Section 3(c)(6)</w:t>
            </w:r>
          </w:p>
        </w:tc>
        <w:tc>
          <w:tcPr>
            <w:tcW w:w="1900" w:type="dxa"/>
            <w:vAlign w:val="bottom"/>
          </w:tcPr>
          <w:p>
            <w:pPr>
              <w:ind w:left="460"/>
              <w:spacing w:after="0"/>
              <w:rPr>
                <w:sz w:val="20"/>
                <w:szCs w:val="20"/>
                <w:color w:val="auto"/>
              </w:rPr>
            </w:pPr>
            <w:r>
              <w:rPr>
                <w:rFonts w:ascii="Arial" w:cs="Arial" w:eastAsia="Arial" w:hAnsi="Arial"/>
                <w:sz w:val="22"/>
                <w:szCs w:val="22"/>
                <w:color w:val="auto"/>
                <w:w w:val="90"/>
              </w:rPr>
              <w:t>Section 3(c)(14)</w:t>
            </w:r>
          </w:p>
        </w:tc>
      </w:tr>
      <w:tr>
        <w:trPr>
          <w:trHeight w:val="378"/>
        </w:trPr>
        <w:tc>
          <w:tcPr>
            <w:tcW w:w="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ind w:left="780"/>
              <w:spacing w:after="0"/>
              <w:rPr>
                <w:sz w:val="20"/>
                <w:szCs w:val="20"/>
                <w:color w:val="auto"/>
              </w:rPr>
            </w:pPr>
            <w:r>
              <w:rPr>
                <w:rFonts w:ascii="Arial" w:cs="Arial" w:eastAsia="Arial" w:hAnsi="Arial"/>
                <w:sz w:val="22"/>
                <w:szCs w:val="22"/>
                <w:color w:val="auto"/>
              </w:rPr>
              <w:t>Section 3(c)(7)</w:t>
            </w:r>
          </w:p>
        </w:tc>
        <w:tc>
          <w:tcPr>
            <w:tcW w:w="1900" w:type="dxa"/>
            <w:vAlign w:val="bottom"/>
          </w:tcPr>
          <w:p>
            <w:pPr>
              <w:spacing w:after="0"/>
              <w:rPr>
                <w:sz w:val="24"/>
                <w:szCs w:val="24"/>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2011-02-22</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ectPr>
          <w:pgSz w:w="11900" w:h="16838" w:orient="portrait"/>
          <w:cols w:equalWidth="0" w:num="1">
            <w:col w:w="10219"/>
          </w:cols>
          <w:pgMar w:left="240" w:top="118" w:right="1440" w:bottom="0" w:gutter="0" w:footer="0" w:header="0"/>
        </w:sectPr>
      </w:pPr>
    </w:p>
    <w:p>
      <w:pPr>
        <w:spacing w:after="0" w:line="287" w:lineRule="exact"/>
        <w:rPr>
          <w:sz w:val="20"/>
          <w:szCs w:val="20"/>
          <w:color w:val="auto"/>
        </w:rPr>
      </w:pPr>
    </w:p>
    <w:p>
      <w:pPr>
        <w:ind w:left="40"/>
        <w:spacing w:after="0"/>
        <w:rPr>
          <w:sz w:val="20"/>
          <w:szCs w:val="20"/>
          <w:color w:val="auto"/>
        </w:rPr>
      </w:pPr>
      <w:r>
        <w:rPr>
          <w:rFonts w:ascii="Arial" w:cs="Arial" w:eastAsia="Arial" w:hAnsi="Arial"/>
          <w:sz w:val="19"/>
          <w:szCs w:val="19"/>
          <w:color w:val="auto"/>
        </w:rPr>
        <w:t>Does the Issuer intend this offering to last more than one year?</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Yes X No</w:t>
      </w:r>
    </w:p>
    <w:p>
      <w:pPr>
        <w:spacing w:after="0" w:line="200" w:lineRule="exact"/>
        <w:rPr>
          <w:sz w:val="20"/>
          <w:szCs w:val="20"/>
          <w:color w:val="auto"/>
        </w:rPr>
      </w:pPr>
    </w:p>
    <w:p>
      <w:pPr>
        <w:sectPr>
          <w:pgSz w:w="11900" w:h="16838" w:orient="portrait"/>
          <w:cols w:equalWidth="0" w:num="2">
            <w:col w:w="5480" w:space="300"/>
            <w:col w:w="4439"/>
          </w:cols>
          <w:pgMar w:left="240" w:top="118" w:right="1440"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19"/>
          <w:szCs w:val="19"/>
          <w:color w:val="auto"/>
        </w:rPr>
        <w:t>9. Type(s) of Securities Offered (select all that apply)</w:t>
      </w:r>
    </w:p>
    <w:p>
      <w:pPr>
        <w:sectPr>
          <w:pgSz w:w="11900" w:h="16838" w:orient="portrait"/>
          <w:cols w:equalWidth="0" w:num="1">
            <w:col w:w="10219"/>
          </w:cols>
          <w:pgMar w:left="240" w:top="118" w:right="1440" w:bottom="0" w:gutter="0" w:footer="0" w:header="0"/>
          <w:type w:val="continuous"/>
        </w:sectPr>
      </w:pPr>
    </w:p>
    <w:p>
      <w:pPr>
        <w:spacing w:after="0" w:line="281"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Equity</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Debt</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19"/>
          <w:szCs w:val="19"/>
          <w:color w:val="auto"/>
        </w:rPr>
        <w:t>Option, Warrant or Other Right to Acquire Another Security</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ind w:right="1399"/>
        <w:spacing w:after="0" w:line="326"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1" w:lineRule="exact"/>
        <w:rPr>
          <w:sz w:val="20"/>
          <w:szCs w:val="20"/>
          <w:color w:val="auto"/>
        </w:rPr>
      </w:pPr>
    </w:p>
    <w:p>
      <w:pPr>
        <w:sectPr>
          <w:pgSz w:w="11900" w:h="16838" w:orient="portrait"/>
          <w:cols w:equalWidth="0" w:num="2">
            <w:col w:w="5480" w:space="440"/>
            <w:col w:w="42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5740" w:type="dxa"/>
            <w:vAlign w:val="bottom"/>
          </w:tcPr>
          <w:p>
            <w:pPr>
              <w:ind w:left="260"/>
              <w:spacing w:after="0" w:line="244" w:lineRule="exact"/>
              <w:rPr>
                <w:sz w:val="20"/>
                <w:szCs w:val="20"/>
                <w:color w:val="auto"/>
              </w:rPr>
            </w:pPr>
            <w:r>
              <w:rPr>
                <w:rFonts w:ascii="Arial" w:cs="Arial" w:eastAsia="Arial" w:hAnsi="Arial"/>
                <w:sz w:val="22"/>
                <w:szCs w:val="22"/>
                <w:color w:val="auto"/>
                <w:w w:val="92"/>
              </w:rPr>
              <w:t>Security to be Acquired Upon Exercise of Option, Warrant or</w:t>
            </w:r>
          </w:p>
        </w:tc>
        <w:tc>
          <w:tcPr>
            <w:tcW w:w="22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574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28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57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02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574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28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40" w:type="dxa"/>
            <w:vAlign w:val="bottom"/>
            <w:vMerge w:val="continue"/>
          </w:tcPr>
          <w:p>
            <w:pPr>
              <w:spacing w:after="0"/>
              <w:rPr>
                <w:sz w:val="10"/>
                <w:szCs w:val="10"/>
                <w:color w:val="auto"/>
              </w:rPr>
            </w:pPr>
          </w:p>
        </w:tc>
        <w:tc>
          <w:tcPr>
            <w:tcW w:w="2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580" w:type="dxa"/>
            <w:vAlign w:val="bottom"/>
            <w:gridSpan w:val="2"/>
          </w:tcPr>
          <w:p>
            <w:pPr>
              <w:ind w:left="80"/>
              <w:spacing w:after="0"/>
              <w:rPr>
                <w:sz w:val="20"/>
                <w:szCs w:val="20"/>
                <w:color w:val="auto"/>
              </w:rPr>
            </w:pPr>
            <w:r>
              <w:rPr>
                <w:rFonts w:ascii="Arial" w:cs="Arial" w:eastAsia="Arial" w:hAnsi="Arial"/>
                <w:sz w:val="22"/>
                <w:szCs w:val="22"/>
                <w:color w:val="auto"/>
                <w:w w:val="94"/>
              </w:rPr>
              <w:t>(Associated) Broker or Dealer X None</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580" w:type="dxa"/>
            <w:vAlign w:val="bottom"/>
            <w:gridSpan w:val="2"/>
          </w:tcPr>
          <w:p>
            <w:pPr>
              <w:ind w:left="1840"/>
              <w:spacing w:after="0"/>
              <w:rPr>
                <w:sz w:val="20"/>
                <w:szCs w:val="20"/>
                <w:color w:val="auto"/>
              </w:rPr>
            </w:pPr>
            <w:r>
              <w:rPr>
                <w:rFonts w:ascii="Arial" w:cs="Arial" w:eastAsia="Arial" w:hAnsi="Arial"/>
                <w:sz w:val="22"/>
                <w:szCs w:val="22"/>
                <w:b w:val="1"/>
                <w:bCs w:val="1"/>
                <w:color w:val="auto"/>
                <w:w w:val="98"/>
              </w:rPr>
              <w:t>Street Address 1</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576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5760" w:type="dxa"/>
            <w:vAlign w:val="bottom"/>
            <w:gridSpan w:val="2"/>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$21,894,000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$21,894,000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546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0820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46620" cy="108204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60"/>
        <w:spacing w:after="0" w:line="328"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w:t>
      </w:r>
    </w:p>
    <w:p>
      <w:pPr>
        <w:sectPr>
          <w:pgSz w:w="11900" w:h="16838" w:orient="portrait"/>
          <w:cols w:equalWidth="0" w:num="1">
            <w:col w:w="11380"/>
          </w:cols>
          <w:pgMar w:left="240" w:top="118" w:right="279" w:bottom="0" w:gutter="0" w:footer="0" w:header="0"/>
          <w:type w:val="continuous"/>
        </w:sectPr>
      </w:pPr>
    </w:p>
    <w:bookmarkStart w:id="4" w:name="page5"/>
    <w:bookmarkEnd w:id="4"/>
    <w:p>
      <w:pPr>
        <w:ind w:left="580" w:right="40"/>
        <w:spacing w:after="0" w:line="275" w:lineRule="auto"/>
        <w:rPr>
          <w:sz w:val="20"/>
          <w:szCs w:val="20"/>
          <w:color w:val="auto"/>
        </w:rPr>
      </w:pPr>
      <w:r>
        <w:rPr>
          <w:rFonts w:ascii="Arial" w:cs="Arial" w:eastAsia="Arial" w:hAnsi="Arial"/>
          <w:sz w:val="19"/>
          <w:szCs w:val="19"/>
          <w:color w:val="auto"/>
        </w:rPr>
        <w:t>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-1257300</wp:posOffset>
            </wp:positionV>
            <wp:extent cx="7246620" cy="184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1844040"/>
                    </a:xfrm>
                    <a:prstGeom prst="rect">
                      <a:avLst/>
                    </a:prstGeom>
                    <a:noFill/>
                  </pic:spPr>
                </pic:pic>
              </a:graphicData>
            </a:graphic>
          </wp:anchor>
        </w:drawing>
      </w:r>
    </w:p>
    <w:p>
      <w:pPr>
        <w:spacing w:after="0" w:line="139"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580" w:type="dxa"/>
            <w:vAlign w:val="bottom"/>
            <w:tcBorders>
              <w:top w:val="single" w:sz="8" w:color="2C2C2C"/>
              <w:bottom w:val="single" w:sz="8" w:color="808080"/>
            </w:tcBorders>
          </w:tcPr>
          <w:p>
            <w:pPr>
              <w:ind w:left="100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3160" w:type="dxa"/>
            <w:vAlign w:val="bottom"/>
            <w:tcBorders>
              <w:top w:val="single" w:sz="8" w:color="2C2C2C"/>
              <w:bottom w:val="single" w:sz="8" w:color="808080"/>
            </w:tcBorders>
          </w:tcPr>
          <w:p>
            <w:pPr>
              <w:ind w:left="11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84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120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Bandwidth.com, Inc.</w:t>
            </w:r>
          </w:p>
        </w:tc>
        <w:tc>
          <w:tcPr>
            <w:tcW w:w="20" w:type="dxa"/>
            <w:vAlign w:val="bottom"/>
          </w:tcPr>
          <w:p>
            <w:pPr>
              <w:spacing w:after="0"/>
              <w:rPr>
                <w:sz w:val="22"/>
                <w:szCs w:val="22"/>
                <w:color w:val="auto"/>
              </w:rPr>
            </w:pPr>
          </w:p>
        </w:tc>
        <w:tc>
          <w:tcPr>
            <w:tcW w:w="31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 Christopher Matton</w:t>
            </w:r>
          </w:p>
        </w:tc>
        <w:tc>
          <w:tcPr>
            <w:tcW w:w="20" w:type="dxa"/>
            <w:vAlign w:val="bottom"/>
          </w:tcPr>
          <w:p>
            <w:pPr>
              <w:spacing w:after="0"/>
              <w:rPr>
                <w:sz w:val="22"/>
                <w:szCs w:val="22"/>
                <w:color w:val="auto"/>
              </w:rPr>
            </w:pPr>
          </w:p>
        </w:tc>
        <w:tc>
          <w:tcPr>
            <w:tcW w:w="2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W. Christopher Matton</w:t>
            </w:r>
          </w:p>
        </w:tc>
        <w:tc>
          <w:tcPr>
            <w:tcW w:w="20" w:type="dxa"/>
            <w:vAlign w:val="bottom"/>
          </w:tcPr>
          <w:p>
            <w:pPr>
              <w:spacing w:after="0"/>
              <w:rPr>
                <w:sz w:val="22"/>
                <w:szCs w:val="22"/>
                <w:color w:val="auto"/>
              </w:rPr>
            </w:pPr>
          </w:p>
        </w:tc>
        <w:tc>
          <w:tcPr>
            <w:tcW w:w="12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Secretary</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2011-04-05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2"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2019-12-11T07:15:27Z</dcterms:created>
  <dcterms:modified xsi:type="dcterms:W3CDTF">2019-12-11T07:15:27Z</dcterms:modified>
</cp:coreProperties>
</file>