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120"/>
        <w:jc w:val="center"/>
        <w:rPr/>
      </w:pPr>
      <w:r>
        <w:rPr>
          <w:rFonts w:ascii="Times New Roman;serif" w:hAnsi="Times New Roman;serif"/>
          <w:b/>
          <w:color w:val="000000"/>
          <w:sz w:val="18"/>
        </w:rPr>
        <w:t>Washington, D.C. 20549</w:t>
      </w:r>
      <w:r>
        <w:rPr>
          <w:color w:val="000000"/>
        </w:rPr>
        <w:t>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13 or 15(d)</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of the Securities Exchange Act of 1934</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August 3, 2026</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BANDWIDTH INC.</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tbl>
      <w:tblPr>
        <w:tblW w:w="5271" w:type="dxa"/>
        <w:jc w:val="center"/>
        <w:tblInd w:w="0" w:type="dxa"/>
        <w:tblLayout w:type="fixed"/>
        <w:tblCellMar>
          <w:top w:w="28" w:type="dxa"/>
          <w:left w:w="28" w:type="dxa"/>
          <w:bottom w:w="28" w:type="dxa"/>
          <w:right w:w="28" w:type="dxa"/>
        </w:tblCellMar>
      </w:tblPr>
      <w:tblGrid>
        <w:gridCol w:w="748"/>
        <w:gridCol w:w="658"/>
        <w:gridCol w:w="663"/>
        <w:gridCol w:w="109"/>
        <w:gridCol w:w="109"/>
        <w:gridCol w:w="109"/>
        <w:gridCol w:w="353"/>
        <w:gridCol w:w="353"/>
        <w:gridCol w:w="358"/>
        <w:gridCol w:w="109"/>
        <w:gridCol w:w="109"/>
        <w:gridCol w:w="109"/>
        <w:gridCol w:w="432"/>
        <w:gridCol w:w="432"/>
        <w:gridCol w:w="620"/>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001-38285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56-2242657</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2230 Bandmate Way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Raleigh, NC 27607</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(800) 808-5150</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501" w:type="dxa"/>
        <w:jc w:val="center"/>
        <w:tblInd w:w="0" w:type="dxa"/>
        <w:tblLayout w:type="fixed"/>
        <w:tblCellMar>
          <w:top w:w="28" w:type="dxa"/>
          <w:left w:w="28" w:type="dxa"/>
          <w:bottom w:w="28" w:type="dxa"/>
          <w:right w:w="28" w:type="dxa"/>
        </w:tblCellMar>
      </w:tblPr>
      <w:tblGrid>
        <w:gridCol w:w="1377"/>
        <w:gridCol w:w="1212"/>
        <w:gridCol w:w="1220"/>
        <w:gridCol w:w="109"/>
        <w:gridCol w:w="109"/>
        <w:gridCol w:w="109"/>
        <w:gridCol w:w="519"/>
        <w:gridCol w:w="519"/>
        <w:gridCol w:w="521"/>
        <w:gridCol w:w="109"/>
        <w:gridCol w:w="109"/>
        <w:gridCol w:w="109"/>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Bandwidth announced that it has repurchased approximately $20.8 million aggregate principal amount of its 0.50% Convertible Senior Notes due 2028 (the “Notes”) in open-market transactions (the “Repurchases”) at a discount to par value.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repurchase price payable by Bandwidth will be paid in cash.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Bandwidth has previously entered into capped call transactions with certain financial institutions in connection with the Notes. All of these transactions are expected to remain in effect notwithstanding the Repurchases.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settlement of the Repurchases, approximately $6.7 million aggregate principal amount of the Notes will remain outstanding from an initial issued principal balance of $250 million.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furnished with this Item 8.01 shall not be deemed “filed” for purposes of Section 18 of the Exchange Act, or otherwise subject to the liabilities of that section, nor shall it be deemed incorporated by reference into any filing under the Securities Act, except as expressly set forth by specific reference in such a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663" w:type="dxa"/>
        <w:jc w:val="left"/>
        <w:tblInd w:w="0" w:type="dxa"/>
        <w:tblLayout w:type="fixed"/>
        <w:tblCellMar>
          <w:top w:w="28" w:type="dxa"/>
          <w:left w:w="28" w:type="dxa"/>
          <w:bottom w:w="28" w:type="dxa"/>
          <w:right w:w="28" w:type="dxa"/>
        </w:tblCellMar>
      </w:tblPr>
      <w:tblGrid>
        <w:gridCol w:w="667"/>
        <w:gridCol w:w="587"/>
        <w:gridCol w:w="590"/>
        <w:gridCol w:w="270"/>
        <w:gridCol w:w="270"/>
        <w:gridCol w:w="270"/>
        <w:gridCol w:w="583"/>
        <w:gridCol w:w="583"/>
        <w:gridCol w:w="84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BANDWIDTH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Daryl E. Raiford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Daryl E. Raiford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519</Words>
  <Characters>3097</Characters>
  <CharactersWithSpaces>3554</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