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176"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131"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301"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1934</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420" w:hanging="412"/>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6880" w:type="dxa"/>
            <w:vAlign w:val="bottom"/>
            <w:gridSpan w:val="3"/>
          </w:tcPr>
          <w:p>
            <w:pPr>
              <w:jc w:val="center"/>
              <w:ind w:left="4008"/>
              <w:spacing w:after="0"/>
              <w:rPr>
                <w:sz w:val="20"/>
                <w:szCs w:val="20"/>
                <w:color w:val="auto"/>
              </w:rPr>
            </w:pPr>
            <w:r>
              <w:rPr>
                <w:rFonts w:ascii="Arial" w:cs="Arial" w:eastAsia="Arial" w:hAnsi="Arial"/>
                <w:sz w:val="16"/>
                <w:szCs w:val="16"/>
                <w:b w:val="1"/>
                <w:bCs w:val="1"/>
                <w:color w:val="auto"/>
                <w:w w:val="92"/>
              </w:rPr>
              <w:t>Commission File Number: 001-38285</w:t>
            </w:r>
          </w:p>
        </w:tc>
        <w:tc>
          <w:tcPr>
            <w:tcW w:w="4120" w:type="dxa"/>
            <w:vAlign w:val="bottom"/>
          </w:tcPr>
          <w:p>
            <w:pPr>
              <w:spacing w:after="0"/>
              <w:rPr>
                <w:sz w:val="18"/>
                <w:szCs w:val="18"/>
                <w:color w:val="auto"/>
              </w:rPr>
            </w:pPr>
          </w:p>
        </w:tc>
      </w:tr>
      <w:tr>
        <w:trPr>
          <w:trHeight w:val="509"/>
        </w:trPr>
        <w:tc>
          <w:tcPr>
            <w:tcW w:w="220" w:type="dxa"/>
            <w:vAlign w:val="bottom"/>
          </w:tcPr>
          <w:p>
            <w:pPr>
              <w:spacing w:after="0"/>
              <w:rPr>
                <w:sz w:val="24"/>
                <w:szCs w:val="24"/>
                <w:color w:val="auto"/>
              </w:rPr>
            </w:pPr>
          </w:p>
        </w:tc>
        <w:tc>
          <w:tcPr>
            <w:tcW w:w="6880" w:type="dxa"/>
            <w:vAlign w:val="bottom"/>
            <w:gridSpan w:val="3"/>
          </w:tcPr>
          <w:p>
            <w:pPr>
              <w:jc w:val="center"/>
              <w:ind w:left="4008"/>
              <w:spacing w:after="0"/>
              <w:rPr>
                <w:sz w:val="20"/>
                <w:szCs w:val="20"/>
                <w:color w:val="auto"/>
              </w:rPr>
            </w:pPr>
            <w:r>
              <w:rPr>
                <w:rFonts w:ascii="Arial" w:cs="Arial" w:eastAsia="Arial" w:hAnsi="Arial"/>
                <w:sz w:val="29"/>
                <w:szCs w:val="29"/>
                <w:b w:val="1"/>
                <w:bCs w:val="1"/>
                <w:color w:val="auto"/>
                <w:w w:val="92"/>
              </w:rPr>
              <w:t>Bandwidth Inc.</w:t>
            </w:r>
          </w:p>
        </w:tc>
        <w:tc>
          <w:tcPr>
            <w:tcW w:w="4120" w:type="dxa"/>
            <w:vAlign w:val="bottom"/>
          </w:tcPr>
          <w:p>
            <w:pPr>
              <w:spacing w:after="0"/>
              <w:rPr>
                <w:sz w:val="24"/>
                <w:szCs w:val="24"/>
                <w:color w:val="auto"/>
              </w:rPr>
            </w:pPr>
          </w:p>
        </w:tc>
      </w:tr>
      <w:tr>
        <w:trPr>
          <w:trHeight w:val="206"/>
        </w:trPr>
        <w:tc>
          <w:tcPr>
            <w:tcW w:w="220" w:type="dxa"/>
            <w:vAlign w:val="bottom"/>
          </w:tcPr>
          <w:p>
            <w:pPr>
              <w:spacing w:after="0"/>
              <w:rPr>
                <w:sz w:val="17"/>
                <w:szCs w:val="17"/>
                <w:color w:val="auto"/>
              </w:rPr>
            </w:pPr>
          </w:p>
        </w:tc>
        <w:tc>
          <w:tcPr>
            <w:tcW w:w="11000" w:type="dxa"/>
            <w:vAlign w:val="bottom"/>
            <w:gridSpan w:val="4"/>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81"/>
        </w:trPr>
        <w:tc>
          <w:tcPr>
            <w:tcW w:w="7100" w:type="dxa"/>
            <w:vAlign w:val="bottom"/>
            <w:gridSpan w:val="4"/>
          </w:tcPr>
          <w:p>
            <w:pPr>
              <w:jc w:val="center"/>
              <w:ind w:left="4310"/>
              <w:spacing w:after="0"/>
              <w:rPr>
                <w:sz w:val="20"/>
                <w:szCs w:val="20"/>
                <w:color w:val="auto"/>
              </w:rPr>
            </w:pPr>
            <w:r>
              <w:rPr>
                <w:rFonts w:ascii="Arial" w:cs="Arial" w:eastAsia="Arial" w:hAnsi="Arial"/>
                <w:sz w:val="11"/>
                <w:szCs w:val="11"/>
                <w:b w:val="1"/>
                <w:bCs w:val="1"/>
                <w:color w:val="auto"/>
                <w:w w:val="88"/>
              </w:rPr>
              <w:t>______________________________________________</w:t>
            </w:r>
          </w:p>
        </w:tc>
        <w:tc>
          <w:tcPr>
            <w:tcW w:w="4120" w:type="dxa"/>
            <w:vAlign w:val="bottom"/>
          </w:tcPr>
          <w:p>
            <w:pPr>
              <w:spacing w:after="0"/>
              <w:rPr>
                <w:sz w:val="24"/>
                <w:szCs w:val="24"/>
                <w:color w:val="auto"/>
              </w:rPr>
            </w:pPr>
          </w:p>
        </w:tc>
      </w:tr>
      <w:tr>
        <w:trPr>
          <w:trHeight w:val="603"/>
        </w:trPr>
        <w:tc>
          <w:tcPr>
            <w:tcW w:w="220" w:type="dxa"/>
            <w:vAlign w:val="bottom"/>
          </w:tcPr>
          <w:p>
            <w:pPr>
              <w:spacing w:after="0"/>
              <w:rPr>
                <w:sz w:val="24"/>
                <w:szCs w:val="24"/>
                <w:color w:val="auto"/>
              </w:rPr>
            </w:pPr>
          </w:p>
        </w:tc>
        <w:tc>
          <w:tcPr>
            <w:tcW w:w="6880" w:type="dxa"/>
            <w:vAlign w:val="bottom"/>
            <w:gridSpan w:val="3"/>
          </w:tcPr>
          <w:p>
            <w:pPr>
              <w:jc w:val="center"/>
              <w:ind w:right="1820"/>
              <w:spacing w:after="0"/>
              <w:rPr>
                <w:sz w:val="20"/>
                <w:szCs w:val="20"/>
                <w:color w:val="auto"/>
              </w:rPr>
            </w:pPr>
            <w:r>
              <w:rPr>
                <w:rFonts w:ascii="Arial" w:cs="Arial" w:eastAsia="Arial" w:hAnsi="Arial"/>
                <w:sz w:val="18"/>
                <w:szCs w:val="18"/>
                <w:b w:val="1"/>
                <w:bCs w:val="1"/>
                <w:color w:val="auto"/>
                <w:w w:val="93"/>
              </w:rPr>
              <w:t>Delaware</w:t>
            </w:r>
          </w:p>
        </w:tc>
        <w:tc>
          <w:tcPr>
            <w:tcW w:w="412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56-2242657</w:t>
            </w:r>
          </w:p>
        </w:tc>
      </w:tr>
      <w:tr>
        <w:trPr>
          <w:trHeight w:val="256"/>
        </w:trPr>
        <w:tc>
          <w:tcPr>
            <w:tcW w:w="220" w:type="dxa"/>
            <w:vAlign w:val="bottom"/>
          </w:tcPr>
          <w:p>
            <w:pPr>
              <w:spacing w:after="0"/>
              <w:rPr>
                <w:sz w:val="22"/>
                <w:szCs w:val="22"/>
                <w:color w:val="auto"/>
              </w:rPr>
            </w:pPr>
          </w:p>
        </w:tc>
        <w:tc>
          <w:tcPr>
            <w:tcW w:w="6880" w:type="dxa"/>
            <w:vAlign w:val="bottom"/>
            <w:gridSpan w:val="3"/>
          </w:tcPr>
          <w:p>
            <w:pPr>
              <w:jc w:val="center"/>
              <w:ind w:right="1820"/>
              <w:spacing w:after="0"/>
              <w:rPr>
                <w:sz w:val="20"/>
                <w:szCs w:val="20"/>
                <w:color w:val="auto"/>
              </w:rPr>
            </w:pPr>
            <w:r>
              <w:rPr>
                <w:rFonts w:ascii="Arial" w:cs="Arial" w:eastAsia="Arial" w:hAnsi="Arial"/>
                <w:sz w:val="18"/>
                <w:szCs w:val="18"/>
                <w:color w:val="auto"/>
                <w:w w:val="93"/>
              </w:rPr>
              <w:t>(State or other jurisdiction of</w:t>
            </w:r>
          </w:p>
        </w:tc>
        <w:tc>
          <w:tcPr>
            <w:tcW w:w="4120" w:type="dxa"/>
            <w:vAlign w:val="bottom"/>
          </w:tcPr>
          <w:p>
            <w:pPr>
              <w:jc w:val="center"/>
              <w:ind w:right="990"/>
              <w:spacing w:after="0"/>
              <w:rPr>
                <w:sz w:val="20"/>
                <w:szCs w:val="20"/>
                <w:color w:val="auto"/>
              </w:rPr>
            </w:pPr>
            <w:r>
              <w:rPr>
                <w:rFonts w:ascii="Arial" w:cs="Arial" w:eastAsia="Arial" w:hAnsi="Arial"/>
                <w:sz w:val="18"/>
                <w:szCs w:val="18"/>
                <w:color w:val="auto"/>
                <w:w w:val="93"/>
              </w:rPr>
              <w:t>(I.R.S. Employer</w:t>
            </w:r>
          </w:p>
        </w:tc>
      </w:tr>
      <w:tr>
        <w:trPr>
          <w:trHeight w:val="230"/>
        </w:trPr>
        <w:tc>
          <w:tcPr>
            <w:tcW w:w="220" w:type="dxa"/>
            <w:vAlign w:val="bottom"/>
          </w:tcPr>
          <w:p>
            <w:pPr>
              <w:spacing w:after="0"/>
              <w:rPr>
                <w:sz w:val="20"/>
                <w:szCs w:val="20"/>
                <w:color w:val="auto"/>
              </w:rPr>
            </w:pPr>
          </w:p>
        </w:tc>
        <w:tc>
          <w:tcPr>
            <w:tcW w:w="6880" w:type="dxa"/>
            <w:vAlign w:val="bottom"/>
            <w:gridSpan w:val="3"/>
          </w:tcPr>
          <w:p>
            <w:pPr>
              <w:jc w:val="center"/>
              <w:ind w:right="1820"/>
              <w:spacing w:after="0"/>
              <w:rPr>
                <w:sz w:val="20"/>
                <w:szCs w:val="20"/>
                <w:color w:val="auto"/>
              </w:rPr>
            </w:pPr>
            <w:r>
              <w:rPr>
                <w:rFonts w:ascii="Arial" w:cs="Arial" w:eastAsia="Arial" w:hAnsi="Arial"/>
                <w:sz w:val="18"/>
                <w:szCs w:val="18"/>
                <w:color w:val="auto"/>
                <w:w w:val="93"/>
              </w:rPr>
              <w:t>incorporation or organization)</w:t>
            </w:r>
          </w:p>
        </w:tc>
        <w:tc>
          <w:tcPr>
            <w:tcW w:w="4120" w:type="dxa"/>
            <w:vAlign w:val="bottom"/>
          </w:tcPr>
          <w:p>
            <w:pPr>
              <w:jc w:val="center"/>
              <w:ind w:right="9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220" w:type="dxa"/>
            <w:vAlign w:val="bottom"/>
          </w:tcPr>
          <w:p>
            <w:pPr>
              <w:spacing w:after="0"/>
              <w:rPr>
                <w:sz w:val="24"/>
                <w:szCs w:val="24"/>
                <w:color w:val="auto"/>
              </w:rPr>
            </w:pPr>
          </w:p>
        </w:tc>
        <w:tc>
          <w:tcPr>
            <w:tcW w:w="6880" w:type="dxa"/>
            <w:vAlign w:val="bottom"/>
            <w:gridSpan w:val="3"/>
          </w:tcPr>
          <w:p>
            <w:pPr>
              <w:jc w:val="center"/>
              <w:ind w:left="4028"/>
              <w:spacing w:after="0"/>
              <w:rPr>
                <w:sz w:val="20"/>
                <w:szCs w:val="20"/>
                <w:color w:val="auto"/>
              </w:rPr>
            </w:pPr>
            <w:r>
              <w:rPr>
                <w:rFonts w:ascii="Arial" w:cs="Arial" w:eastAsia="Arial" w:hAnsi="Arial"/>
                <w:sz w:val="18"/>
                <w:szCs w:val="18"/>
                <w:b w:val="1"/>
                <w:bCs w:val="1"/>
                <w:color w:val="auto"/>
                <w:w w:val="93"/>
              </w:rPr>
              <w:t>900 Main Campus Drive</w:t>
            </w:r>
          </w:p>
        </w:tc>
        <w:tc>
          <w:tcPr>
            <w:tcW w:w="4120" w:type="dxa"/>
            <w:vAlign w:val="bottom"/>
          </w:tcPr>
          <w:p>
            <w:pPr>
              <w:spacing w:after="0"/>
              <w:rPr>
                <w:sz w:val="24"/>
                <w:szCs w:val="24"/>
                <w:color w:val="auto"/>
              </w:rPr>
            </w:pPr>
          </w:p>
        </w:tc>
      </w:tr>
      <w:tr>
        <w:trPr>
          <w:trHeight w:val="225"/>
        </w:trPr>
        <w:tc>
          <w:tcPr>
            <w:tcW w:w="220" w:type="dxa"/>
            <w:vAlign w:val="bottom"/>
          </w:tcPr>
          <w:p>
            <w:pPr>
              <w:spacing w:after="0"/>
              <w:rPr>
                <w:sz w:val="19"/>
                <w:szCs w:val="19"/>
                <w:color w:val="auto"/>
              </w:rPr>
            </w:pPr>
          </w:p>
        </w:tc>
        <w:tc>
          <w:tcPr>
            <w:tcW w:w="6880" w:type="dxa"/>
            <w:vAlign w:val="bottom"/>
            <w:gridSpan w:val="3"/>
          </w:tcPr>
          <w:p>
            <w:pPr>
              <w:jc w:val="center"/>
              <w:ind w:left="4028"/>
              <w:spacing w:after="0"/>
              <w:rPr>
                <w:sz w:val="20"/>
                <w:szCs w:val="20"/>
                <w:color w:val="auto"/>
              </w:rPr>
            </w:pPr>
            <w:r>
              <w:rPr>
                <w:rFonts w:ascii="Arial" w:cs="Arial" w:eastAsia="Arial" w:hAnsi="Arial"/>
                <w:sz w:val="18"/>
                <w:szCs w:val="18"/>
                <w:b w:val="1"/>
                <w:bCs w:val="1"/>
                <w:color w:val="auto"/>
                <w:w w:val="92"/>
              </w:rPr>
              <w:t>Raleigh, NC 27606</w:t>
            </w:r>
          </w:p>
        </w:tc>
        <w:tc>
          <w:tcPr>
            <w:tcW w:w="4120" w:type="dxa"/>
            <w:vAlign w:val="bottom"/>
          </w:tcPr>
          <w:p>
            <w:pPr>
              <w:spacing w:after="0"/>
              <w:rPr>
                <w:sz w:val="19"/>
                <w:szCs w:val="19"/>
                <w:color w:val="auto"/>
              </w:rPr>
            </w:pPr>
          </w:p>
        </w:tc>
      </w:tr>
      <w:tr>
        <w:trPr>
          <w:trHeight w:val="206"/>
        </w:trPr>
        <w:tc>
          <w:tcPr>
            <w:tcW w:w="220" w:type="dxa"/>
            <w:vAlign w:val="bottom"/>
          </w:tcPr>
          <w:p>
            <w:pPr>
              <w:spacing w:after="0"/>
              <w:rPr>
                <w:sz w:val="17"/>
                <w:szCs w:val="17"/>
                <w:color w:val="auto"/>
              </w:rPr>
            </w:pPr>
          </w:p>
        </w:tc>
        <w:tc>
          <w:tcPr>
            <w:tcW w:w="11000" w:type="dxa"/>
            <w:vAlign w:val="bottom"/>
            <w:gridSpan w:val="4"/>
          </w:tcPr>
          <w:p>
            <w:pPr>
              <w:jc w:val="center"/>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88"/>
        </w:trPr>
        <w:tc>
          <w:tcPr>
            <w:tcW w:w="65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(800) 808-5150</w:t>
            </w:r>
          </w:p>
        </w:tc>
        <w:tc>
          <w:tcPr>
            <w:tcW w:w="60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6"/>
        </w:trPr>
        <w:tc>
          <w:tcPr>
            <w:tcW w:w="220" w:type="dxa"/>
            <w:vAlign w:val="bottom"/>
          </w:tcPr>
          <w:p>
            <w:pPr>
              <w:spacing w:after="0"/>
              <w:rPr>
                <w:sz w:val="17"/>
                <w:szCs w:val="17"/>
                <w:color w:val="auto"/>
              </w:rPr>
            </w:pPr>
          </w:p>
        </w:tc>
        <w:tc>
          <w:tcPr>
            <w:tcW w:w="1100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27"/>
        </w:trPr>
        <w:tc>
          <w:tcPr>
            <w:tcW w:w="710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rPr>
              <w:t>______________________________________________</w:t>
            </w:r>
          </w:p>
        </w:tc>
        <w:tc>
          <w:tcPr>
            <w:tcW w:w="4120" w:type="dxa"/>
            <w:vAlign w:val="bottom"/>
          </w:tcPr>
          <w:p>
            <w:pPr>
              <w:spacing w:after="0"/>
              <w:rPr>
                <w:sz w:val="19"/>
                <w:szCs w:val="19"/>
                <w:color w:val="auto"/>
              </w:rPr>
            </w:pPr>
          </w:p>
        </w:tc>
      </w:tr>
      <w:tr>
        <w:trPr>
          <w:trHeight w:val="381"/>
        </w:trPr>
        <w:tc>
          <w:tcPr>
            <w:tcW w:w="710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120" w:type="dxa"/>
            <w:vAlign w:val="bottom"/>
          </w:tcPr>
          <w:p>
            <w:pPr>
              <w:spacing w:after="0"/>
              <w:rPr>
                <w:sz w:val="24"/>
                <w:szCs w:val="24"/>
                <w:color w:val="auto"/>
              </w:rPr>
            </w:pPr>
          </w:p>
        </w:tc>
      </w:tr>
      <w:tr>
        <w:trPr>
          <w:trHeight w:val="371"/>
        </w:trPr>
        <w:tc>
          <w:tcPr>
            <w:tcW w:w="220" w:type="dxa"/>
            <w:vAlign w:val="bottom"/>
          </w:tcPr>
          <w:p>
            <w:pPr>
              <w:spacing w:after="0"/>
              <w:rPr>
                <w:sz w:val="24"/>
                <w:szCs w:val="24"/>
                <w:color w:val="auto"/>
              </w:rPr>
            </w:pPr>
          </w:p>
        </w:tc>
        <w:tc>
          <w:tcPr>
            <w:tcW w:w="688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7"/>
              </w:rPr>
              <w:t>Title of each class</w:t>
            </w:r>
          </w:p>
        </w:tc>
        <w:tc>
          <w:tcPr>
            <w:tcW w:w="4120" w:type="dxa"/>
            <w:vAlign w:val="bottom"/>
          </w:tcPr>
          <w:p>
            <w:pPr>
              <w:jc w:val="center"/>
              <w:ind w:right="5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220" w:type="dxa"/>
            <w:vAlign w:val="bottom"/>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6880" w:type="dxa"/>
            <w:vAlign w:val="bottom"/>
            <w:gridSpan w:val="3"/>
          </w:tcPr>
          <w:p>
            <w:pPr>
              <w:jc w:val="center"/>
              <w:ind w:right="2040"/>
              <w:spacing w:after="0"/>
              <w:rPr>
                <w:sz w:val="20"/>
                <w:szCs w:val="20"/>
                <w:color w:val="auto"/>
              </w:rPr>
            </w:pPr>
            <w:r>
              <w:rPr>
                <w:rFonts w:ascii="Arial" w:cs="Arial" w:eastAsia="Arial" w:hAnsi="Arial"/>
                <w:sz w:val="18"/>
                <w:szCs w:val="18"/>
                <w:color w:val="auto"/>
                <w:w w:val="89"/>
              </w:rPr>
              <w:t>Class A Common Stock, par value $0.001 per share</w:t>
            </w:r>
          </w:p>
        </w:tc>
        <w:tc>
          <w:tcPr>
            <w:tcW w:w="4120" w:type="dxa"/>
            <w:vAlign w:val="bottom"/>
          </w:tcPr>
          <w:p>
            <w:pPr>
              <w:jc w:val="center"/>
              <w:ind w:right="530"/>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13"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______________________________________________</w:t>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w:cs="Arial" w:eastAsia="Arial" w:hAnsi="Arial"/>
          <w:sz w:val="18"/>
          <w:szCs w:val="18"/>
          <w:color w:val="auto"/>
        </w:rPr>
        <w:t>o No x</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Arial" w:cs="Arial" w:eastAsia="Arial" w:hAnsi="Arial"/>
          <w:sz w:val="18"/>
          <w:szCs w:val="18"/>
          <w:color w:val="auto"/>
        </w:rPr>
        <w:t>o No x</w:t>
      </w:r>
    </w:p>
    <w:p>
      <w:pPr>
        <w:spacing w:after="0" w:line="216" w:lineRule="exact"/>
        <w:rPr>
          <w:sz w:val="24"/>
          <w:szCs w:val="24"/>
          <w:color w:val="auto"/>
        </w:rPr>
      </w:pPr>
    </w:p>
    <w:p>
      <w:pPr>
        <w:jc w:val="both"/>
        <w:ind w:right="14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days. Yes </w:t>
      </w:r>
      <w:r>
        <w:rPr>
          <w:rFonts w:ascii="Arial" w:cs="Arial" w:eastAsia="Arial" w:hAnsi="Arial"/>
          <w:sz w:val="18"/>
          <w:szCs w:val="18"/>
          <w:color w:val="auto"/>
        </w:rPr>
        <w:t>x No o</w:t>
      </w:r>
    </w:p>
    <w:p>
      <w:pPr>
        <w:spacing w:after="0" w:line="208" w:lineRule="exact"/>
        <w:rPr>
          <w:sz w:val="24"/>
          <w:szCs w:val="24"/>
          <w:color w:val="auto"/>
        </w:rPr>
      </w:pPr>
    </w:p>
    <w:p>
      <w:pPr>
        <w:jc w:val="both"/>
        <w:spacing w:after="0" w:line="282"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 No o</w:t>
      </w:r>
    </w:p>
    <w:p>
      <w:pPr>
        <w:spacing w:after="0" w:line="148" w:lineRule="exact"/>
        <w:rPr>
          <w:sz w:val="24"/>
          <w:szCs w:val="24"/>
          <w:color w:val="auto"/>
        </w:rPr>
      </w:pPr>
    </w:p>
    <w:p>
      <w:pPr>
        <w:ind w:right="2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621" w:right="27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4"/>
        </w:trPr>
        <w:tc>
          <w:tcPr>
            <w:tcW w:w="26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6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200"/>
              <w:spacing w:after="0"/>
              <w:rPr>
                <w:sz w:val="20"/>
                <w:szCs w:val="20"/>
                <w:color w:val="auto"/>
              </w:rPr>
            </w:pPr>
            <w:r>
              <w:rPr>
                <w:rFonts w:ascii="Arial" w:cs="Arial" w:eastAsia="Arial" w:hAnsi="Arial"/>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600" w:type="dxa"/>
            <w:vAlign w:val="bottom"/>
          </w:tcPr>
          <w:p>
            <w:pPr>
              <w:spacing w:after="0"/>
              <w:rPr>
                <w:sz w:val="20"/>
                <w:szCs w:val="20"/>
                <w:color w:val="auto"/>
              </w:rPr>
            </w:pPr>
            <w:r>
              <w:rPr>
                <w:rFonts w:ascii="Arial" w:cs="Arial" w:eastAsia="Arial" w:hAnsi="Arial"/>
                <w:sz w:val="16"/>
                <w:szCs w:val="16"/>
                <w:color w:val="auto"/>
              </w:rPr>
              <w:t>Non-accelerated filer</w:t>
            </w:r>
          </w:p>
        </w:tc>
        <w:tc>
          <w:tcPr>
            <w:tcW w:w="46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color w:val="auto"/>
                <w:w w:val="99"/>
              </w:rPr>
              <w:t xml:space="preserve"> (Do not check if a smaller reporting company)</w:t>
            </w:r>
          </w:p>
        </w:tc>
        <w:tc>
          <w:tcPr>
            <w:tcW w:w="2920" w:type="dxa"/>
            <w:vAlign w:val="bottom"/>
          </w:tcPr>
          <w:p>
            <w:pPr>
              <w:ind w:left="200"/>
              <w:spacing w:after="0"/>
              <w:rPr>
                <w:sz w:val="20"/>
                <w:szCs w:val="20"/>
                <w:color w:val="auto"/>
              </w:rPr>
            </w:pPr>
            <w:r>
              <w:rPr>
                <w:rFonts w:ascii="Arial" w:cs="Arial" w:eastAsia="Arial" w:hAnsi="Arial"/>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60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8"/>
          <w:szCs w:val="18"/>
          <w:color w:val="auto"/>
        </w:rPr>
        <w:t>o No x</w:t>
      </w:r>
    </w:p>
    <w:p>
      <w:pPr>
        <w:spacing w:after="0" w:line="203" w:lineRule="exact"/>
        <w:rPr>
          <w:sz w:val="20"/>
          <w:szCs w:val="20"/>
          <w:color w:val="auto"/>
        </w:rPr>
      </w:pPr>
    </w:p>
    <w:p>
      <w:pPr>
        <w:ind w:right="2680"/>
        <w:spacing w:after="0" w:line="311" w:lineRule="auto"/>
        <w:rPr>
          <w:sz w:val="20"/>
          <w:szCs w:val="20"/>
          <w:color w:val="auto"/>
        </w:rPr>
      </w:pPr>
      <w:r>
        <w:rPr>
          <w:rFonts w:ascii="Arial" w:cs="Arial" w:eastAsia="Arial" w:hAnsi="Arial"/>
          <w:sz w:val="16"/>
          <w:szCs w:val="16"/>
          <w:color w:val="auto"/>
        </w:rPr>
        <w:t>The aggregate market value of stock held by non-affiliates as of November 10, 2017, was $203.4 million based upon $21.19 per share, the closing price for such date on the NASDAQ Global Select Market.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of January 31, 2018, 4,197,831 shares of the registrant’s Class A common stock and 13,441,976 shares of registrant’s Class B common stock were outstanding, respectively.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0"/>
          <w:szCs w:val="20"/>
          <w:color w:val="auto"/>
        </w:rPr>
      </w:pPr>
    </w:p>
    <w:p>
      <w:pPr>
        <w:ind w:right="2920"/>
        <w:spacing w:after="0" w:line="276" w:lineRule="auto"/>
        <w:rPr>
          <w:sz w:val="20"/>
          <w:szCs w:val="20"/>
          <w:color w:val="auto"/>
        </w:rPr>
      </w:pPr>
      <w:r>
        <w:rPr>
          <w:rFonts w:ascii="Arial" w:cs="Arial" w:eastAsia="Arial" w:hAnsi="Arial"/>
          <w:sz w:val="15"/>
          <w:szCs w:val="15"/>
          <w:color w:val="auto"/>
        </w:rPr>
        <w:t>Portions of the registrant's definitive Proxy Statement for the 2018 Annual Meeting of Stockholders are incorporated herein by reference in Part II and Part III of this Annual Report on Form 10-K to the extent stated herein. Such Proxy Statement will be filed with the Securities and Exchange Commission within 120 days of the registrant's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50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0" w:type="dxa"/>
            <w:vAlign w:val="bottom"/>
            <w:gridSpan w:val="12"/>
          </w:tcPr>
          <w:p>
            <w:pPr>
              <w:jc w:val="center"/>
              <w:ind w:right="3700"/>
              <w:spacing w:after="0"/>
              <w:rPr>
                <w:sz w:val="20"/>
                <w:szCs w:val="20"/>
                <w:color w:val="auto"/>
              </w:rPr>
            </w:pPr>
            <w:r>
              <w:rPr>
                <w:rFonts w:ascii="Arial" w:cs="Arial" w:eastAsia="Arial" w:hAnsi="Arial"/>
                <w:sz w:val="22"/>
                <w:szCs w:val="22"/>
                <w:b w:val="1"/>
                <w:bCs w:val="1"/>
                <w:color w:val="auto"/>
                <w:w w:val="90"/>
              </w:rPr>
              <w:t>Bandwidth Inc.</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80" w:type="dxa"/>
            <w:vAlign w:val="bottom"/>
            <w:gridSpan w:val="13"/>
          </w:tcPr>
          <w:p>
            <w:pPr>
              <w:jc w:val="center"/>
              <w:ind w:right="3220"/>
              <w:spacing w:after="0"/>
              <w:rPr>
                <w:sz w:val="20"/>
                <w:szCs w:val="20"/>
                <w:color w:val="auto"/>
              </w:rPr>
            </w:pPr>
            <w:r>
              <w:rPr>
                <w:rFonts w:ascii="Arial" w:cs="Arial" w:eastAsia="Arial" w:hAnsi="Arial"/>
                <w:sz w:val="16"/>
                <w:szCs w:val="16"/>
                <w:b w:val="1"/>
                <w:bCs w:val="1"/>
                <w:color w:val="auto"/>
                <w:w w:val="94"/>
              </w:rPr>
              <w:t>Annual Report on Form 10-K</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6"/>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20" w:type="dxa"/>
            <w:vAlign w:val="bottom"/>
            <w:gridSpan w:val="15"/>
          </w:tcPr>
          <w:p>
            <w:pPr>
              <w:jc w:val="center"/>
              <w:ind w:right="228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13"/>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75"/>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2"/>
          </w:tcPr>
          <w:p>
            <w:pPr>
              <w:jc w:val="center"/>
              <w:spacing w:after="0"/>
              <w:rPr>
                <w:rFonts w:ascii="Arial" w:cs="Arial" w:eastAsia="Arial" w:hAnsi="Arial"/>
                <w:sz w:val="20"/>
                <w:szCs w:val="20"/>
                <w:color w:val="0000EE"/>
                <w:w w:val="92"/>
              </w:rPr>
            </w:pPr>
            <w:hyperlink w:anchor="page6">
              <w:r>
                <w:rPr>
                  <w:rFonts w:ascii="Arial" w:cs="Arial" w:eastAsia="Arial" w:hAnsi="Arial"/>
                  <w:sz w:val="20"/>
                  <w:szCs w:val="20"/>
                  <w:color w:val="0000EE"/>
                  <w:w w:val="92"/>
                </w:rPr>
                <w:t>PART I</w:t>
              </w:r>
            </w:hyperlink>
          </w:p>
        </w:tc>
        <w:tc>
          <w:tcPr>
            <w:tcW w:w="41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1.</w:t>
            </w:r>
          </w:p>
        </w:tc>
        <w:tc>
          <w:tcPr>
            <w:tcW w:w="420" w:type="dxa"/>
            <w:vAlign w:val="bottom"/>
            <w:gridSpan w:val="2"/>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6">
              <w:r>
                <w:rPr>
                  <w:rFonts w:ascii="Arial" w:cs="Arial" w:eastAsia="Arial" w:hAnsi="Arial"/>
                  <w:sz w:val="20"/>
                  <w:szCs w:val="20"/>
                  <w:color w:val="0000EE"/>
                </w:rPr>
                <w:t>Business</w:t>
              </w:r>
            </w:hyperlink>
          </w:p>
        </w:tc>
        <w:tc>
          <w:tcPr>
            <w:tcW w:w="1200" w:type="dxa"/>
            <w:vAlign w:val="bottom"/>
            <w:gridSpan w:val="4"/>
          </w:tcPr>
          <w:p>
            <w:pPr>
              <w:jc w:val="right"/>
              <w:spacing w:after="0"/>
              <w:rPr>
                <w:rFonts w:ascii="Arial" w:cs="Arial" w:eastAsia="Arial" w:hAnsi="Arial"/>
                <w:sz w:val="20"/>
                <w:szCs w:val="20"/>
                <w:color w:val="0000EE"/>
              </w:rPr>
            </w:pPr>
            <w:hyperlink w:anchor="page6">
              <w:r>
                <w:rPr>
                  <w:rFonts w:ascii="Arial" w:cs="Arial" w:eastAsia="Arial" w:hAnsi="Arial"/>
                  <w:sz w:val="20"/>
                  <w:szCs w:val="20"/>
                  <w:color w:val="0000EE"/>
                </w:rPr>
                <w:t>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0"/>
              </w:rPr>
              <w:t>Item 1A.</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7">
              <w:r>
                <w:rPr>
                  <w:rFonts w:ascii="Arial" w:cs="Arial" w:eastAsia="Arial" w:hAnsi="Arial"/>
                  <w:sz w:val="20"/>
                  <w:szCs w:val="20"/>
                  <w:color w:val="0000EE"/>
                </w:rPr>
                <w:t>Risk Factors</w:t>
              </w:r>
            </w:hyperlink>
          </w:p>
        </w:tc>
        <w:tc>
          <w:tcPr>
            <w:tcW w:w="1200" w:type="dxa"/>
            <w:vAlign w:val="bottom"/>
            <w:gridSpan w:val="4"/>
          </w:tcPr>
          <w:p>
            <w:pPr>
              <w:jc w:val="right"/>
              <w:spacing w:after="0"/>
              <w:rPr>
                <w:rFonts w:ascii="Arial" w:cs="Arial" w:eastAsia="Arial" w:hAnsi="Arial"/>
                <w:sz w:val="20"/>
                <w:szCs w:val="20"/>
                <w:color w:val="0000EE"/>
              </w:rPr>
            </w:pPr>
            <w:hyperlink w:anchor="page17">
              <w:r>
                <w:rPr>
                  <w:rFonts w:ascii="Arial" w:cs="Arial" w:eastAsia="Arial" w:hAnsi="Arial"/>
                  <w:sz w:val="20"/>
                  <w:szCs w:val="20"/>
                  <w:color w:val="0000EE"/>
                </w:rPr>
                <w:t>15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0"/>
              </w:rPr>
              <w:t>Item 1B.</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49">
              <w:r>
                <w:rPr>
                  <w:rFonts w:ascii="Arial" w:cs="Arial" w:eastAsia="Arial" w:hAnsi="Arial"/>
                  <w:sz w:val="20"/>
                  <w:szCs w:val="20"/>
                  <w:color w:val="0000EE"/>
                </w:rPr>
                <w:t>Unresolved Staff Comments</w:t>
              </w:r>
            </w:hyperlink>
          </w:p>
        </w:tc>
        <w:tc>
          <w:tcPr>
            <w:tcW w:w="1200" w:type="dxa"/>
            <w:vAlign w:val="bottom"/>
            <w:gridSpan w:val="4"/>
          </w:tcPr>
          <w:p>
            <w:pPr>
              <w:jc w:val="right"/>
              <w:spacing w:after="0"/>
              <w:rPr>
                <w:rFonts w:ascii="Arial" w:cs="Arial" w:eastAsia="Arial" w:hAnsi="Arial"/>
                <w:sz w:val="20"/>
                <w:szCs w:val="20"/>
                <w:color w:val="0000EE"/>
              </w:rPr>
            </w:pPr>
            <w:hyperlink w:anchor="page49">
              <w:r>
                <w:rPr>
                  <w:rFonts w:ascii="Arial" w:cs="Arial" w:eastAsia="Arial" w:hAnsi="Arial"/>
                  <w:sz w:val="20"/>
                  <w:szCs w:val="20"/>
                  <w:color w:val="0000EE"/>
                </w:rPr>
                <w:t>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49">
              <w:r>
                <w:rPr>
                  <w:rFonts w:ascii="Arial" w:cs="Arial" w:eastAsia="Arial" w:hAnsi="Arial"/>
                  <w:sz w:val="20"/>
                  <w:szCs w:val="20"/>
                  <w:color w:val="0000EE"/>
                </w:rPr>
                <w:t>Properties</w:t>
              </w:r>
            </w:hyperlink>
          </w:p>
        </w:tc>
        <w:tc>
          <w:tcPr>
            <w:tcW w:w="1200" w:type="dxa"/>
            <w:vAlign w:val="bottom"/>
            <w:gridSpan w:val="4"/>
          </w:tcPr>
          <w:p>
            <w:pPr>
              <w:jc w:val="right"/>
              <w:spacing w:after="0"/>
              <w:rPr>
                <w:rFonts w:ascii="Arial" w:cs="Arial" w:eastAsia="Arial" w:hAnsi="Arial"/>
                <w:sz w:val="20"/>
                <w:szCs w:val="20"/>
                <w:color w:val="0000EE"/>
              </w:rPr>
            </w:pPr>
            <w:hyperlink w:anchor="page49">
              <w:r>
                <w:rPr>
                  <w:rFonts w:ascii="Arial" w:cs="Arial" w:eastAsia="Arial" w:hAnsi="Arial"/>
                  <w:sz w:val="20"/>
                  <w:szCs w:val="20"/>
                  <w:color w:val="0000EE"/>
                </w:rPr>
                <w:t>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3.</w:t>
            </w:r>
          </w:p>
        </w:tc>
        <w:tc>
          <w:tcPr>
            <w:tcW w:w="420" w:type="dxa"/>
            <w:vAlign w:val="bottom"/>
            <w:gridSpan w:val="2"/>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50">
              <w:r>
                <w:rPr>
                  <w:rFonts w:ascii="Arial" w:cs="Arial" w:eastAsia="Arial" w:hAnsi="Arial"/>
                  <w:sz w:val="20"/>
                  <w:szCs w:val="20"/>
                  <w:color w:val="0000EE"/>
                </w:rPr>
                <w:t>Legal Proceedings</w:t>
              </w:r>
            </w:hyperlink>
          </w:p>
        </w:tc>
        <w:tc>
          <w:tcPr>
            <w:tcW w:w="1200" w:type="dxa"/>
            <w:vAlign w:val="bottom"/>
            <w:gridSpan w:val="4"/>
          </w:tcPr>
          <w:p>
            <w:pPr>
              <w:jc w:val="right"/>
              <w:spacing w:after="0"/>
              <w:rPr>
                <w:rFonts w:ascii="Arial" w:cs="Arial" w:eastAsia="Arial" w:hAnsi="Arial"/>
                <w:sz w:val="20"/>
                <w:szCs w:val="20"/>
                <w:color w:val="0000EE"/>
              </w:rPr>
            </w:pPr>
            <w:hyperlink w:anchor="page50">
              <w:r>
                <w:rPr>
                  <w:rFonts w:ascii="Arial" w:cs="Arial" w:eastAsia="Arial" w:hAnsi="Arial"/>
                  <w:sz w:val="20"/>
                  <w:szCs w:val="20"/>
                  <w:color w:val="0000EE"/>
                </w:rPr>
                <w:t>48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4.</w:t>
            </w:r>
          </w:p>
        </w:tc>
        <w:tc>
          <w:tcPr>
            <w:tcW w:w="420" w:type="dxa"/>
            <w:vAlign w:val="bottom"/>
            <w:gridSpan w:val="2"/>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51">
              <w:r>
                <w:rPr>
                  <w:rFonts w:ascii="Arial" w:cs="Arial" w:eastAsia="Arial" w:hAnsi="Arial"/>
                  <w:sz w:val="20"/>
                  <w:szCs w:val="20"/>
                  <w:color w:val="0000EE"/>
                </w:rPr>
                <w:t>Mine Safety Disclosures</w:t>
              </w:r>
            </w:hyperlink>
          </w:p>
        </w:tc>
        <w:tc>
          <w:tcPr>
            <w:tcW w:w="1200" w:type="dxa"/>
            <w:vAlign w:val="bottom"/>
            <w:gridSpan w:val="4"/>
          </w:tcPr>
          <w:p>
            <w:pPr>
              <w:jc w:val="right"/>
              <w:spacing w:after="0"/>
              <w:rPr>
                <w:rFonts w:ascii="Arial" w:cs="Arial" w:eastAsia="Arial" w:hAnsi="Arial"/>
                <w:sz w:val="20"/>
                <w:szCs w:val="20"/>
                <w:color w:val="0000EE"/>
              </w:rPr>
            </w:pPr>
            <w:hyperlink w:anchor="page51">
              <w:r>
                <w:rPr>
                  <w:rFonts w:ascii="Arial" w:cs="Arial" w:eastAsia="Arial" w:hAnsi="Arial"/>
                  <w:sz w:val="20"/>
                  <w:szCs w:val="20"/>
                  <w:color w:val="0000EE"/>
                </w:rPr>
                <w:t>49</w:t>
              </w:r>
            </w:hyperlink>
          </w:p>
        </w:tc>
      </w:tr>
      <w:tr>
        <w:trPr>
          <w:trHeight w:val="264"/>
        </w:trPr>
        <w:tc>
          <w:tcPr>
            <w:tcW w:w="560" w:type="dxa"/>
            <w:vAlign w:val="bottom"/>
            <w:tcBorders>
              <w:top w:val="single" w:sz="8" w:color="0000FF"/>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80" w:type="dxa"/>
            <w:vAlign w:val="bottom"/>
            <w:gridSpan w:val="10"/>
          </w:tcPr>
          <w:p>
            <w:pPr>
              <w:jc w:val="center"/>
              <w:ind w:right="4140"/>
              <w:spacing w:after="0"/>
              <w:rPr>
                <w:rFonts w:ascii="Arial" w:cs="Arial" w:eastAsia="Arial" w:hAnsi="Arial"/>
                <w:sz w:val="20"/>
                <w:szCs w:val="20"/>
                <w:color w:val="0000EE"/>
                <w:w w:val="91"/>
              </w:rPr>
            </w:pPr>
            <w:hyperlink w:anchor="page51">
              <w:r>
                <w:rPr>
                  <w:rFonts w:ascii="Arial" w:cs="Arial" w:eastAsia="Arial" w:hAnsi="Arial"/>
                  <w:sz w:val="20"/>
                  <w:szCs w:val="20"/>
                  <w:color w:val="0000EE"/>
                  <w:w w:val="91"/>
                </w:rPr>
                <w:t>PART II</w:t>
              </w:r>
            </w:hyperlink>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r>
      <w:tr>
        <w:trPr>
          <w:trHeight w:val="20"/>
        </w:trPr>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5.</w:t>
            </w:r>
          </w:p>
        </w:tc>
        <w:tc>
          <w:tcPr>
            <w:tcW w:w="420" w:type="dxa"/>
            <w:vAlign w:val="bottom"/>
            <w:gridSpan w:val="2"/>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w w:val="89"/>
              </w:rPr>
            </w:pPr>
            <w:hyperlink w:anchor="page51">
              <w:r>
                <w:rPr>
                  <w:rFonts w:ascii="Arial" w:cs="Arial" w:eastAsia="Arial" w:hAnsi="Arial"/>
                  <w:sz w:val="20"/>
                  <w:szCs w:val="20"/>
                  <w:color w:val="0000EE"/>
                  <w:w w:val="89"/>
                </w:rPr>
                <w:t>Market for Registrant's Common Equity, Related Stockholder Matters and Issuer Purchases of Equity Securities</w:t>
              </w:r>
            </w:hyperlink>
          </w:p>
        </w:tc>
        <w:tc>
          <w:tcPr>
            <w:tcW w:w="1200" w:type="dxa"/>
            <w:vAlign w:val="bottom"/>
            <w:gridSpan w:val="4"/>
          </w:tcPr>
          <w:p>
            <w:pPr>
              <w:jc w:val="right"/>
              <w:spacing w:after="0"/>
              <w:rPr>
                <w:rFonts w:ascii="Arial" w:cs="Arial" w:eastAsia="Arial" w:hAnsi="Arial"/>
                <w:sz w:val="20"/>
                <w:szCs w:val="20"/>
                <w:color w:val="0000EE"/>
              </w:rPr>
            </w:pPr>
            <w:hyperlink w:anchor="page51">
              <w:r>
                <w:rPr>
                  <w:rFonts w:ascii="Arial" w:cs="Arial" w:eastAsia="Arial" w:hAnsi="Arial"/>
                  <w:sz w:val="20"/>
                  <w:szCs w:val="20"/>
                  <w:color w:val="0000EE"/>
                </w:rPr>
                <w:t>49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6.</w:t>
            </w:r>
          </w:p>
        </w:tc>
        <w:tc>
          <w:tcPr>
            <w:tcW w:w="420" w:type="dxa"/>
            <w:vAlign w:val="bottom"/>
            <w:gridSpan w:val="2"/>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53">
              <w:r>
                <w:rPr>
                  <w:rFonts w:ascii="Arial" w:cs="Arial" w:eastAsia="Arial" w:hAnsi="Arial"/>
                  <w:sz w:val="20"/>
                  <w:szCs w:val="20"/>
                  <w:color w:val="0000EE"/>
                </w:rPr>
                <w:t>Selected Financial Data</w:t>
              </w:r>
            </w:hyperlink>
          </w:p>
        </w:tc>
        <w:tc>
          <w:tcPr>
            <w:tcW w:w="1200" w:type="dxa"/>
            <w:vAlign w:val="bottom"/>
            <w:gridSpan w:val="4"/>
          </w:tcPr>
          <w:p>
            <w:pPr>
              <w:jc w:val="right"/>
              <w:spacing w:after="0"/>
              <w:rPr>
                <w:rFonts w:ascii="Arial" w:cs="Arial" w:eastAsia="Arial" w:hAnsi="Arial"/>
                <w:sz w:val="20"/>
                <w:szCs w:val="20"/>
                <w:color w:val="0000EE"/>
              </w:rPr>
            </w:pPr>
            <w:hyperlink w:anchor="page53">
              <w:r>
                <w:rPr>
                  <w:rFonts w:ascii="Arial" w:cs="Arial" w:eastAsia="Arial" w:hAnsi="Arial"/>
                  <w:sz w:val="20"/>
                  <w:szCs w:val="20"/>
                  <w:color w:val="0000EE"/>
                </w:rPr>
                <w:t>51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7.</w:t>
            </w:r>
          </w:p>
        </w:tc>
        <w:tc>
          <w:tcPr>
            <w:tcW w:w="420" w:type="dxa"/>
            <w:vAlign w:val="bottom"/>
            <w:gridSpan w:val="2"/>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59">
              <w:r>
                <w:rPr>
                  <w:rFonts w:ascii="Arial" w:cs="Arial" w:eastAsia="Arial" w:hAnsi="Arial"/>
                  <w:sz w:val="20"/>
                  <w:szCs w:val="20"/>
                  <w:color w:val="0000EE"/>
                </w:rPr>
                <w:t>Management's Discussion and Analysis of Financial Condition and Results of Operations</w:t>
              </w:r>
            </w:hyperlink>
          </w:p>
        </w:tc>
        <w:tc>
          <w:tcPr>
            <w:tcW w:w="1200" w:type="dxa"/>
            <w:vAlign w:val="bottom"/>
            <w:gridSpan w:val="4"/>
          </w:tcPr>
          <w:p>
            <w:pPr>
              <w:jc w:val="right"/>
              <w:spacing w:after="0"/>
              <w:rPr>
                <w:rFonts w:ascii="Arial" w:cs="Arial" w:eastAsia="Arial" w:hAnsi="Arial"/>
                <w:sz w:val="20"/>
                <w:szCs w:val="20"/>
                <w:color w:val="0000EE"/>
              </w:rPr>
            </w:pPr>
            <w:hyperlink w:anchor="page59">
              <w:r>
                <w:rPr>
                  <w:rFonts w:ascii="Arial" w:cs="Arial" w:eastAsia="Arial" w:hAnsi="Arial"/>
                  <w:sz w:val="20"/>
                  <w:szCs w:val="20"/>
                  <w:color w:val="0000EE"/>
                </w:rPr>
                <w:t>57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0"/>
              </w:rPr>
              <w:t>Item 7A.</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81">
              <w:r>
                <w:rPr>
                  <w:rFonts w:ascii="Arial" w:cs="Arial" w:eastAsia="Arial" w:hAnsi="Arial"/>
                  <w:sz w:val="20"/>
                  <w:szCs w:val="20"/>
                  <w:color w:val="0000EE"/>
                </w:rPr>
                <w:t>Quantitative and Qualitative Disclosures About Market Risk</w:t>
              </w:r>
            </w:hyperlink>
          </w:p>
        </w:tc>
        <w:tc>
          <w:tcPr>
            <w:tcW w:w="1200" w:type="dxa"/>
            <w:vAlign w:val="bottom"/>
            <w:gridSpan w:val="4"/>
          </w:tcPr>
          <w:p>
            <w:pPr>
              <w:jc w:val="right"/>
              <w:spacing w:after="0"/>
              <w:rPr>
                <w:rFonts w:ascii="Arial" w:cs="Arial" w:eastAsia="Arial" w:hAnsi="Arial"/>
                <w:sz w:val="20"/>
                <w:szCs w:val="20"/>
                <w:color w:val="0000EE"/>
              </w:rPr>
            </w:pPr>
            <w:hyperlink w:anchor="page81">
              <w:r>
                <w:rPr>
                  <w:rFonts w:ascii="Arial" w:cs="Arial" w:eastAsia="Arial" w:hAnsi="Arial"/>
                  <w:sz w:val="20"/>
                  <w:szCs w:val="20"/>
                  <w:color w:val="0000EE"/>
                </w:rPr>
                <w:t>79</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80" w:type="dxa"/>
            <w:vAlign w:val="bottom"/>
            <w:tcBorders>
              <w:left w:val="single" w:sz="8" w:color="0000EE"/>
            </w:tcBorders>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82">
              <w:r>
                <w:rPr>
                  <w:rFonts w:ascii="Arial" w:cs="Arial" w:eastAsia="Arial" w:hAnsi="Arial"/>
                  <w:sz w:val="20"/>
                  <w:szCs w:val="20"/>
                  <w:color w:val="0000EE"/>
                </w:rPr>
                <w:t>Financial Statements and Supplementary Data</w:t>
              </w:r>
            </w:hyperlink>
          </w:p>
        </w:tc>
        <w:tc>
          <w:tcPr>
            <w:tcW w:w="1200" w:type="dxa"/>
            <w:vAlign w:val="bottom"/>
            <w:gridSpan w:val="4"/>
          </w:tcPr>
          <w:p>
            <w:pPr>
              <w:jc w:val="right"/>
              <w:spacing w:after="0"/>
              <w:rPr>
                <w:rFonts w:ascii="Arial" w:cs="Arial" w:eastAsia="Arial" w:hAnsi="Arial"/>
                <w:sz w:val="20"/>
                <w:szCs w:val="20"/>
                <w:color w:val="0000EE"/>
              </w:rPr>
            </w:pPr>
            <w:hyperlink w:anchor="page82">
              <w:r>
                <w:rPr>
                  <w:rFonts w:ascii="Arial" w:cs="Arial" w:eastAsia="Arial" w:hAnsi="Arial"/>
                  <w:sz w:val="20"/>
                  <w:szCs w:val="20"/>
                  <w:color w:val="0000EE"/>
                </w:rPr>
                <w:t>80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64"/>
        </w:trPr>
        <w:tc>
          <w:tcPr>
            <w:tcW w:w="560" w:type="dxa"/>
            <w:vAlign w:val="bottom"/>
          </w:tcPr>
          <w:p>
            <w:pPr>
              <w:spacing w:after="0"/>
              <w:rPr>
                <w:sz w:val="20"/>
                <w:szCs w:val="20"/>
                <w:color w:val="auto"/>
              </w:rPr>
            </w:pPr>
            <w:r>
              <w:rPr>
                <w:rFonts w:ascii="Arial" w:cs="Arial" w:eastAsia="Arial" w:hAnsi="Arial"/>
                <w:sz w:val="20"/>
                <w:szCs w:val="20"/>
                <w:color w:val="0000FF"/>
                <w:w w:val="88"/>
              </w:rPr>
              <w:t>Item 9.</w:t>
            </w:r>
          </w:p>
        </w:tc>
        <w:tc>
          <w:tcPr>
            <w:tcW w:w="420" w:type="dxa"/>
            <w:vAlign w:val="bottom"/>
            <w:gridSpan w:val="2"/>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27">
              <w:r>
                <w:rPr>
                  <w:rFonts w:ascii="Arial" w:cs="Arial" w:eastAsia="Arial" w:hAnsi="Arial"/>
                  <w:sz w:val="20"/>
                  <w:szCs w:val="20"/>
                  <w:color w:val="0000EE"/>
                </w:rPr>
                <w:t>Changes in and Disagreements with Accountants on Accounting and Financial Disclosure</w:t>
              </w:r>
            </w:hyperlink>
          </w:p>
        </w:tc>
        <w:tc>
          <w:tcPr>
            <w:tcW w:w="1200" w:type="dxa"/>
            <w:vAlign w:val="bottom"/>
            <w:gridSpan w:val="4"/>
          </w:tcPr>
          <w:p>
            <w:pPr>
              <w:jc w:val="right"/>
              <w:spacing w:after="0"/>
              <w:rPr>
                <w:rFonts w:ascii="Arial" w:cs="Arial" w:eastAsia="Arial" w:hAnsi="Arial"/>
                <w:sz w:val="20"/>
                <w:szCs w:val="20"/>
                <w:color w:val="0000EE"/>
              </w:rPr>
            </w:pPr>
            <w:hyperlink w:anchor="page127">
              <w:r>
                <w:rPr>
                  <w:rFonts w:ascii="Arial" w:cs="Arial" w:eastAsia="Arial" w:hAnsi="Arial"/>
                  <w:sz w:val="20"/>
                  <w:szCs w:val="20"/>
                  <w:color w:val="0000EE"/>
                </w:rPr>
                <w:t>123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0"/>
              </w:rPr>
              <w:t>Item 9A.</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27">
              <w:r>
                <w:rPr>
                  <w:rFonts w:ascii="Arial" w:cs="Arial" w:eastAsia="Arial" w:hAnsi="Arial"/>
                  <w:sz w:val="20"/>
                  <w:szCs w:val="20"/>
                  <w:color w:val="0000EE"/>
                </w:rPr>
                <w:t>Controls and Procedures</w:t>
              </w:r>
            </w:hyperlink>
          </w:p>
        </w:tc>
        <w:tc>
          <w:tcPr>
            <w:tcW w:w="1200" w:type="dxa"/>
            <w:vAlign w:val="bottom"/>
            <w:gridSpan w:val="4"/>
          </w:tcPr>
          <w:p>
            <w:pPr>
              <w:jc w:val="right"/>
              <w:spacing w:after="0"/>
              <w:rPr>
                <w:rFonts w:ascii="Arial" w:cs="Arial" w:eastAsia="Arial" w:hAnsi="Arial"/>
                <w:sz w:val="20"/>
                <w:szCs w:val="20"/>
                <w:color w:val="0000EE"/>
              </w:rPr>
            </w:pPr>
            <w:hyperlink w:anchor="page127">
              <w:r>
                <w:rPr>
                  <w:rFonts w:ascii="Arial" w:cs="Arial" w:eastAsia="Arial" w:hAnsi="Arial"/>
                  <w:sz w:val="20"/>
                  <w:szCs w:val="20"/>
                  <w:color w:val="0000EE"/>
                </w:rPr>
                <w:t>123</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0"/>
              </w:rPr>
              <w:t>Item 9B.</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28">
              <w:r>
                <w:rPr>
                  <w:rFonts w:ascii="Arial" w:cs="Arial" w:eastAsia="Arial" w:hAnsi="Arial"/>
                  <w:sz w:val="20"/>
                  <w:szCs w:val="20"/>
                  <w:color w:val="0000EE"/>
                </w:rPr>
                <w:t>Other Information</w:t>
              </w:r>
            </w:hyperlink>
          </w:p>
        </w:tc>
        <w:tc>
          <w:tcPr>
            <w:tcW w:w="1200" w:type="dxa"/>
            <w:vAlign w:val="bottom"/>
            <w:gridSpan w:val="4"/>
          </w:tcPr>
          <w:p>
            <w:pPr>
              <w:jc w:val="right"/>
              <w:spacing w:after="0"/>
              <w:rPr>
                <w:rFonts w:ascii="Arial" w:cs="Arial" w:eastAsia="Arial" w:hAnsi="Arial"/>
                <w:sz w:val="20"/>
                <w:szCs w:val="20"/>
                <w:color w:val="0000EE"/>
              </w:rPr>
            </w:pPr>
            <w:hyperlink w:anchor="page128">
              <w:r>
                <w:rPr>
                  <w:rFonts w:ascii="Arial" w:cs="Arial" w:eastAsia="Arial" w:hAnsi="Arial"/>
                  <w:sz w:val="20"/>
                  <w:szCs w:val="20"/>
                  <w:color w:val="0000EE"/>
                </w:rPr>
                <w:t>124</w:t>
              </w:r>
            </w:hyperlink>
          </w:p>
        </w:tc>
      </w:tr>
      <w:tr>
        <w:trPr>
          <w:trHeight w:val="264"/>
        </w:trPr>
        <w:tc>
          <w:tcPr>
            <w:tcW w:w="5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20" w:type="dxa"/>
            <w:vAlign w:val="bottom"/>
            <w:gridSpan w:val="11"/>
          </w:tcPr>
          <w:p>
            <w:pPr>
              <w:jc w:val="center"/>
              <w:ind w:right="4100"/>
              <w:spacing w:after="0"/>
              <w:rPr>
                <w:rFonts w:ascii="Arial" w:cs="Arial" w:eastAsia="Arial" w:hAnsi="Arial"/>
                <w:sz w:val="20"/>
                <w:szCs w:val="20"/>
                <w:color w:val="0000EE"/>
                <w:w w:val="95"/>
              </w:rPr>
            </w:pPr>
            <w:hyperlink w:anchor="page128">
              <w:r>
                <w:rPr>
                  <w:rFonts w:ascii="Arial" w:cs="Arial" w:eastAsia="Arial" w:hAnsi="Arial"/>
                  <w:sz w:val="20"/>
                  <w:szCs w:val="20"/>
                  <w:color w:val="0000EE"/>
                  <w:w w:val="95"/>
                </w:rPr>
                <w:t>PART III</w:t>
              </w:r>
            </w:hyperlink>
          </w:p>
        </w:tc>
        <w:tc>
          <w:tcPr>
            <w:tcW w:w="90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r>
      <w:tr>
        <w:trPr>
          <w:trHeight w:val="20"/>
        </w:trPr>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2"/>
              </w:rPr>
              <w:t>Item 10.</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28">
              <w:r>
                <w:rPr>
                  <w:rFonts w:ascii="Arial" w:cs="Arial" w:eastAsia="Arial" w:hAnsi="Arial"/>
                  <w:sz w:val="20"/>
                  <w:szCs w:val="20"/>
                  <w:color w:val="0000EE"/>
                </w:rPr>
                <w:t>Directors, Executive Officers and Corporate Governance</w:t>
              </w:r>
            </w:hyperlink>
          </w:p>
        </w:tc>
        <w:tc>
          <w:tcPr>
            <w:tcW w:w="1200" w:type="dxa"/>
            <w:vAlign w:val="bottom"/>
            <w:gridSpan w:val="4"/>
          </w:tcPr>
          <w:p>
            <w:pPr>
              <w:jc w:val="right"/>
              <w:spacing w:after="0"/>
              <w:rPr>
                <w:rFonts w:ascii="Arial" w:cs="Arial" w:eastAsia="Arial" w:hAnsi="Arial"/>
                <w:sz w:val="20"/>
                <w:szCs w:val="20"/>
                <w:color w:val="0000EE"/>
              </w:rPr>
            </w:pPr>
            <w:hyperlink w:anchor="page128">
              <w:r>
                <w:rPr>
                  <w:rFonts w:ascii="Arial" w:cs="Arial" w:eastAsia="Arial" w:hAnsi="Arial"/>
                  <w:sz w:val="20"/>
                  <w:szCs w:val="20"/>
                  <w:color w:val="0000EE"/>
                </w:rPr>
                <w:t>124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2"/>
              </w:rPr>
              <w:t>Item 11.</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28">
              <w:r>
                <w:rPr>
                  <w:rFonts w:ascii="Arial" w:cs="Arial" w:eastAsia="Arial" w:hAnsi="Arial"/>
                  <w:sz w:val="20"/>
                  <w:szCs w:val="20"/>
                  <w:color w:val="0000EE"/>
                </w:rPr>
                <w:t>Executive Compensation</w:t>
              </w:r>
            </w:hyperlink>
          </w:p>
        </w:tc>
        <w:tc>
          <w:tcPr>
            <w:tcW w:w="1200" w:type="dxa"/>
            <w:vAlign w:val="bottom"/>
            <w:gridSpan w:val="4"/>
          </w:tcPr>
          <w:p>
            <w:pPr>
              <w:jc w:val="right"/>
              <w:spacing w:after="0"/>
              <w:rPr>
                <w:rFonts w:ascii="Arial" w:cs="Arial" w:eastAsia="Arial" w:hAnsi="Arial"/>
                <w:sz w:val="20"/>
                <w:szCs w:val="20"/>
                <w:color w:val="0000EE"/>
              </w:rPr>
            </w:pPr>
            <w:hyperlink w:anchor="page128">
              <w:r>
                <w:rPr>
                  <w:rFonts w:ascii="Arial" w:cs="Arial" w:eastAsia="Arial" w:hAnsi="Arial"/>
                  <w:sz w:val="20"/>
                  <w:szCs w:val="20"/>
                  <w:color w:val="0000EE"/>
                </w:rPr>
                <w:t>124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2"/>
              </w:rPr>
              <w:t>Item 12.</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w w:val="99"/>
              </w:rPr>
            </w:pPr>
            <w:hyperlink w:anchor="page128">
              <w:r>
                <w:rPr>
                  <w:rFonts w:ascii="Arial" w:cs="Arial" w:eastAsia="Arial" w:hAnsi="Arial"/>
                  <w:sz w:val="20"/>
                  <w:szCs w:val="20"/>
                  <w:color w:val="0000EE"/>
                  <w:w w:val="99"/>
                </w:rPr>
                <w:t>Security Ownership of Certain Beneficial Owners and Management and Related Stockholder Matters</w:t>
              </w:r>
            </w:hyperlink>
          </w:p>
        </w:tc>
        <w:tc>
          <w:tcPr>
            <w:tcW w:w="1200" w:type="dxa"/>
            <w:vAlign w:val="bottom"/>
            <w:gridSpan w:val="4"/>
          </w:tcPr>
          <w:p>
            <w:pPr>
              <w:jc w:val="right"/>
              <w:spacing w:after="0"/>
              <w:rPr>
                <w:rFonts w:ascii="Arial" w:cs="Arial" w:eastAsia="Arial" w:hAnsi="Arial"/>
                <w:sz w:val="20"/>
                <w:szCs w:val="20"/>
                <w:color w:val="0000EE"/>
              </w:rPr>
            </w:pPr>
            <w:hyperlink w:anchor="page128">
              <w:r>
                <w:rPr>
                  <w:rFonts w:ascii="Arial" w:cs="Arial" w:eastAsia="Arial" w:hAnsi="Arial"/>
                  <w:sz w:val="20"/>
                  <w:szCs w:val="20"/>
                  <w:color w:val="0000EE"/>
                </w:rPr>
                <w:t>124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2"/>
              </w:rPr>
              <w:t>Item 13.</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28">
              <w:r>
                <w:rPr>
                  <w:rFonts w:ascii="Arial" w:cs="Arial" w:eastAsia="Arial" w:hAnsi="Arial"/>
                  <w:sz w:val="20"/>
                  <w:szCs w:val="20"/>
                  <w:color w:val="0000EE"/>
                </w:rPr>
                <w:t>Certain Relationships and Related Transactions and Director Independence</w:t>
              </w:r>
            </w:hyperlink>
          </w:p>
        </w:tc>
        <w:tc>
          <w:tcPr>
            <w:tcW w:w="1200" w:type="dxa"/>
            <w:vAlign w:val="bottom"/>
            <w:gridSpan w:val="4"/>
          </w:tcPr>
          <w:p>
            <w:pPr>
              <w:jc w:val="right"/>
              <w:spacing w:after="0"/>
              <w:rPr>
                <w:rFonts w:ascii="Arial" w:cs="Arial" w:eastAsia="Arial" w:hAnsi="Arial"/>
                <w:sz w:val="20"/>
                <w:szCs w:val="20"/>
                <w:color w:val="0000EE"/>
              </w:rPr>
            </w:pPr>
            <w:hyperlink w:anchor="page128">
              <w:r>
                <w:rPr>
                  <w:rFonts w:ascii="Arial" w:cs="Arial" w:eastAsia="Arial" w:hAnsi="Arial"/>
                  <w:sz w:val="20"/>
                  <w:szCs w:val="20"/>
                  <w:color w:val="0000EE"/>
                </w:rPr>
                <w:t>124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180" w:type="dxa"/>
            <w:vAlign w:val="bottom"/>
            <w:tcBorders>
              <w:left w:val="single" w:sz="8" w:color="0000EE"/>
            </w:tcBorders>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2"/>
              </w:rPr>
              <w:t>Item 14.</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28">
              <w:r>
                <w:rPr>
                  <w:rFonts w:ascii="Arial" w:cs="Arial" w:eastAsia="Arial" w:hAnsi="Arial"/>
                  <w:sz w:val="20"/>
                  <w:szCs w:val="20"/>
                  <w:color w:val="0000EE"/>
                </w:rPr>
                <w:t>Principal Accountant Fees and Services</w:t>
              </w:r>
            </w:hyperlink>
          </w:p>
        </w:tc>
        <w:tc>
          <w:tcPr>
            <w:tcW w:w="1200" w:type="dxa"/>
            <w:vAlign w:val="bottom"/>
            <w:gridSpan w:val="4"/>
          </w:tcPr>
          <w:p>
            <w:pPr>
              <w:jc w:val="right"/>
              <w:spacing w:after="0"/>
              <w:rPr>
                <w:rFonts w:ascii="Arial" w:cs="Arial" w:eastAsia="Arial" w:hAnsi="Arial"/>
                <w:sz w:val="20"/>
                <w:szCs w:val="20"/>
                <w:color w:val="0000EE"/>
              </w:rPr>
            </w:pPr>
            <w:hyperlink w:anchor="page128">
              <w:r>
                <w:rPr>
                  <w:rFonts w:ascii="Arial" w:cs="Arial" w:eastAsia="Arial" w:hAnsi="Arial"/>
                  <w:sz w:val="20"/>
                  <w:szCs w:val="20"/>
                  <w:color w:val="0000EE"/>
                </w:rPr>
                <w:t>124</w:t>
              </w:r>
            </w:hyperlink>
          </w:p>
        </w:tc>
      </w:tr>
      <w:tr>
        <w:trPr>
          <w:trHeight w:val="264"/>
        </w:trPr>
        <w:tc>
          <w:tcPr>
            <w:tcW w:w="5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48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90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20" w:type="dxa"/>
            <w:vAlign w:val="bottom"/>
            <w:gridSpan w:val="11"/>
          </w:tcPr>
          <w:p>
            <w:pPr>
              <w:jc w:val="center"/>
              <w:ind w:right="4100"/>
              <w:spacing w:after="0"/>
              <w:rPr>
                <w:rFonts w:ascii="Arial" w:cs="Arial" w:eastAsia="Arial" w:hAnsi="Arial"/>
                <w:sz w:val="20"/>
                <w:szCs w:val="20"/>
                <w:color w:val="0000EE"/>
                <w:w w:val="92"/>
              </w:rPr>
            </w:pPr>
            <w:hyperlink w:anchor="page128">
              <w:r>
                <w:rPr>
                  <w:rFonts w:ascii="Arial" w:cs="Arial" w:eastAsia="Arial" w:hAnsi="Arial"/>
                  <w:sz w:val="20"/>
                  <w:szCs w:val="20"/>
                  <w:color w:val="0000EE"/>
                  <w:w w:val="92"/>
                </w:rPr>
                <w:t>PART IV</w:t>
              </w:r>
            </w:hyperlink>
          </w:p>
        </w:tc>
        <w:tc>
          <w:tcPr>
            <w:tcW w:w="90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2"/>
              </w:rPr>
              <w:t>Item 15.</w:t>
            </w:r>
          </w:p>
        </w:tc>
        <w:tc>
          <w:tcPr>
            <w:tcW w:w="340" w:type="dxa"/>
            <w:vAlign w:val="bottom"/>
          </w:tcPr>
          <w:p>
            <w:pPr>
              <w:spacing w:after="0"/>
              <w:rPr>
                <w:sz w:val="22"/>
                <w:szCs w:val="22"/>
                <w:color w:val="auto"/>
              </w:rPr>
            </w:pPr>
          </w:p>
        </w:tc>
        <w:tc>
          <w:tcPr>
            <w:tcW w:w="4320" w:type="dxa"/>
            <w:vAlign w:val="bottom"/>
            <w:gridSpan w:val="14"/>
          </w:tcPr>
          <w:p>
            <w:pPr>
              <w:ind w:left="280"/>
              <w:spacing w:after="0"/>
              <w:rPr>
                <w:rFonts w:ascii="Arial" w:cs="Arial" w:eastAsia="Arial" w:hAnsi="Arial"/>
                <w:sz w:val="20"/>
                <w:szCs w:val="20"/>
                <w:color w:val="0000EE"/>
              </w:rPr>
            </w:pPr>
            <w:hyperlink w:anchor="page128">
              <w:r>
                <w:rPr>
                  <w:rFonts w:ascii="Arial" w:cs="Arial" w:eastAsia="Arial" w:hAnsi="Arial"/>
                  <w:sz w:val="20"/>
                  <w:szCs w:val="20"/>
                  <w:color w:val="0000EE"/>
                </w:rPr>
                <w:t>Exhibits, Financial Statement Schedules</w:t>
              </w:r>
            </w:hyperlink>
          </w:p>
        </w:tc>
        <w:tc>
          <w:tcPr>
            <w:tcW w:w="720" w:type="dxa"/>
            <w:vAlign w:val="bottom"/>
            <w:tcBorders>
              <w:top w:val="single" w:sz="8" w:color="0000EE"/>
            </w:tcBorders>
            <w:gridSpan w:val="6"/>
          </w:tcPr>
          <w:p>
            <w:pPr>
              <w:spacing w:after="0"/>
              <w:rPr>
                <w:sz w:val="22"/>
                <w:szCs w:val="22"/>
                <w:color w:val="auto"/>
              </w:rPr>
            </w:pPr>
          </w:p>
        </w:tc>
        <w:tc>
          <w:tcPr>
            <w:tcW w:w="4100" w:type="dxa"/>
            <w:vAlign w:val="bottom"/>
            <w:gridSpan w:val="5"/>
          </w:tcPr>
          <w:p>
            <w:pPr>
              <w:spacing w:after="0"/>
              <w:rPr>
                <w:sz w:val="22"/>
                <w:szCs w:val="22"/>
                <w:color w:val="auto"/>
              </w:rPr>
            </w:pPr>
          </w:p>
        </w:tc>
        <w:tc>
          <w:tcPr>
            <w:tcW w:w="1200" w:type="dxa"/>
            <w:vAlign w:val="bottom"/>
            <w:gridSpan w:val="4"/>
          </w:tcPr>
          <w:p>
            <w:pPr>
              <w:jc w:val="right"/>
              <w:spacing w:after="0"/>
              <w:rPr>
                <w:rFonts w:ascii="Arial" w:cs="Arial" w:eastAsia="Arial" w:hAnsi="Arial"/>
                <w:sz w:val="20"/>
                <w:szCs w:val="20"/>
                <w:color w:val="0000EE"/>
              </w:rPr>
            </w:pPr>
            <w:hyperlink w:anchor="page128">
              <w:r>
                <w:rPr>
                  <w:rFonts w:ascii="Arial" w:cs="Arial" w:eastAsia="Arial" w:hAnsi="Arial"/>
                  <w:sz w:val="20"/>
                  <w:szCs w:val="20"/>
                  <w:color w:val="0000EE"/>
                </w:rPr>
                <w:t>124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568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r>
      <w:tr>
        <w:trPr>
          <w:trHeight w:val="264"/>
        </w:trPr>
        <w:tc>
          <w:tcPr>
            <w:tcW w:w="640" w:type="dxa"/>
            <w:vAlign w:val="bottom"/>
            <w:gridSpan w:val="2"/>
          </w:tcPr>
          <w:p>
            <w:pPr>
              <w:spacing w:after="0"/>
              <w:rPr>
                <w:sz w:val="20"/>
                <w:szCs w:val="20"/>
                <w:color w:val="auto"/>
              </w:rPr>
            </w:pPr>
            <w:r>
              <w:rPr>
                <w:rFonts w:ascii="Arial" w:cs="Arial" w:eastAsia="Arial" w:hAnsi="Arial"/>
                <w:sz w:val="20"/>
                <w:szCs w:val="20"/>
                <w:color w:val="0000FF"/>
                <w:w w:val="82"/>
              </w:rPr>
              <w:t>Item 16.</w:t>
            </w:r>
          </w:p>
        </w:tc>
        <w:tc>
          <w:tcPr>
            <w:tcW w:w="340" w:type="dxa"/>
            <w:vAlign w:val="bottom"/>
          </w:tcPr>
          <w:p>
            <w:pPr>
              <w:spacing w:after="0"/>
              <w:rPr>
                <w:sz w:val="22"/>
                <w:szCs w:val="22"/>
                <w:color w:val="auto"/>
              </w:rPr>
            </w:pPr>
          </w:p>
        </w:tc>
        <w:tc>
          <w:tcPr>
            <w:tcW w:w="9140" w:type="dxa"/>
            <w:vAlign w:val="bottom"/>
            <w:gridSpan w:val="25"/>
          </w:tcPr>
          <w:p>
            <w:pPr>
              <w:ind w:left="280"/>
              <w:spacing w:after="0"/>
              <w:rPr>
                <w:rFonts w:ascii="Arial" w:cs="Arial" w:eastAsia="Arial" w:hAnsi="Arial"/>
                <w:sz w:val="20"/>
                <w:szCs w:val="20"/>
                <w:color w:val="0000EE"/>
              </w:rPr>
            </w:pPr>
            <w:hyperlink w:anchor="page130">
              <w:r>
                <w:rPr>
                  <w:rFonts w:ascii="Arial" w:cs="Arial" w:eastAsia="Arial" w:hAnsi="Arial"/>
                  <w:sz w:val="20"/>
                  <w:szCs w:val="20"/>
                  <w:color w:val="0000EE"/>
                </w:rPr>
                <w:t>Form 10-K Summary</w:t>
              </w:r>
            </w:hyperlink>
          </w:p>
        </w:tc>
        <w:tc>
          <w:tcPr>
            <w:tcW w:w="1200" w:type="dxa"/>
            <w:vAlign w:val="bottom"/>
            <w:gridSpan w:val="4"/>
          </w:tcPr>
          <w:p>
            <w:pPr>
              <w:jc w:val="right"/>
              <w:spacing w:after="0"/>
              <w:rPr>
                <w:rFonts w:ascii="Arial" w:cs="Arial" w:eastAsia="Arial" w:hAnsi="Arial"/>
                <w:sz w:val="20"/>
                <w:szCs w:val="20"/>
                <w:color w:val="0000EE"/>
              </w:rPr>
            </w:pPr>
            <w:hyperlink w:anchor="page130">
              <w:r>
                <w:rPr>
                  <w:rFonts w:ascii="Arial" w:cs="Arial" w:eastAsia="Arial" w:hAnsi="Arial"/>
                  <w:sz w:val="20"/>
                  <w:szCs w:val="20"/>
                  <w:color w:val="0000EE"/>
                </w:rPr>
                <w:t>126</w:t>
              </w:r>
            </w:hyperlink>
          </w:p>
        </w:tc>
      </w:tr>
      <w:tr>
        <w:trPr>
          <w:trHeight w:val="669"/>
        </w:trPr>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top w:val="single" w:sz="8" w:color="0000EE"/>
            </w:tcBorders>
            <w:gridSpan w:val="5"/>
          </w:tcPr>
          <w:p>
            <w:pPr>
              <w:spacing w:after="0"/>
              <w:rPr>
                <w:sz w:val="24"/>
                <w:szCs w:val="24"/>
                <w:color w:val="auto"/>
              </w:rPr>
            </w:pPr>
          </w:p>
        </w:tc>
        <w:tc>
          <w:tcPr>
            <w:tcW w:w="2800" w:type="dxa"/>
            <w:vAlign w:val="bottom"/>
            <w:gridSpan w:val="11"/>
          </w:tcPr>
          <w:p>
            <w:pPr>
              <w:jc w:val="center"/>
              <w:ind w:left="253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Annual Report on Form 10-K include, but are not limited to, statements about:</w:t>
      </w:r>
    </w:p>
    <w:p>
      <w:pPr>
        <w:spacing w:after="0" w:line="22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and retain customers, including large enterprises;</w:t>
      </w:r>
    </w:p>
    <w:p>
      <w:pPr>
        <w:spacing w:after="0" w:line="3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approach to identifying, attracting and keeping new and existing customers, as well as our expectations regarding customer turnover;</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beliefs regarding network traffic growth and other trends related to the usage of our products and services;</w:t>
      </w:r>
    </w:p>
    <w:p>
      <w:pPr>
        <w:spacing w:after="0" w:line="3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expectations regarding revenue, costs, expenses, gross margin, dollar based net retention rate, Adjusted EBITDA and capital expenditures;</w:t>
      </w: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beliefs regarding the growth of our business and how that impacts our liquidity and capital resources requirements;</w:t>
      </w:r>
    </w:p>
    <w:p>
      <w:pPr>
        <w:spacing w:after="0" w:line="65"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sufficiency of our cash and cash equivalents to meet our liquidity needs;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train, and retain qualified employees and key personnel;</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beliefs regarding the expense and productivity of and competition for our sales force;</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expectations regarding headcount;</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and benefit from our corporate culture;</w:t>
      </w:r>
    </w:p>
    <w:p>
      <w:pPr>
        <w:spacing w:after="0" w:line="3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plans to further invest in and grow our business, and our ability to effectively manage our growth and associated investments;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introduce new products and services and enhance existing products and services;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compete successfully against current and future competitors;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evolution of technology affecting our products, services and markets;</w:t>
      </w:r>
    </w:p>
    <w:p>
      <w:pPr>
        <w:spacing w:after="0" w:line="30" w:lineRule="exact"/>
        <w:rPr>
          <w:rFonts w:ascii="Arial" w:cs="Arial" w:eastAsia="Arial" w:hAnsi="Arial"/>
          <w:sz w:val="22"/>
          <w:szCs w:val="22"/>
          <w:color w:val="auto"/>
        </w:rPr>
      </w:pPr>
    </w:p>
    <w:p>
      <w:pPr>
        <w:ind w:left="660" w:hanging="328"/>
        <w:spacing w:after="0" w:line="256"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impact of certain new accounting standards and guidance as well as the time and cost of continued compliance with existing rules and standards;</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beliefs regarding the use of non-GAAP financial measures;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protect and enhance our intellectual property;</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expectations regarding litigation and other pending or potential disputes;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modified or new laws and regulations; and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increased expenses associated with being a public company.</w:t>
      </w:r>
    </w:p>
    <w:p>
      <w:pPr>
        <w:spacing w:after="0" w:line="3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We caution you that the foregoing list may not contain all the forward-looking statements made in this Annual Report on Form 10-K.</w:t>
      </w:r>
    </w:p>
    <w:p>
      <w:pPr>
        <w:spacing w:after="0" w:line="1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We are a leading cloud-based communications platform for enterprises in the United States. Our solutions include a broad range of software Application Programming Interfaces ("APIs") for voice and text functionality and our owned and managed, purpose-built Internet Protocol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Internet of Things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Communications Platform-as-a-Service ("CPaaS") space through our innovation-rich culture and focus on empowering enterprises with end-to-end communications solutions.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voice as an interface and Application-to-Person ("A2P") messaging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but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solutions address enterprises’ communications needs, which we believe are shaping the future of how enterprises connect through embedded voice and text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Our customers currently include only enterprises, which includes large enterprises, small and medium-sized businesses, emerging technology companies and any other business. Our customers operate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Voice, Microsoft Office 365 Skype for Business, Cisco-Webex, Dialpad, RingCentral, GoDaddy, Kipsu, Rover and ZipRecruiter, among many others. We do not currently have any consumer or residential customers, although our enterprise customers may utilize our solutions to serve their own consumer or residential customers or end users.</w:t>
      </w:r>
    </w:p>
    <w:p>
      <w:pPr>
        <w:spacing w:after="0" w:line="18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Our usage-based revenue model allows us to grow with our customers and increase our revenue base as our customers deepen their usage of our solutions. Our dollar-based net retention rate, which measures our customers’ increased utilization of our platform, was 115%, 111% and 107% for the years ended December 31, 2015, 2016 and 2017, respectively.</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have continued growing our business in recent periods. For the years ended December 31, 2015, 2016 and 2017, our revenue was $137.8 million, $152.1 million and $163.0 million, respectively, and our net (loss) income was $(6.7) million, $22.4 million and $6.0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Segments</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have two reportable segments, CPaaS and Other. Segments are evaluated based on revenue and gross profit. We do not allocate operating expenses, interest expense or income tax expense to our segments. Accordingly, we do not report such information. 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 The remainder of our revenue is generated by our Other segment. Other revenue is composed of revenue earned from our legacy services and indirect revenue. See Note 9, "Segment and Geographic Information," in our consolidated financial statements included elsewhere in this Annual Report on Form 10-K, for additional information about our segments.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Platform</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Bandwidth Communications Platform empowers enterprises to create and scale voice or text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text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cloud-based platform is a proprietary CPaaS offering consisting of voice and messaging solutions: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i w:val="1"/>
          <w:iCs w:val="1"/>
          <w:color w:val="auto"/>
        </w:rPr>
        <w:t xml:space="preserve">Voice Software API. </w:t>
      </w:r>
      <w:r>
        <w:rPr>
          <w:rFonts w:ascii="Arial" w:cs="Arial" w:eastAsia="Arial" w:hAnsi="Arial"/>
          <w:sz w:val="22"/>
          <w:szCs w:val="22"/>
          <w:color w:val="auto"/>
        </w:rPr>
        <w:t>We provide flexible software APIs that are used to build voice calling within applications, innovative</w:t>
      </w:r>
      <w:r>
        <w:rPr>
          <w:rFonts w:ascii="Arial" w:cs="Arial" w:eastAsia="Arial" w:hAnsi="Arial"/>
          <w:sz w:val="22"/>
          <w:szCs w:val="22"/>
          <w:i w:val="1"/>
          <w:iCs w:val="1"/>
          <w:color w:val="auto"/>
        </w:rPr>
        <w:t xml:space="preserve"> </w:t>
      </w:r>
      <w:r>
        <w:rPr>
          <w:rFonts w:ascii="Arial" w:cs="Arial" w:eastAsia="Arial" w:hAnsi="Arial"/>
          <w:sz w:val="22"/>
          <w:szCs w:val="22"/>
          <w:color w:val="auto"/>
        </w:rPr>
        <w:t>call flows between users or machines, call recording, text-to-speech for interactive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voice response, call detail records, conference calling or bridging and more. We provide the ability to have customized high-quality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134" w:lineRule="exact"/>
        <w:rPr>
          <w:sz w:val="20"/>
          <w:szCs w:val="20"/>
          <w:color w:val="auto"/>
        </w:rPr>
      </w:pPr>
    </w:p>
    <w:p>
      <w:pPr>
        <w:jc w:val="both"/>
        <w:ind w:left="660" w:hanging="328"/>
        <w:spacing w:after="0" w:line="253" w:lineRule="auto"/>
        <w:tabs>
          <w:tab w:leader="none" w:pos="660"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Enabling local and toll-free numbers via software API</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Our platform empowers enterprises with a capability to activate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manage phone numbers instantly and at scale. Using our easy to use software APIs, our enterprise customers can easily add additional lines to their business as well as for their end users.</w:t>
      </w:r>
    </w:p>
    <w:p>
      <w:pPr>
        <w:spacing w:after="0" w:line="185" w:lineRule="exact"/>
        <w:rPr>
          <w:rFonts w:ascii="Arial" w:cs="Arial" w:eastAsia="Arial" w:hAnsi="Arial"/>
          <w:sz w:val="22"/>
          <w:szCs w:val="22"/>
          <w:b w:val="1"/>
          <w:bCs w:val="1"/>
          <w:i w:val="1"/>
          <w:iCs w:val="1"/>
          <w:color w:val="auto"/>
        </w:rPr>
      </w:pPr>
    </w:p>
    <w:p>
      <w:pPr>
        <w:ind w:left="660" w:right="20" w:hanging="328"/>
        <w:spacing w:after="0" w:line="287" w:lineRule="auto"/>
        <w:tabs>
          <w:tab w:leader="none" w:pos="660" w:val="left"/>
        </w:tabs>
        <w:numPr>
          <w:ilvl w:val="0"/>
          <w:numId w:val="4"/>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Automating voice communication while preserving privacy</w:t>
      </w:r>
      <w:r>
        <w:rPr>
          <w:rFonts w:ascii="Arial" w:cs="Arial" w:eastAsia="Arial" w:hAnsi="Arial"/>
          <w:sz w:val="21"/>
          <w:szCs w:val="21"/>
          <w:color w:val="auto"/>
        </w:rPr>
        <w:t>: Our software APIs enable voice communication capabilities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from a mobile application to an individual or a group with or without disclosing personal identity.</w:t>
      </w:r>
    </w:p>
    <w:p>
      <w:pPr>
        <w:spacing w:after="0" w:line="151" w:lineRule="exact"/>
        <w:rPr>
          <w:rFonts w:ascii="Arial" w:cs="Arial" w:eastAsia="Arial" w:hAnsi="Arial"/>
          <w:sz w:val="21"/>
          <w:szCs w:val="21"/>
          <w:b w:val="1"/>
          <w:bCs w:val="1"/>
          <w:i w:val="1"/>
          <w:iCs w:val="1"/>
          <w:color w:val="auto"/>
        </w:rPr>
      </w:pPr>
    </w:p>
    <w:p>
      <w:pPr>
        <w:jc w:val="both"/>
        <w:ind w:left="660" w:hanging="328"/>
        <w:spacing w:after="0" w:line="253" w:lineRule="auto"/>
        <w:tabs>
          <w:tab w:leader="none" w:pos="660"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Embedding ‘click-to-call’ communication feature</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 enhance our enterprise customers mobile and web marketing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capabilities by embedding click-to-call functionality in their customer outreach, including advertising campaigns that enables them to connect with consumers instantly.</w:t>
      </w:r>
    </w:p>
    <w:p>
      <w:pPr>
        <w:spacing w:after="0" w:line="185" w:lineRule="exact"/>
        <w:rPr>
          <w:rFonts w:ascii="Arial" w:cs="Arial" w:eastAsia="Arial" w:hAnsi="Arial"/>
          <w:sz w:val="22"/>
          <w:szCs w:val="22"/>
          <w:b w:val="1"/>
          <w:bCs w:val="1"/>
          <w:i w:val="1"/>
          <w:iCs w:val="1"/>
          <w:color w:val="auto"/>
        </w:rPr>
      </w:pPr>
    </w:p>
    <w:p>
      <w:pPr>
        <w:jc w:val="both"/>
        <w:ind w:left="660" w:right="20" w:hanging="328"/>
        <w:spacing w:after="0" w:line="253" w:lineRule="auto"/>
        <w:tabs>
          <w:tab w:leader="none" w:pos="660"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Real-time call analytics</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We provide our enterprise customers with real-time call analytics through our dashboard that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correlates the raw data from calls with CRM records, including the call duration, customer sentiment and other attributes, in order to provide meaningful contextual sales and other business insights.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Messaging API. </w:t>
      </w:r>
      <w:r>
        <w:rPr>
          <w:rFonts w:ascii="Arial" w:cs="Arial" w:eastAsia="Arial" w:hAnsi="Arial"/>
          <w:sz w:val="19"/>
          <w:szCs w:val="19"/>
          <w:color w:val="auto"/>
        </w:rPr>
        <w:t>Our software APIs for messaging deliver a complete wireless experience, including: delivery receipts,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SMS, MMS, long text support, emoji support and bi-directional unicode (international characters) and short codes interoperability.</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While we provide a wide range of functionalities, some of the common use cases are:</w:t>
      </w:r>
    </w:p>
    <w:p>
      <w:pPr>
        <w:spacing w:after="0" w:line="202" w:lineRule="exact"/>
        <w:rPr>
          <w:sz w:val="20"/>
          <w:szCs w:val="20"/>
          <w:color w:val="auto"/>
        </w:rPr>
      </w:pPr>
    </w:p>
    <w:p>
      <w:pPr>
        <w:jc w:val="both"/>
        <w:ind w:left="660" w:hanging="328"/>
        <w:spacing w:after="0" w:line="265" w:lineRule="auto"/>
        <w:tabs>
          <w:tab w:leader="none" w:pos="660" w:val="left"/>
        </w:tabs>
        <w:numPr>
          <w:ilvl w:val="0"/>
          <w:numId w:val="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Automated real-time notification and alerts</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Our software APIs empower our enterprise customers with predefined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functionalities to send and receive text messages to and from an application to an individual or a group. Our customers often build more customized use cases on top of our predefined use cases. For instance, ZipRecruiter uses this functionality to update job seekers of available jobs in real time via automated text alerts.</w:t>
      </w:r>
    </w:p>
    <w:p>
      <w:pPr>
        <w:spacing w:after="0" w:line="175" w:lineRule="exact"/>
        <w:rPr>
          <w:rFonts w:ascii="Arial" w:cs="Arial" w:eastAsia="Arial" w:hAnsi="Arial"/>
          <w:sz w:val="21"/>
          <w:szCs w:val="21"/>
          <w:b w:val="1"/>
          <w:bCs w:val="1"/>
          <w:i w:val="1"/>
          <w:iCs w:val="1"/>
          <w:color w:val="auto"/>
        </w:rPr>
      </w:pPr>
    </w:p>
    <w:p>
      <w:pPr>
        <w:jc w:val="both"/>
        <w:ind w:left="660" w:hanging="328"/>
        <w:spacing w:after="0" w:line="253" w:lineRule="auto"/>
        <w:tabs>
          <w:tab w:leader="none" w:pos="660"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Two-factor authentication</w:t>
      </w:r>
      <w:r>
        <w:rPr>
          <w:rFonts w:ascii="Arial" w:cs="Arial" w:eastAsia="Arial" w:hAnsi="Arial"/>
          <w:sz w:val="22"/>
          <w:szCs w:val="22"/>
          <w:color w:val="auto"/>
        </w:rPr>
        <w:t>: We enable enterprises to verify the identity and maintain security of end users through our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software-based SMS verification service that sends unique codes to end users in order to log in to mobile and web applications.</w:t>
      </w:r>
    </w:p>
    <w:p>
      <w:pPr>
        <w:spacing w:after="0" w:line="185" w:lineRule="exact"/>
        <w:rPr>
          <w:rFonts w:ascii="Arial" w:cs="Arial" w:eastAsia="Arial" w:hAnsi="Arial"/>
          <w:sz w:val="22"/>
          <w:szCs w:val="22"/>
          <w:b w:val="1"/>
          <w:bCs w:val="1"/>
          <w:i w:val="1"/>
          <w:iCs w:val="1"/>
          <w:color w:val="auto"/>
        </w:rPr>
      </w:pPr>
    </w:p>
    <w:p>
      <w:pPr>
        <w:jc w:val="both"/>
        <w:ind w:left="660" w:hanging="328"/>
        <w:spacing w:after="0" w:line="253" w:lineRule="auto"/>
        <w:tabs>
          <w:tab w:leader="none" w:pos="660"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Group messaging</w:t>
      </w:r>
      <w:r>
        <w:rPr>
          <w:rFonts w:ascii="Arial" w:cs="Arial" w:eastAsia="Arial" w:hAnsi="Arial"/>
          <w:sz w:val="22"/>
          <w:szCs w:val="22"/>
          <w:color w:val="auto"/>
        </w:rPr>
        <w:t>: Enterprises utilize our platform to collaborate with their end users on a real-time basis by enabling group</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messaging within their user community to share messages, videos, carry out polls and surveys amongst other uses without leaving the application.</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i w:val="1"/>
          <w:iCs w:val="1"/>
          <w:color w:val="auto"/>
        </w:rPr>
        <w:t xml:space="preserve">911 Software API. </w:t>
      </w:r>
      <w:r>
        <w:rPr>
          <w:rFonts w:ascii="Arial" w:cs="Arial" w:eastAsia="Arial" w:hAnsi="Arial"/>
          <w:sz w:val="22"/>
          <w:szCs w:val="22"/>
          <w:color w:val="auto"/>
        </w:rPr>
        <w:t>We are the only software platform that provides complete communications solutions with integrated 911</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We can instantly connect numbers or applications to emergency services with reliable and accurate emergency routing. Our Dynamic Geospatial Routing uses geocoding to enable real-time routing based on X,Y coordinates of the caller and defined Public Safety Access Point boundaries. Our Advanced “Next Generation 911” “i3”-ready NENA i2 “Enhanced” service network covers approximately 98% of the U.S.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Benefits of Our Software Platform</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Bandwidth Communications Platform provides the following benefits to the enterprises we serve:</w:t>
      </w:r>
    </w:p>
    <w:p>
      <w:pPr>
        <w:spacing w:after="0" w:line="220" w:lineRule="exact"/>
        <w:rPr>
          <w:sz w:val="20"/>
          <w:szCs w:val="20"/>
          <w:color w:val="auto"/>
        </w:rPr>
      </w:pPr>
    </w:p>
    <w:p>
      <w:pPr>
        <w:jc w:val="both"/>
        <w:ind w:left="660" w:hanging="328"/>
        <w:spacing w:after="0" w:line="250" w:lineRule="auto"/>
        <w:tabs>
          <w:tab w:leader="none" w:pos="66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Easy to Build and Deploy</w:t>
      </w:r>
      <w:r>
        <w:rPr>
          <w:rFonts w:ascii="Arial" w:cs="Arial" w:eastAsia="Arial" w:hAnsi="Arial"/>
          <w:sz w:val="22"/>
          <w:szCs w:val="22"/>
          <w:color w:val="auto"/>
        </w:rPr>
        <w:t>. Our easy-to-use, intuitive software APIs are ready to launch and scale from day one. We enable</w:t>
      </w:r>
      <w:r>
        <w:rPr>
          <w:rFonts w:ascii="Arial" w:cs="Arial" w:eastAsia="Arial" w:hAnsi="Arial"/>
          <w:sz w:val="22"/>
          <w:szCs w:val="22"/>
          <w:i w:val="1"/>
          <w:iCs w:val="1"/>
          <w:color w:val="auto"/>
        </w:rPr>
        <w:t xml:space="preserve"> </w:t>
      </w:r>
      <w:r>
        <w:rPr>
          <w:rFonts w:ascii="Arial" w:cs="Arial" w:eastAsia="Arial" w:hAnsi="Arial"/>
          <w:sz w:val="22"/>
          <w:szCs w:val="22"/>
          <w:color w:val="auto"/>
        </w:rPr>
        <w:t>enterprises to rapidly and easily scale 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188" w:lineRule="exact"/>
        <w:rPr>
          <w:rFonts w:ascii="Arial" w:cs="Arial" w:eastAsia="Arial" w:hAnsi="Arial"/>
          <w:sz w:val="22"/>
          <w:szCs w:val="22"/>
          <w:i w:val="1"/>
          <w:iCs w:val="1"/>
          <w:color w:val="auto"/>
        </w:rPr>
      </w:pPr>
    </w:p>
    <w:p>
      <w:pPr>
        <w:jc w:val="both"/>
        <w:ind w:left="660" w:hanging="328"/>
        <w:spacing w:after="0" w:line="247" w:lineRule="auto"/>
        <w:tabs>
          <w:tab w:leader="none" w:pos="66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Easy to Scale</w:t>
      </w:r>
      <w:r>
        <w:rPr>
          <w:rFonts w:ascii="Arial" w:cs="Arial" w:eastAsia="Arial" w:hAnsi="Arial"/>
          <w:sz w:val="22"/>
          <w:szCs w:val="22"/>
          <w:color w:val="auto"/>
        </w:rPr>
        <w:t>. We enable enterprises to easily scale nationwide at launch, without sacrificing quality, while meeting the</w:t>
      </w:r>
      <w:r>
        <w:rPr>
          <w:rFonts w:ascii="Arial" w:cs="Arial" w:eastAsia="Arial" w:hAnsi="Arial"/>
          <w:sz w:val="22"/>
          <w:szCs w:val="22"/>
          <w:i w:val="1"/>
          <w:iCs w:val="1"/>
          <w:color w:val="auto"/>
        </w:rPr>
        <w:t xml:space="preserve"> </w:t>
      </w:r>
      <w:r>
        <w:rPr>
          <w:rFonts w:ascii="Arial" w:cs="Arial" w:eastAsia="Arial" w:hAnsi="Arial"/>
          <w:sz w:val="22"/>
          <w:szCs w:val="22"/>
          <w:color w:val="auto"/>
        </w:rPr>
        <w:t>most stringent requirements. We can deliver full end-to-end automation for even the largest of enterprises using our IP voice network, which is the largest of any CPaaS provider based on the number of rate centers, a measure for the footprint covered by our IP voice network. We are able to support high user volumes without impacting deliverability. Our software, built on our own IP voice network, removes complexity, eliminates performance degradation and increases cost efficiencies at scale.</w:t>
      </w:r>
    </w:p>
    <w:p>
      <w:pPr>
        <w:spacing w:after="0" w:line="193" w:lineRule="exact"/>
        <w:rPr>
          <w:rFonts w:ascii="Arial" w:cs="Arial" w:eastAsia="Arial" w:hAnsi="Arial"/>
          <w:sz w:val="22"/>
          <w:szCs w:val="22"/>
          <w:i w:val="1"/>
          <w:iCs w:val="1"/>
          <w:color w:val="auto"/>
        </w:rPr>
      </w:pPr>
    </w:p>
    <w:p>
      <w:pPr>
        <w:jc w:val="both"/>
        <w:ind w:left="660" w:hanging="328"/>
        <w:spacing w:after="0" w:line="250" w:lineRule="auto"/>
        <w:tabs>
          <w:tab w:leader="none" w:pos="66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Flexibility</w:t>
      </w:r>
      <w:r>
        <w:rPr>
          <w:rFonts w:ascii="Arial" w:cs="Arial" w:eastAsia="Arial" w:hAnsi="Arial"/>
          <w:sz w:val="22"/>
          <w:szCs w:val="22"/>
          <w:color w:val="auto"/>
        </w:rPr>
        <w:t>. Our software APIs are easy to deploy and use and allow for the creation of solutions to address a broad array of</w:t>
      </w:r>
      <w:r>
        <w:rPr>
          <w:rFonts w:ascii="Arial" w:cs="Arial" w:eastAsia="Arial" w:hAnsi="Arial"/>
          <w:sz w:val="22"/>
          <w:szCs w:val="22"/>
          <w:i w:val="1"/>
          <w:iCs w:val="1"/>
          <w:color w:val="auto"/>
        </w:rPr>
        <w:t xml:space="preserve"> </w:t>
      </w:r>
      <w:r>
        <w:rPr>
          <w:rFonts w:ascii="Arial" w:cs="Arial" w:eastAsia="Arial" w:hAnsi="Arial"/>
          <w:sz w:val="22"/>
          <w:szCs w:val="22"/>
          <w:color w:val="auto"/>
        </w:rPr>
        <w:t>use cases. Our software can be implemented directly into product workflow for a variety of custom solutions such as creation of virtual call centers, group messaging and dynamic call location routing. We enable developers to easily and rapidly innovate with our platform.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Benefits of Our Network</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owned and managed IP voice network provides the following benefits to the enterprises we serve:</w:t>
      </w:r>
    </w:p>
    <w:p>
      <w:pPr>
        <w:spacing w:after="0" w:line="220"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21"/>
          <w:szCs w:val="21"/>
          <w:i w:val="1"/>
          <w:iCs w:val="1"/>
          <w:color w:val="auto"/>
        </w:rPr>
      </w:pPr>
      <w:r>
        <w:rPr>
          <w:rFonts w:ascii="Arial" w:cs="Arial" w:eastAsia="Arial" w:hAnsi="Arial"/>
          <w:sz w:val="21"/>
          <w:szCs w:val="21"/>
          <w:i w:val="1"/>
          <w:iCs w:val="1"/>
          <w:color w:val="auto"/>
        </w:rPr>
        <w:t>Enhanced Quality and Reliability</w:t>
      </w:r>
      <w:r>
        <w:rPr>
          <w:rFonts w:ascii="Arial" w:cs="Arial" w:eastAsia="Arial" w:hAnsi="Arial"/>
          <w:sz w:val="21"/>
          <w:szCs w:val="21"/>
          <w:color w:val="auto"/>
        </w:rPr>
        <w:t>. We offer greater levels of quality and delivery assurance than providers offering services</w:t>
      </w:r>
      <w:r>
        <w:rPr>
          <w:rFonts w:ascii="Arial" w:cs="Arial" w:eastAsia="Arial" w:hAnsi="Arial"/>
          <w:sz w:val="21"/>
          <w:szCs w:val="21"/>
          <w:i w:val="1"/>
          <w:iCs w:val="1"/>
          <w:color w:val="auto"/>
        </w:rPr>
        <w:t xml:space="preserve"> </w:t>
      </w:r>
      <w:r>
        <w:rPr>
          <w:rFonts w:ascii="Arial" w:cs="Arial" w:eastAsia="Arial" w:hAnsi="Arial"/>
          <w:sz w:val="21"/>
          <w:szCs w:val="21"/>
          <w:color w:val="auto"/>
        </w:rPr>
        <w:t>across the public Internet or through partnerships. As a result, the enterprises we serve have enjoyed 99.9% network uptime in 2017 and we have not experienced any material system failures in the past three years.</w:t>
      </w:r>
    </w:p>
    <w:p>
      <w:pPr>
        <w:spacing w:after="0" w:line="167" w:lineRule="exact"/>
        <w:rPr>
          <w:rFonts w:ascii="Arial" w:cs="Arial" w:eastAsia="Arial" w:hAnsi="Arial"/>
          <w:sz w:val="21"/>
          <w:szCs w:val="21"/>
          <w:i w:val="1"/>
          <w:iCs w:val="1"/>
          <w:color w:val="auto"/>
        </w:rPr>
      </w:pPr>
    </w:p>
    <w:p>
      <w:pPr>
        <w:jc w:val="both"/>
        <w:ind w:left="660" w:hanging="328"/>
        <w:spacing w:after="0" w:line="247" w:lineRule="auto"/>
        <w:tabs>
          <w:tab w:leader="none" w:pos="660" w:val="left"/>
        </w:tabs>
        <w:numPr>
          <w:ilvl w:val="0"/>
          <w:numId w:val="7"/>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Total Accountability. </w:t>
      </w:r>
      <w:r>
        <w:rPr>
          <w:rFonts w:ascii="Arial" w:cs="Arial" w:eastAsia="Arial" w:hAnsi="Arial"/>
          <w:sz w:val="22"/>
          <w:szCs w:val="22"/>
          <w:color w:val="auto"/>
        </w:rPr>
        <w:t>The ability to vertically integrate our software platform with our own IP voice network provides us</w:t>
      </w:r>
      <w:r>
        <w:rPr>
          <w:rFonts w:ascii="Arial" w:cs="Arial" w:eastAsia="Arial" w:hAnsi="Arial"/>
          <w:sz w:val="22"/>
          <w:szCs w:val="22"/>
          <w:i w:val="1"/>
          <w:iCs w:val="1"/>
          <w:color w:val="auto"/>
        </w:rPr>
        <w:t xml:space="preserve"> </w:t>
      </w:r>
      <w:r>
        <w:rPr>
          <w:rFonts w:ascii="Arial" w:cs="Arial" w:eastAsia="Arial" w:hAnsi="Arial"/>
          <w:sz w:val="22"/>
          <w:szCs w:val="22"/>
          <w:color w:val="auto"/>
        </w:rPr>
        <w:t>with a differentiated ability to continuously monitor, report and resolve any software- or network-related issues on a real-time basis. For our enterprise customers, having a single platform solution for their entire communications requirements, including software and network, provides tremendous value with respect to time and financial resources. Our service-level agreements with our enterprise customers assures that we provide high quality service and gives them peace of mind and confidence in our service.</w:t>
      </w:r>
    </w:p>
    <w:p>
      <w:pPr>
        <w:spacing w:after="0" w:line="193" w:lineRule="exact"/>
        <w:rPr>
          <w:rFonts w:ascii="Arial" w:cs="Arial" w:eastAsia="Arial" w:hAnsi="Arial"/>
          <w:sz w:val="22"/>
          <w:szCs w:val="22"/>
          <w:i w:val="1"/>
          <w:iCs w:val="1"/>
          <w:color w:val="auto"/>
        </w:rPr>
      </w:pPr>
    </w:p>
    <w:p>
      <w:pPr>
        <w:jc w:val="both"/>
        <w:ind w:left="660" w:hanging="328"/>
        <w:spacing w:after="0" w:line="302" w:lineRule="auto"/>
        <w:tabs>
          <w:tab w:leader="none" w:pos="660" w:val="left"/>
        </w:tabs>
        <w:numPr>
          <w:ilvl w:val="0"/>
          <w:numId w:val="7"/>
        </w:numPr>
        <w:rPr>
          <w:rFonts w:ascii="Arial" w:cs="Arial" w:eastAsia="Arial" w:hAnsi="Arial"/>
          <w:sz w:val="19"/>
          <w:szCs w:val="19"/>
          <w:i w:val="1"/>
          <w:iCs w:val="1"/>
          <w:color w:val="auto"/>
        </w:rPr>
      </w:pPr>
      <w:r>
        <w:rPr>
          <w:rFonts w:ascii="Arial" w:cs="Arial" w:eastAsia="Arial" w:hAnsi="Arial"/>
          <w:sz w:val="19"/>
          <w:szCs w:val="19"/>
          <w:i w:val="1"/>
          <w:iCs w:val="1"/>
          <w:color w:val="auto"/>
        </w:rPr>
        <w:t>Lower Total Cost to Our Customers</w:t>
      </w:r>
      <w:r>
        <w:rPr>
          <w:rFonts w:ascii="Arial" w:cs="Arial" w:eastAsia="Arial" w:hAnsi="Arial"/>
          <w:sz w:val="19"/>
          <w:szCs w:val="19"/>
          <w:color w:val="auto"/>
        </w:rPr>
        <w:t>. The differentiated pairing of our software combined with owning the delivery</w:t>
      </w:r>
      <w:r>
        <w:rPr>
          <w:rFonts w:ascii="Arial" w:cs="Arial" w:eastAsia="Arial" w:hAnsi="Arial"/>
          <w:sz w:val="19"/>
          <w:szCs w:val="19"/>
          <w:i w:val="1"/>
          <w:iCs w:val="1"/>
          <w:color w:val="auto"/>
        </w:rPr>
        <w:t xml:space="preserve"> </w:t>
      </w:r>
      <w:r>
        <w:rPr>
          <w:rFonts w:ascii="Arial" w:cs="Arial" w:eastAsia="Arial" w:hAnsi="Arial"/>
          <w:sz w:val="19"/>
          <w:szCs w:val="19"/>
          <w:color w:val="auto"/>
        </w:rPr>
        <w:t>capability through our IP voice network leads to significant savings for the enterprises we serve as compared to our competitors. Our IP voice network lowers total cost to our customers as compared to our competitors because of our reduced capital expenditure requirements and lower marginal costs at scale, which we are able to pass on to our customers.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our 19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U.S. that we have built and operate. Our innovation-rich culture,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customer-centric solutions and track record of successful execution provide us with the following competitive strengths:</w:t>
      </w:r>
    </w:p>
    <w:p>
      <w:pPr>
        <w:spacing w:after="0" w:line="231" w:lineRule="exact"/>
        <w:rPr>
          <w:sz w:val="20"/>
          <w:szCs w:val="20"/>
          <w:color w:val="auto"/>
        </w:rPr>
      </w:pPr>
    </w:p>
    <w:p>
      <w:pPr>
        <w:jc w:val="both"/>
        <w:ind w:left="660" w:hanging="328"/>
        <w:spacing w:after="0" w:line="263" w:lineRule="auto"/>
        <w:tabs>
          <w:tab w:leader="none" w:pos="660" w:val="left"/>
        </w:tabs>
        <w:numPr>
          <w:ilvl w:val="0"/>
          <w:numId w:val="8"/>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Highly Scalable Platform Built for the Enterprise. </w:t>
      </w:r>
      <w:r>
        <w:rPr>
          <w:rFonts w:ascii="Arial" w:cs="Arial" w:eastAsia="Arial" w:hAnsi="Arial"/>
          <w:sz w:val="21"/>
          <w:szCs w:val="21"/>
          <w:color w:val="auto"/>
        </w:rPr>
        <w:t>We built our Bandwidth Communications Platform from the ground up as</w:t>
      </w:r>
      <w:r>
        <w:rPr>
          <w:rFonts w:ascii="Arial" w:cs="Arial" w:eastAsia="Arial" w:hAnsi="Arial"/>
          <w:sz w:val="21"/>
          <w:szCs w:val="21"/>
          <w:i w:val="1"/>
          <w:iCs w:val="1"/>
          <w:color w:val="auto"/>
        </w:rPr>
        <w:t xml:space="preserve"> </w:t>
      </w:r>
      <w:r>
        <w:rPr>
          <w:rFonts w:ascii="Arial" w:cs="Arial" w:eastAsia="Arial" w:hAnsi="Arial"/>
          <w:sz w:val="21"/>
          <w:szCs w:val="21"/>
          <w:color w:val="auto"/>
        </w:rPr>
        <w:t>an enterprise-grade cloud application. As a 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175" w:lineRule="exact"/>
        <w:rPr>
          <w:rFonts w:ascii="Arial" w:cs="Arial" w:eastAsia="Arial" w:hAnsi="Arial"/>
          <w:sz w:val="21"/>
          <w:szCs w:val="21"/>
          <w:i w:val="1"/>
          <w:iCs w:val="1"/>
          <w:color w:val="auto"/>
        </w:rPr>
      </w:pPr>
    </w:p>
    <w:p>
      <w:pPr>
        <w:jc w:val="both"/>
        <w:ind w:left="660" w:hanging="328"/>
        <w:spacing w:after="0" w:line="250" w:lineRule="auto"/>
        <w:tabs>
          <w:tab w:leader="none" w:pos="66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Broadest, Most Complete Solutions in the Industry. </w:t>
      </w:r>
      <w:r>
        <w:rPr>
          <w:rFonts w:ascii="Arial" w:cs="Arial" w:eastAsia="Arial" w:hAnsi="Arial"/>
          <w:sz w:val="22"/>
          <w:szCs w:val="22"/>
          <w:color w:val="auto"/>
        </w:rPr>
        <w:t>We provide enterprises the broadest, most complete communications</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solutions in the industry through our integrated software and IP voice network. Our large library of voice and text APIs enables our customers to incorporate into their products and services a broad range of capabilities not otherwise attainable.</w:t>
      </w:r>
    </w:p>
    <w:p>
      <w:pPr>
        <w:spacing w:after="0" w:line="188" w:lineRule="exact"/>
        <w:rPr>
          <w:rFonts w:ascii="Arial" w:cs="Arial" w:eastAsia="Arial" w:hAnsi="Arial"/>
          <w:sz w:val="22"/>
          <w:szCs w:val="22"/>
          <w:i w:val="1"/>
          <w:iCs w:val="1"/>
          <w:color w:val="auto"/>
        </w:rPr>
      </w:pPr>
    </w:p>
    <w:p>
      <w:pPr>
        <w:jc w:val="both"/>
        <w:ind w:left="660" w:hanging="328"/>
        <w:spacing w:after="0" w:line="248" w:lineRule="auto"/>
        <w:tabs>
          <w:tab w:leader="none" w:pos="66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Purpose-Built IP Voice Network. </w:t>
      </w:r>
      <w:r>
        <w:rPr>
          <w:rFonts w:ascii="Arial" w:cs="Arial" w:eastAsia="Arial" w:hAnsi="Arial"/>
          <w:sz w:val="22"/>
          <w:szCs w:val="22"/>
          <w:color w:val="auto"/>
        </w:rPr>
        <w:t>Our Bandwidth Communications Platform’s IP voice network, which we own and operate</w:t>
      </w:r>
      <w:r>
        <w:rPr>
          <w:rFonts w:ascii="Arial" w:cs="Arial" w:eastAsia="Arial" w:hAnsi="Arial"/>
          <w:sz w:val="22"/>
          <w:szCs w:val="22"/>
          <w:i w:val="1"/>
          <w:iCs w:val="1"/>
          <w:color w:val="auto"/>
        </w:rPr>
        <w:t xml:space="preserve"> </w:t>
      </w:r>
      <w:r>
        <w:rPr>
          <w:rFonts w:ascii="Arial" w:cs="Arial" w:eastAsia="Arial" w:hAnsi="Arial"/>
          <w:sz w:val="22"/>
          <w:szCs w:val="22"/>
          <w:color w:val="auto"/>
        </w:rPr>
        <w:t>nationwide, supports our ability to scale at a reliable and consistent quality for the enterprises we serve. The control and scale we have over our own IP voice network integrated with our Bandwidth Communications Platform provides us distinct competitive advantages that include consistent high quality, in-depth enterprise support, real-time network visibility and economies of scale.</w:t>
      </w:r>
    </w:p>
    <w:p>
      <w:pPr>
        <w:spacing w:after="0" w:line="192" w:lineRule="exact"/>
        <w:rPr>
          <w:rFonts w:ascii="Arial" w:cs="Arial" w:eastAsia="Arial" w:hAnsi="Arial"/>
          <w:sz w:val="22"/>
          <w:szCs w:val="22"/>
          <w:i w:val="1"/>
          <w:iCs w:val="1"/>
          <w:color w:val="auto"/>
        </w:rPr>
      </w:pPr>
    </w:p>
    <w:p>
      <w:pPr>
        <w:jc w:val="both"/>
        <w:ind w:left="660" w:hanging="328"/>
        <w:spacing w:after="0" w:line="250" w:lineRule="auto"/>
        <w:tabs>
          <w:tab w:leader="none" w:pos="660" w:val="left"/>
        </w:tabs>
        <w:numPr>
          <w:ilvl w:val="0"/>
          <w:numId w:val="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Deep Experience and Expertise in Voice and Messaging. </w:t>
      </w:r>
      <w:r>
        <w:rPr>
          <w:rFonts w:ascii="Arial" w:cs="Arial" w:eastAsia="Arial" w:hAnsi="Arial"/>
          <w:sz w:val="22"/>
          <w:szCs w:val="22"/>
          <w:color w:val="auto"/>
        </w:rPr>
        <w:t>The combination of our versatile software API platform and our IP</w:t>
      </w:r>
      <w:r>
        <w:rPr>
          <w:rFonts w:ascii="Arial" w:cs="Arial" w:eastAsia="Arial" w:hAnsi="Arial"/>
          <w:sz w:val="22"/>
          <w:szCs w:val="22"/>
          <w:i w:val="1"/>
          <w:iCs w:val="1"/>
          <w:color w:val="auto"/>
        </w:rPr>
        <w:t xml:space="preserve"> </w:t>
      </w:r>
      <w:r>
        <w:rPr>
          <w:rFonts w:ascii="Arial" w:cs="Arial" w:eastAsia="Arial" w:hAnsi="Arial"/>
          <w:sz w:val="22"/>
          <w:szCs w:val="22"/>
          <w:color w:val="auto"/>
        </w:rPr>
        <w:t>voice network control allows us to offer not just best efforts, but best-in-class voice and messaging solutions for enterprises. Our senior leadership team has a combined 135 years of industry experience and an average tenure with Bandwidth of 10 years.</w:t>
      </w:r>
    </w:p>
    <w:p>
      <w:pPr>
        <w:spacing w:after="0" w:line="188" w:lineRule="exact"/>
        <w:rPr>
          <w:rFonts w:ascii="Arial" w:cs="Arial" w:eastAsia="Arial" w:hAnsi="Arial"/>
          <w:sz w:val="22"/>
          <w:szCs w:val="22"/>
          <w:i w:val="1"/>
          <w:iCs w:val="1"/>
          <w:color w:val="auto"/>
        </w:rPr>
      </w:pPr>
    </w:p>
    <w:p>
      <w:pPr>
        <w:jc w:val="both"/>
        <w:ind w:left="660" w:hanging="328"/>
        <w:spacing w:after="0" w:line="292" w:lineRule="auto"/>
        <w:tabs>
          <w:tab w:leader="none" w:pos="660" w:val="left"/>
        </w:tabs>
        <w:numPr>
          <w:ilvl w:val="0"/>
          <w:numId w:val="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Growing, Long-Term Relationships with Low Customer Churn. </w:t>
      </w:r>
      <w:r>
        <w:rPr>
          <w:rFonts w:ascii="Arial" w:cs="Arial" w:eastAsia="Arial" w:hAnsi="Arial"/>
          <w:sz w:val="19"/>
          <w:szCs w:val="19"/>
          <w:color w:val="auto"/>
        </w:rPr>
        <w:t>We deliver comprehensive solutions that address the unique</w:t>
      </w:r>
      <w:r>
        <w:rPr>
          <w:rFonts w:ascii="Arial" w:cs="Arial" w:eastAsia="Arial" w:hAnsi="Arial"/>
          <w:sz w:val="19"/>
          <w:szCs w:val="19"/>
          <w:i w:val="1"/>
          <w:iCs w:val="1"/>
          <w:color w:val="auto"/>
        </w:rPr>
        <w:t xml:space="preserve"> </w:t>
      </w:r>
      <w:r>
        <w:rPr>
          <w:rFonts w:ascii="Arial" w:cs="Arial" w:eastAsia="Arial" w:hAnsi="Arial"/>
          <w:sz w:val="19"/>
          <w:szCs w:val="19"/>
          <w:color w:val="auto"/>
        </w:rPr>
        <w:t>and complex needs of the enterprises we serve. As a result, these enterprises have continued to innovate and grow with our platform over extended timeframes.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our largest enterprise customer has been on our platform for more than ten years. Based on surveys conducted after customer interactions in 2017, our customers have expressed a 97% satisfaction rate.</w:t>
      </w:r>
    </w:p>
    <w:p>
      <w:pPr>
        <w:spacing w:after="0" w:line="151" w:lineRule="exact"/>
        <w:rPr>
          <w:rFonts w:ascii="Arial" w:cs="Arial" w:eastAsia="Arial" w:hAnsi="Arial"/>
          <w:sz w:val="19"/>
          <w:szCs w:val="19"/>
          <w:i w:val="1"/>
          <w:iCs w:val="1"/>
          <w:color w:val="auto"/>
        </w:rPr>
      </w:pPr>
    </w:p>
    <w:p>
      <w:pPr>
        <w:jc w:val="both"/>
        <w:ind w:left="660" w:hanging="328"/>
        <w:spacing w:after="0" w:line="265" w:lineRule="auto"/>
        <w:tabs>
          <w:tab w:leader="none" w:pos="660" w:val="left"/>
        </w:tabs>
        <w:numPr>
          <w:ilvl w:val="0"/>
          <w:numId w:val="8"/>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CPaaS-Based 911 Network Capabilities. </w:t>
      </w:r>
      <w:r>
        <w:rPr>
          <w:rFonts w:ascii="Arial" w:cs="Arial" w:eastAsia="Arial" w:hAnsi="Arial"/>
          <w:sz w:val="21"/>
          <w:szCs w:val="21"/>
          <w:color w:val="auto"/>
        </w:rPr>
        <w:t>We believe we are the only CPaaS software provider with 911 capabilities. We</w:t>
      </w:r>
      <w:r>
        <w:rPr>
          <w:rFonts w:ascii="Arial" w:cs="Arial" w:eastAsia="Arial" w:hAnsi="Arial"/>
          <w:sz w:val="21"/>
          <w:szCs w:val="21"/>
          <w:i w:val="1"/>
          <w:iCs w:val="1"/>
          <w:color w:val="auto"/>
        </w:rPr>
        <w:t xml:space="preserve"> </w:t>
      </w:r>
      <w:r>
        <w:rPr>
          <w:rFonts w:ascii="Arial" w:cs="Arial" w:eastAsia="Arial" w:hAnsi="Arial"/>
          <w:sz w:val="21"/>
          <w:szCs w:val="21"/>
          <w:color w:val="auto"/>
        </w:rPr>
        <w:t>believe our 911 capabilities provide a significant 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Strategy</w:t>
      </w:r>
    </w:p>
    <w:p>
      <w:pPr>
        <w:spacing w:after="0" w:line="226" w:lineRule="exact"/>
        <w:rPr>
          <w:sz w:val="20"/>
          <w:szCs w:val="20"/>
          <w:color w:val="auto"/>
        </w:rPr>
      </w:pPr>
    </w:p>
    <w:p>
      <w:pPr>
        <w:jc w:val="both"/>
        <w:ind w:left="660" w:hanging="328"/>
        <w:spacing w:after="0" w:line="250" w:lineRule="auto"/>
        <w:tabs>
          <w:tab w:leader="none" w:pos="660" w:val="left"/>
        </w:tabs>
        <w:numPr>
          <w:ilvl w:val="0"/>
          <w:numId w:val="9"/>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Expand Existing Enterprise Relationships. </w:t>
      </w:r>
      <w:r>
        <w:rPr>
          <w:rFonts w:ascii="Arial" w:cs="Arial" w:eastAsia="Arial" w:hAnsi="Arial"/>
          <w:sz w:val="22"/>
          <w:szCs w:val="22"/>
          <w:color w:val="auto"/>
        </w:rPr>
        <w:t>We will continue to expand our relationships with our existing enterprise</w:t>
      </w:r>
      <w:r>
        <w:rPr>
          <w:rFonts w:ascii="Arial" w:cs="Arial" w:eastAsia="Arial" w:hAnsi="Arial"/>
          <w:sz w:val="22"/>
          <w:szCs w:val="22"/>
          <w:i w:val="1"/>
          <w:iCs w:val="1"/>
          <w:color w:val="auto"/>
        </w:rPr>
        <w:t xml:space="preserve"> </w:t>
      </w:r>
      <w:r>
        <w:rPr>
          <w:rFonts w:ascii="Arial" w:cs="Arial" w:eastAsia="Arial" w:hAnsi="Arial"/>
          <w:sz w:val="22"/>
          <w:szCs w:val="22"/>
          <w:color w:val="auto"/>
        </w:rPr>
        <w:t>customers. For example, enterprises often initially purchase only our voice solution and later expand to also purchase our messaging and 911 services. Additionally, we are able to help enterprises scale efficiently and offer their solutions to more of their customers as they grow.</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328"/>
        <w:spacing w:after="0" w:line="253" w:lineRule="auto"/>
        <w:tabs>
          <w:tab w:leader="none" w:pos="660" w:val="left"/>
        </w:tabs>
        <w:numPr>
          <w:ilvl w:val="0"/>
          <w:numId w:val="10"/>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Grow Our Enterprise Customer Base. </w:t>
      </w:r>
      <w:r>
        <w:rPr>
          <w:rFonts w:ascii="Arial" w:cs="Arial" w:eastAsia="Arial" w:hAnsi="Arial"/>
          <w:sz w:val="22"/>
          <w:szCs w:val="22"/>
          <w:color w:val="auto"/>
        </w:rPr>
        <w:t>We believe there is a substantial opportunity to increase our enterprise customer base</w:t>
      </w:r>
      <w:r>
        <w:rPr>
          <w:rFonts w:ascii="Arial" w:cs="Arial" w:eastAsia="Arial" w:hAnsi="Arial"/>
          <w:sz w:val="22"/>
          <w:szCs w:val="22"/>
          <w:i w:val="1"/>
          <w:iCs w:val="1"/>
          <w:color w:val="auto"/>
        </w:rPr>
        <w:t xml:space="preserve"> </w:t>
      </w:r>
      <w:r>
        <w:rPr>
          <w:rFonts w:ascii="Arial" w:cs="Arial" w:eastAsia="Arial" w:hAnsi="Arial"/>
          <w:sz w:val="22"/>
          <w:szCs w:val="22"/>
          <w:color w:val="auto"/>
        </w:rPr>
        <w:t>across a broad range of industries and companies. We plan to continue to grow and invest in our direct sales force and marketing to increase our enterprise customer base.</w:t>
      </w:r>
    </w:p>
    <w:p>
      <w:pPr>
        <w:spacing w:after="0" w:line="185" w:lineRule="exact"/>
        <w:rPr>
          <w:rFonts w:ascii="Arial" w:cs="Arial" w:eastAsia="Arial" w:hAnsi="Arial"/>
          <w:sz w:val="22"/>
          <w:szCs w:val="22"/>
          <w:i w:val="1"/>
          <w:iCs w:val="1"/>
          <w:color w:val="auto"/>
        </w:rPr>
      </w:pPr>
    </w:p>
    <w:p>
      <w:pPr>
        <w:jc w:val="both"/>
        <w:ind w:left="660" w:hanging="328"/>
        <w:spacing w:after="0" w:line="260" w:lineRule="auto"/>
        <w:tabs>
          <w:tab w:leader="none" w:pos="660" w:val="left"/>
        </w:tabs>
        <w:numPr>
          <w:ilvl w:val="0"/>
          <w:numId w:val="10"/>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Continue to Innovate Our Platform. </w:t>
      </w:r>
      <w:r>
        <w:rPr>
          <w:rFonts w:ascii="Arial" w:cs="Arial" w:eastAsia="Arial" w:hAnsi="Arial"/>
          <w:sz w:val="21"/>
          <w:szCs w:val="21"/>
          <w:color w:val="auto"/>
        </w:rPr>
        <w:t>We are committed to building on our track record of leveraging our innovative product</w:t>
      </w:r>
      <w:r>
        <w:rPr>
          <w:rFonts w:ascii="Arial" w:cs="Arial" w:eastAsia="Arial" w:hAnsi="Arial"/>
          <w:sz w:val="21"/>
          <w:szCs w:val="21"/>
          <w:i w:val="1"/>
          <w:iCs w:val="1"/>
          <w:color w:val="auto"/>
        </w:rPr>
        <w:t xml:space="preserve"> </w:t>
      </w:r>
      <w:r>
        <w:rPr>
          <w:rFonts w:ascii="Arial" w:cs="Arial" w:eastAsia="Arial" w:hAnsi="Arial"/>
          <w:sz w:val="21"/>
          <w:szCs w:val="21"/>
          <w:color w:val="auto"/>
        </w:rPr>
        <w:t>capabilities to meet our customers’ needs, just as we have done throughout our history,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such as virtual personal assistants ("VPAs") and help our enterprise customers succeed as communications technologies evolve.</w:t>
      </w:r>
    </w:p>
    <w:p>
      <w:pPr>
        <w:spacing w:after="0" w:line="181" w:lineRule="exact"/>
        <w:rPr>
          <w:rFonts w:ascii="Arial" w:cs="Arial" w:eastAsia="Arial" w:hAnsi="Arial"/>
          <w:sz w:val="21"/>
          <w:szCs w:val="21"/>
          <w:i w:val="1"/>
          <w:iCs w:val="1"/>
          <w:color w:val="auto"/>
        </w:rPr>
      </w:pPr>
    </w:p>
    <w:p>
      <w:pPr>
        <w:jc w:val="both"/>
        <w:ind w:left="660" w:hanging="328"/>
        <w:spacing w:after="0" w:line="250" w:lineRule="auto"/>
        <w:tabs>
          <w:tab w:leader="none" w:pos="660" w:val="left"/>
        </w:tabs>
        <w:numPr>
          <w:ilvl w:val="0"/>
          <w:numId w:val="10"/>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Continue Our Focus on Enterprise Customer Satisfaction. </w:t>
      </w:r>
      <w:r>
        <w:rPr>
          <w:rFonts w:ascii="Arial" w:cs="Arial" w:eastAsia="Arial" w:hAnsi="Arial"/>
          <w:sz w:val="22"/>
          <w:szCs w:val="22"/>
          <w:color w:val="auto"/>
        </w:rPr>
        <w:t>We intend to continue focusing on delivering world-class</w:t>
      </w:r>
      <w:r>
        <w:rPr>
          <w:rFonts w:ascii="Arial" w:cs="Arial" w:eastAsia="Arial" w:hAnsi="Arial"/>
          <w:sz w:val="22"/>
          <w:szCs w:val="22"/>
          <w:i w:val="1"/>
          <w:iCs w:val="1"/>
          <w:color w:val="auto"/>
        </w:rPr>
        <w:t xml:space="preserve"> </w:t>
      </w:r>
      <w:r>
        <w:rPr>
          <w:rFonts w:ascii="Arial" w:cs="Arial" w:eastAsia="Arial" w:hAnsi="Arial"/>
          <w:sz w:val="22"/>
          <w:szCs w:val="22"/>
          <w:color w:val="auto"/>
        </w:rPr>
        <w:t>services and support to the enterprises we serve to ensure a high level of satisfaction. We believe that satisfied customers provide vital product feedback, purchase additional services, renew contracts at a high rate and provide broad advocacy and new customer referrals for our business.</w:t>
      </w:r>
    </w:p>
    <w:p>
      <w:pPr>
        <w:spacing w:after="0" w:line="188" w:lineRule="exact"/>
        <w:rPr>
          <w:rFonts w:ascii="Arial" w:cs="Arial" w:eastAsia="Arial" w:hAnsi="Arial"/>
          <w:sz w:val="22"/>
          <w:szCs w:val="22"/>
          <w:i w:val="1"/>
          <w:iCs w:val="1"/>
          <w:color w:val="auto"/>
        </w:rPr>
      </w:pPr>
    </w:p>
    <w:p>
      <w:pPr>
        <w:jc w:val="both"/>
        <w:ind w:left="660" w:hanging="328"/>
        <w:spacing w:after="0" w:line="265" w:lineRule="auto"/>
        <w:tabs>
          <w:tab w:leader="none" w:pos="660" w:val="left"/>
        </w:tabs>
        <w:numPr>
          <w:ilvl w:val="0"/>
          <w:numId w:val="10"/>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Explore the Development and Growth of Our International Offerings. </w:t>
      </w:r>
      <w:r>
        <w:rPr>
          <w:rFonts w:ascii="Arial" w:cs="Arial" w:eastAsia="Arial" w:hAnsi="Arial"/>
          <w:sz w:val="21"/>
          <w:szCs w:val="21"/>
          <w:color w:val="auto"/>
        </w:rPr>
        <w:t>Today, our international services are limited to</w:t>
      </w:r>
      <w:r>
        <w:rPr>
          <w:rFonts w:ascii="Arial" w:cs="Arial" w:eastAsia="Arial" w:hAnsi="Arial"/>
          <w:sz w:val="21"/>
          <w:szCs w:val="21"/>
          <w:i w:val="1"/>
          <w:iCs w:val="1"/>
          <w:color w:val="auto"/>
        </w:rPr>
        <w:t xml:space="preserve"> </w:t>
      </w:r>
      <w:r>
        <w:rPr>
          <w:rFonts w:ascii="Arial" w:cs="Arial" w:eastAsia="Arial" w:hAnsi="Arial"/>
          <w:sz w:val="21"/>
          <w:szCs w:val="21"/>
          <w:color w:val="auto"/>
        </w:rPr>
        <w:t>outbound international calling and outbound international messaging. Some of our enterprise customers operate globally or have plans to so. While we do not have specific expansion plans, we are actively exploring opportunities, including those where we might have a cost or quality advantage in serving our customers.</w:t>
      </w:r>
    </w:p>
    <w:p>
      <w:pPr>
        <w:spacing w:after="0" w:line="175" w:lineRule="exact"/>
        <w:rPr>
          <w:rFonts w:ascii="Arial" w:cs="Arial" w:eastAsia="Arial" w:hAnsi="Arial"/>
          <w:sz w:val="21"/>
          <w:szCs w:val="21"/>
          <w:i w:val="1"/>
          <w:iCs w:val="1"/>
          <w:color w:val="auto"/>
        </w:rPr>
      </w:pPr>
    </w:p>
    <w:p>
      <w:pPr>
        <w:ind w:left="660" w:hanging="328"/>
        <w:spacing w:after="0" w:line="263" w:lineRule="auto"/>
        <w:tabs>
          <w:tab w:leader="none" w:pos="660" w:val="left"/>
        </w:tabs>
        <w:numPr>
          <w:ilvl w:val="0"/>
          <w:numId w:val="10"/>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Pursue Acquisitions and Strategic Investments Selectively. </w:t>
      </w:r>
      <w:r>
        <w:rPr>
          <w:rFonts w:ascii="Arial" w:cs="Arial" w:eastAsia="Arial" w:hAnsi="Arial"/>
          <w:sz w:val="22"/>
          <w:szCs w:val="22"/>
          <w:color w:val="auto"/>
        </w:rPr>
        <w:t>We may selectively pursue acquisitions and strategic investments</w:t>
      </w:r>
      <w:r>
        <w:rPr>
          <w:rFonts w:ascii="Arial" w:cs="Arial" w:eastAsia="Arial" w:hAnsi="Arial"/>
          <w:sz w:val="22"/>
          <w:szCs w:val="22"/>
          <w:i w:val="1"/>
          <w:iCs w:val="1"/>
          <w:color w:val="auto"/>
        </w:rPr>
        <w:t xml:space="preserve"> </w:t>
      </w:r>
      <w:r>
        <w:rPr>
          <w:rFonts w:ascii="Arial" w:cs="Arial" w:eastAsia="Arial" w:hAnsi="Arial"/>
          <w:sz w:val="22"/>
          <w:szCs w:val="22"/>
          <w:color w:val="auto"/>
        </w:rPr>
        <w:t>in businesses and technologies that strengthen our platform.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Customers</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We have a broad and diversified customer base. We benefit from longstanding relationships with well-recognized enterprise customers, as well as small and medium-sized businesses. Many of our customers have multi-year contracts, with no single customer representing more than 8% of CPaaS revenue for the year ended December 31, 2017.</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Our management is highly focused on creating and maintaining strategic partnerships beyond standard transactional customer relationships. We empower enterprises to create, scale and operate voice or text communications services across any mobile application or connected device and this reinforces our customer relationships.</w:t>
      </w:r>
    </w:p>
    <w:p>
      <w:pPr>
        <w:spacing w:after="0" w:line="16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and Marketing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sales and marketing teams work together to identify and establish relationships with prospects,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acquire new enterprise customers, expand relationships with existing enterprises and integrate them with our Bandwidth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 educate these decision makers and their teams about the benefits of using our Bandwidth Communications Platform to launch and scale robust communications experiences. Our sales team includes sales development, inside sales, field sales and sales engineering personnel.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December 31, 2017, we had 63 employees in our sales and marketing organization.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Our ability to compete depends in large part on our continuous commitment to research and development ("R&amp;D"). We also seek to continuously enhance our existing services and develop new products and services. Our product and network 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Bandwidth Communications Platform and our IP voice network, including infrastructure, ease-of-use and flexibility, end-user experience and ability to integrate with other enterprise systems.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December 31, 2017, we had 66 employees in our research and development organization.</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CPaaS market is rapidly evolving and increasingly competitive. We believe that the principal competitive factors in our market are:</w:t>
      </w:r>
    </w:p>
    <w:p>
      <w:pPr>
        <w:spacing w:after="0" w:line="1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platform scalability, reliability and performance;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network control and quality;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completeness of offering;</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ease of integration and programmability;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product features;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customer support;</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ability to deliver measurable value and savings;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cost of deploying and using our service offerings;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strength of sales and marketing efforts;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brand awareness and reputation;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credibility with product executives and developers.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We believe that we compete favorably based on the factors listed above and believe that none of our competitors currently competes directly with us across all our product offerings.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competitors fall into two primary categories:</w:t>
      </w:r>
    </w:p>
    <w:p>
      <w:pPr>
        <w:spacing w:after="0" w:line="220" w:lineRule="exact"/>
        <w:rPr>
          <w:sz w:val="20"/>
          <w:szCs w:val="20"/>
          <w:color w:val="auto"/>
        </w:rPr>
      </w:pPr>
    </w:p>
    <w:p>
      <w:pPr>
        <w:ind w:left="660" w:right="20" w:hanging="328"/>
        <w:spacing w:after="0" w:line="26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CPaaS companies that offer a narrower set of software APIs, less robust customer support and fewer other features while relying on third-party networks and physical infrastructure; and</w:t>
      </w:r>
    </w:p>
    <w:p>
      <w:pPr>
        <w:spacing w:after="0" w:line="174"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network service providers that offer limited developer functionality on top of their own networks and physical infrastructure, such as AT&amp;T, Level 3 and Verizon.</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Some of our competitors have greater financial, technical and other resources, greater geographic reach, greater name recognition, larger sales and marketing budgets and larger intellectual property portfolios. As a result, certain of our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As of December 31, 2017, we had eight U.S. patents and five U.S. patent applications pending. In addition, as of December 31, 2017, we had fifteen registered trademarks and one pending trademark application in the United States.</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Despite our efforts to protect our technology and proprietary rights through intellectual property rights, licenses and other contractual protections, unauthorized parties may still copy or otherwise obtain and use our 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of December 31, 2017, we had a total of 378 employees, all of whom are located in the United States. None of our employees are represented by a labor union or covered by a collective bargaining agreement. We have not experienced any work stoppages, and we consider our relations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about Geographic Revenue</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Information about geographic revenue is set forth in Note 9, "Segment and Geographic Information," in our consolidated financial statements included elsewhere in this Annual Report on Form 10-K.</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General</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and the communications services that we provide through our software APIs are subject to many U.S. federal and state and foreign laws and regulations. These laws and regulations may involve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Federal Telecommunications Regulation</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Federal Communications Commission ("FCC") has jurisdiction over interstate and international telecommunications services. We have obtained FCC authorization to provide services on a facilities and resale basis, as well as via a wireless telecommunications license.</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One of the challenges that has arisen is fraud and abuse in the form of illegal robocalling and unwanted text messaging. The FCC has initiated several proceedings to understand and address fraud and abuse, illegal robocalling and unwanted text messaging. Much of the FCC’s efforts to thwart illegal robocalling involve or relate to the Telephone Consumer Protection Act of 1991 (the "TCPA"), which restricts telemarketing calls and the use of automatic text messages without the recipient’s proper consent. The scope and interpretation of these laws and regulations continue to evolve and develop. If we do not comply with these laws or regulations or if we become liable under these laws or regulations due to the failure of our customers to comply with these laws by obtaining the recipient’s proper consent, we could face direct liability.</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i w:val="1"/>
          <w:iCs w:val="1"/>
          <w:color w:val="auto"/>
        </w:rPr>
        <w:t>VoIP Regulation</w:t>
      </w:r>
      <w:r>
        <w:rPr>
          <w:rFonts w:ascii="Arial" w:cs="Arial" w:eastAsia="Arial" w:hAnsi="Arial"/>
          <w:sz w:val="22"/>
          <w:szCs w:val="22"/>
          <w:color w:val="auto"/>
        </w:rPr>
        <w:t>. Some of our communications services provided through our software APIs may qualify as Voice-over</w:t>
      </w:r>
      <w:r>
        <w:rPr>
          <w:rFonts w:ascii="Arial" w:cs="Arial" w:eastAsia="Arial" w:hAnsi="Arial"/>
          <w:sz w:val="22"/>
          <w:szCs w:val="22"/>
          <w:i w:val="1"/>
          <w:iCs w:val="1"/>
          <w:color w:val="auto"/>
        </w:rPr>
        <w:t xml:space="preserve"> </w:t>
      </w:r>
      <w:r>
        <w:rPr>
          <w:rFonts w:ascii="Arial" w:cs="Arial" w:eastAsia="Arial" w:hAnsi="Arial"/>
          <w:sz w:val="22"/>
          <w:szCs w:val="22"/>
          <w:color w:val="auto"/>
        </w:rPr>
        <w:t>Internet Protocol ("VoIP"). The FCC has imposed various regulatory requirements on VoIP providers that previously applied only to traditional telecommunications providers, such as obligations to provide 911 functionality, to contribute to the federal universal service fund, to comply with regulations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relating to local number portability, to abide by the FCC’s service discontinuance rules, to contribute to the Telecommunications Relay Services fund and to abide by the regulations concerning Customer Proprietary Network Information, outage reporting, access for persons with disabilities and the Communications Assistance for Law Enforcement Act. In some instances, these regulations indirectly affect us because they directly apply to our customers.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We cannot predict whether the FCC or state public utility commissions will impose additional requirements, regulations or charges upon our provision of services related to IP communications.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i w:val="1"/>
          <w:iCs w:val="1"/>
          <w:color w:val="auto"/>
        </w:rPr>
        <w:t>Universal Service</w:t>
      </w:r>
      <w:r>
        <w:rPr>
          <w:rFonts w:ascii="Arial" w:cs="Arial" w:eastAsia="Arial" w:hAnsi="Arial"/>
          <w:sz w:val="19"/>
          <w:szCs w:val="19"/>
          <w:color w:val="auto"/>
        </w:rPr>
        <w:t>. Some of our services are subject to federal and state regulations that implement universal service support</w:t>
      </w:r>
      <w:r>
        <w:rPr>
          <w:rFonts w:ascii="Arial" w:cs="Arial" w:eastAsia="Arial" w:hAnsi="Arial"/>
          <w:sz w:val="19"/>
          <w:szCs w:val="19"/>
          <w:i w:val="1"/>
          <w:iCs w:val="1"/>
          <w:color w:val="auto"/>
        </w:rPr>
        <w:t xml:space="preserve"> </w:t>
      </w:r>
      <w:r>
        <w:rPr>
          <w:rFonts w:ascii="Arial" w:cs="Arial" w:eastAsia="Arial" w:hAnsi="Arial"/>
          <w:sz w:val="19"/>
          <w:szCs w:val="19"/>
          <w:color w:val="auto"/>
        </w:rPr>
        <w:t>for access to communications services in rural 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retail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15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auto"/>
        </w:rPr>
        <w:t xml:space="preserve">Intercarrier Compensation. </w:t>
      </w:r>
      <w:r>
        <w:rPr>
          <w:rFonts w:ascii="Arial" w:cs="Arial" w:eastAsia="Arial" w:hAnsi="Arial"/>
          <w:sz w:val="22"/>
          <w:szCs w:val="22"/>
          <w:color w:val="auto"/>
        </w:rPr>
        <w:t>Telecommunications carriers compensate one another for traffic carried on each other’s</w:t>
      </w:r>
      <w:r>
        <w:rPr>
          <w:rFonts w:ascii="Arial" w:cs="Arial" w:eastAsia="Arial" w:hAnsi="Arial"/>
          <w:sz w:val="22"/>
          <w:szCs w:val="22"/>
          <w:i w:val="1"/>
          <w:iCs w:val="1"/>
          <w:color w:val="auto"/>
        </w:rPr>
        <w:t xml:space="preserve"> </w:t>
      </w:r>
      <w:r>
        <w:rPr>
          <w:rFonts w:ascii="Arial" w:cs="Arial" w:eastAsia="Arial" w:hAnsi="Arial"/>
          <w:sz w:val="22"/>
          <w:szCs w:val="22"/>
          <w:color w:val="auto"/>
        </w:rPr>
        <w:t>networks. Interexchange carriers pay access charges to 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19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November 2011, the FCC released its Universal Service Fund/Intercarrier Compensation Transformation Order (the “USF/ICC Transformation Order”). Along with addressing other matters, the USF/ICC 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then-current levels, and will be reduced to zero over, as relevant to us, generally a six-year transition period that began July 1, 2012.</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Pursuant to the USF/ICC Transformation Order, VoIP, while remaining unclassified as either an information or a telecommunications service, was prospectively categorized as either local or non-local traffic. If “local”, then VoIP traffic is subject to reciprocal compensation; if “non-local”, then it is subject to interstate rates, thus eliminating any intrastate access rate applicable to VoIP. The USF/ICC Transformation Order did not address the treatment of VoIP retroactively. During 2015, the FCC issued clarifications concerning the rating of VoIP traffic that were favorable to us. Those clarifications were appealed, and in November 2016 the appellate court vacated the FCC’s 2015 clarification and ruled that additional action by the FCC is required. At this time, we cannot predict the outcome of the FCC actions.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State Telecommunications Regulation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1996 Act intended to increase competition in the telecommunications industry, especially in the local market. With respect to local services, incumbent local exchange carriers (or “ILECs”) such as AT&amp;T are required to allow interconnection to their incumbent networks and to provide access to network facilities, as well as several other pro-competitive measures.</w:t>
      </w:r>
    </w:p>
    <w:p>
      <w:pPr>
        <w:spacing w:after="0" w:line="1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Bandwidth Inc. was founded in July 2000 and incorporated in Delaware on March 29, 2001. Our principal executive offices are located at 900 Main Campus Drive Raleigh, NC 27606, and our telephone number is (800) 808-5150. Our website address is www.bandwidth.com. Information contained on, or that can be accessed through, our website does not constitute part of this Annual Report on Form 10-K.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Available Information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information can be found, free of charge, on our corporate website at https://www.bandwidth.com/:</w:t>
      </w:r>
    </w:p>
    <w:p>
      <w:pPr>
        <w:spacing w:after="0" w:line="231" w:lineRule="exact"/>
        <w:rPr>
          <w:sz w:val="20"/>
          <w:szCs w:val="20"/>
          <w:color w:val="auto"/>
        </w:rPr>
      </w:pPr>
    </w:p>
    <w:p>
      <w:pPr>
        <w:jc w:val="both"/>
        <w:ind w:left="660" w:hanging="328"/>
        <w:spacing w:after="0" w:line="25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our annual report on Form 10-K, quarterly reports on Form 10-Q, current reports on Form 8-K, and all amendments to those reports as soon as reasonably practicable after such material is electronically filed with or furnished to the Securities and Exchange Commission;</w:t>
      </w:r>
    </w:p>
    <w:p>
      <w:pPr>
        <w:spacing w:after="0" w:line="185" w:lineRule="exact"/>
        <w:rPr>
          <w:rFonts w:ascii="Arial" w:cs="Arial" w:eastAsia="Arial" w:hAnsi="Arial"/>
          <w:sz w:val="22"/>
          <w:szCs w:val="22"/>
          <w:color w:val="auto"/>
        </w:rPr>
      </w:pPr>
    </w:p>
    <w:p>
      <w:pPr>
        <w:jc w:val="both"/>
        <w:ind w:left="660" w:right="20" w:hanging="328"/>
        <w:spacing w:after="0" w:line="253"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our policies related to corporate governance, including our Code of Business Conduct and Ethics applying to our directors, officers and employees (including our principal executive officer and principal financial and accounting officer) that we have adopted to meet applicable rules and regulations;</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charters of the Audit and Compensation Committees of our Board of Directors.</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 addition, copies of our annual report will be made available, free of charge, upon written request.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intend to satisfy the applicable disclosure requirements regarding amendments to, or waivers from, provisions of our Code of Business Conduct and Ethics by posting such information on our website. The information contained on our website or accessible through our website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condensed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success of our growth and expansion plans depends on a number of factors that are beyond our control.</w:t>
      </w:r>
    </w:p>
    <w:p>
      <w:pPr>
        <w:spacing w:after="0" w:line="12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132" w:lineRule="exact"/>
        <w:rPr>
          <w:sz w:val="20"/>
          <w:szCs w:val="20"/>
          <w:color w:val="auto"/>
        </w:rPr>
      </w:pPr>
    </w:p>
    <w:p>
      <w:pPr>
        <w:ind w:left="660" w:hanging="328"/>
        <w:spacing w:after="0" w:line="26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availability and retention of qualified and effective personnel with the expertise required to sell and operate effectively or successfully;</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overall economic health of new and existing markets;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number and effectiveness of competitors;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pricing structure under which we will be able to purchase services required to serve our customers;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availability to us of technologies needed to remain competitive; and</w:t>
      </w:r>
    </w:p>
    <w:p>
      <w:pPr>
        <w:spacing w:after="0" w:line="16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federal and state and regulatory conditions, including the maintenance of state regulation that protects us from unfair business practices by traditional network service providers or others with greater market power who have relationships with us as both competitors and suppliers.</w:t>
      </w:r>
    </w:p>
    <w:p>
      <w:pPr>
        <w:spacing w:after="0" w:line="29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The market in which we participate is highly competitive, and if we do not compete effectively, our business, results of operations and financial condition could be harmed.</w:t>
      </w:r>
    </w:p>
    <w:p>
      <w:pPr>
        <w:spacing w:after="0" w:line="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developers, global reach, ease of integration and programmability, product features, platform scalability, reliability, security and performance, brand awareness and reputation, the strength of sales and marketing efforts, customer support, as well as the cost of deploying and using our services. Our competitors fall into two primary categories:</w:t>
      </w:r>
    </w:p>
    <w:p>
      <w:pPr>
        <w:spacing w:after="0" w:line="93" w:lineRule="exact"/>
        <w:rPr>
          <w:sz w:val="20"/>
          <w:szCs w:val="20"/>
          <w:color w:val="auto"/>
        </w:rPr>
      </w:pPr>
    </w:p>
    <w:p>
      <w:pPr>
        <w:ind w:left="660" w:right="20" w:hanging="328"/>
        <w:spacing w:after="0" w:line="263"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CPaaS companies that offer a narrower set of software APIs, less robust customer support and fewer other features while relying on third-party networks and physical infrastructure; and</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network service providers that offer limited developer functionality on top of their own networks and physical infrastructure, such as AT&amp;T, Level 3 and Verizon.</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Some of our competitors and potential competitors are larger and have greater name recognition, longer operating histories, more established customer relationships, a larger global reach, larger budgets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significantly greater resources than we do. In addition, they have the operating flexibility to bundle competing products and 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the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We presently operate in the United States and provide certain limited services in Canada.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unable to attract new customers in a cost-effective manner, then our business, results of operations and financial condition would be adversely affected.</w:t>
      </w:r>
    </w:p>
    <w:p>
      <w:pPr>
        <w:spacing w:after="0" w:line="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 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29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The market for some of our services and platform is new and unproven, may decline or experience limited growth and is dependent in part on enterprises and developers continuing to adopt our platform and use our services.</w:t>
      </w:r>
    </w:p>
    <w:p>
      <w:pPr>
        <w:spacing w:after="0" w:line="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200" w:lineRule="exact"/>
        <w:rPr>
          <w:sz w:val="20"/>
          <w:szCs w:val="20"/>
          <w:color w:val="auto"/>
        </w:rPr>
      </w:pPr>
    </w:p>
    <w:p>
      <w:pPr>
        <w:spacing w:after="0" w:line="32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must increase the network traffic and resulting revenue from the services that we offer to realize our targets for anticipated revenue growth, cash flow and operating performance.</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must increase the network traffic and resulting revenue from our inbound and outbound voice calling, text messaging, emergency voice functions, telephone numbers and related services at acceptable margins to realize our targets for anticipated revenue growth, cash flow and operating performance. If:</w:t>
      </w:r>
    </w:p>
    <w:p>
      <w:pPr>
        <w:spacing w:after="0" w:line="13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we do not maintain or improve our current relationships with existing key customers;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we are not able to expand the available capacity on our network to meet our customers’ demands in a timely manner;</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we do not develop new large wholesale and enterprise customers; or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120" w:firstLine="332"/>
        <w:spacing w:after="0" w:line="468" w:lineRule="auto"/>
        <w:tabs>
          <w:tab w:leader="none" w:pos="648" w:val="left"/>
        </w:tabs>
        <w:numPr>
          <w:ilvl w:val="0"/>
          <w:numId w:val="18"/>
        </w:numPr>
        <w:rPr>
          <w:rFonts w:ascii="Arial" w:cs="Arial" w:eastAsia="Arial" w:hAnsi="Arial"/>
          <w:sz w:val="22"/>
          <w:szCs w:val="22"/>
          <w:color w:val="auto"/>
        </w:rPr>
      </w:pPr>
      <w:r>
        <w:rPr>
          <w:rFonts w:ascii="Arial" w:cs="Arial" w:eastAsia="Arial" w:hAnsi="Arial"/>
          <w:sz w:val="22"/>
          <w:szCs w:val="22"/>
          <w:color w:val="auto"/>
        </w:rPr>
        <w:t>our customers determine to obtain these services from either their own network or from one of our competitors, then we may be unable to increase or maintain our revenue at acceptable margins.</w:t>
      </w:r>
    </w:p>
    <w:p>
      <w:pPr>
        <w:spacing w:after="0" w:line="67" w:lineRule="exact"/>
        <w:rPr>
          <w:sz w:val="20"/>
          <w:szCs w:val="20"/>
          <w:color w:val="auto"/>
        </w:rPr>
      </w:pPr>
    </w:p>
    <w:p>
      <w:pPr>
        <w:jc w:val="both"/>
        <w:spacing w:after="0" w:line="341" w:lineRule="auto"/>
        <w:rPr>
          <w:sz w:val="20"/>
          <w:szCs w:val="20"/>
          <w:color w:val="auto"/>
        </w:rPr>
      </w:pPr>
      <w:r>
        <w:rPr>
          <w:rFonts w:ascii="Arial" w:cs="Arial" w:eastAsia="Arial" w:hAnsi="Arial"/>
          <w:sz w:val="19"/>
          <w:szCs w:val="19"/>
          <w:b w:val="1"/>
          <w:bCs w:val="1"/>
          <w:i w:val="1"/>
          <w:iCs w:val="1"/>
          <w:color w:val="auto"/>
        </w:rPr>
        <w:t>Our business depends on customers increasing their use of our services and any loss of customers or decline in their use of our services could materially and adversely affect our business, results of operations and financial condition.</w:t>
      </w:r>
    </w:p>
    <w:p>
      <w:pPr>
        <w:jc w:val="both"/>
        <w:ind w:firstLine="648"/>
        <w:spacing w:after="0" w:line="288" w:lineRule="auto"/>
        <w:rPr>
          <w:sz w:val="20"/>
          <w:szCs w:val="20"/>
          <w:color w:val="auto"/>
        </w:rPr>
      </w:pPr>
      <w:r>
        <w:rPr>
          <w:rFonts w:ascii="Arial" w:cs="Arial" w:eastAsia="Arial" w:hAnsi="Arial"/>
          <w:sz w:val="19"/>
          <w:szCs w:val="19"/>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 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unable to increase the revenue that we derive from enterprises, our business, results of operations and financial condition may be adversely affected.</w:t>
      </w:r>
    </w:p>
    <w:p>
      <w:pPr>
        <w:spacing w:after="0" w:line="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15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do not develop enhancements to our services and introduce new services that achieve market acceptance, our business, results of operations and financial condition could be adversely affected.</w:t>
      </w:r>
    </w:p>
    <w:p>
      <w:pPr>
        <w:spacing w:after="0" w:line="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In certain instances, the introduction of new services requires the successful development of new technology. To the extent that upgrades of existing technology are required for the introduction of new services, the success of these upgrades may be dependent on reaching mutually acceptable terms with vendors and on vendors meeting their obligations in a timely manner.</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28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We have experienced rapid growth and expect our growth to continue, and if we fail to effectively manage our growth, then our business, results of operations and financial condition could be adversely affected.</w:t>
      </w:r>
    </w:p>
    <w:p>
      <w:pPr>
        <w:spacing w:after="0" w:line="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9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pricing and billing systems are complex and errors could adversely affect our revenue and profits.</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Our pricing and billing efforts are complex to develop and challenging to implement. To be profitable, we must have accurate and complete information about the costs associated with voice and text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communications,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must continue to develop effective business support systems to implement customer orders and to provide and bill for services.</w:t>
      </w:r>
    </w:p>
    <w:p>
      <w:pPr>
        <w:spacing w:after="0" w:line="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3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quoting, accepting and inputting customer orders for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provisioning, installing and delivering services;</w:t>
      </w:r>
    </w:p>
    <w:p>
      <w:pPr>
        <w:spacing w:after="0" w:line="165" w:lineRule="exact"/>
        <w:rPr>
          <w:rFonts w:ascii="Arial" w:cs="Arial" w:eastAsia="Arial" w:hAnsi="Arial"/>
          <w:sz w:val="22"/>
          <w:szCs w:val="22"/>
          <w:color w:val="auto"/>
        </w:rPr>
      </w:pPr>
    </w:p>
    <w:p>
      <w:pPr>
        <w:ind w:left="660" w:hanging="328"/>
        <w:spacing w:after="0" w:line="343" w:lineRule="auto"/>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50" w:lineRule="exact"/>
        <w:rPr>
          <w:rFonts w:ascii="Arial" w:cs="Arial" w:eastAsia="Arial" w:hAnsi="Arial"/>
          <w:sz w:val="19"/>
          <w:szCs w:val="19"/>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billing for services.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25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are not able to maintain and enhance our brand and increase market awareness of our company and services, then our business, results of operations and financial condition may be adversely affected.</w:t>
      </w:r>
    </w:p>
    <w:p>
      <w:pPr>
        <w:spacing w:after="0" w:line="6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1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 materially and adversely affect our ability to attract and retain customers, our business, results of operations and financial condition.</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255" w:lineRule="exact"/>
        <w:rPr>
          <w:sz w:val="20"/>
          <w:szCs w:val="20"/>
          <w:color w:val="auto"/>
        </w:rPr>
      </w:pPr>
    </w:p>
    <w:p>
      <w:pPr>
        <w:jc w:val="both"/>
        <w:ind w:right="20"/>
        <w:spacing w:after="0" w:line="341" w:lineRule="auto"/>
        <w:rPr>
          <w:sz w:val="20"/>
          <w:szCs w:val="20"/>
          <w:color w:val="auto"/>
        </w:rPr>
      </w:pPr>
      <w:r>
        <w:rPr>
          <w:rFonts w:ascii="Arial" w:cs="Arial" w:eastAsia="Arial" w:hAnsi="Arial"/>
          <w:sz w:val="19"/>
          <w:szCs w:val="19"/>
          <w:b w:val="1"/>
          <w:bCs w:val="1"/>
          <w:i w:val="1"/>
          <w:iCs w:val="1"/>
          <w:color w:val="auto"/>
        </w:rPr>
        <w:t>Any failure to deliver and maintain high-quality customer support may adversely affect our relationships with our customers and prospective customers and could adversely affect our reputation, business, results of operations and financial condition.</w:t>
      </w:r>
    </w:p>
    <w:p>
      <w:pPr>
        <w:jc w:val="both"/>
        <w:ind w:firstLine="648"/>
        <w:spacing w:after="0" w:line="288" w:lineRule="auto"/>
        <w:rPr>
          <w:sz w:val="20"/>
          <w:szCs w:val="20"/>
          <w:color w:val="auto"/>
        </w:rPr>
      </w:pPr>
      <w:r>
        <w:rPr>
          <w:rFonts w:ascii="Arial" w:cs="Arial" w:eastAsia="Arial" w:hAnsi="Arial"/>
          <w:sz w:val="19"/>
          <w:szCs w:val="19"/>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revenue is concentrated in a limited number of enterprise customers.</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2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damage our reputation, expose us to liability to third parties and require us to incur significant additional costs to maintain the security of our networks and data.</w:t>
      </w:r>
    </w:p>
    <w:p>
      <w:pPr>
        <w:spacing w:after="0" w:line="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 attacks, including protection of our systems and networks, may be insufficient to repel or mitigate the effects of a major cyber 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existing general liability insurance may not cover, or may cover only a portion of, any potential claims related to security breaches to which we are exposed or may not be adequate to indemnify us for all or any portion of liabilities that may be imposed. Accordingly, if our cybersecurity measures and those of our service providers, fail to protect against unauthorized access, attacks (which may include sophisticated cyber attacks) and the mishandling of data by our employees and contractors, then our reputation, business, results of operations and financial condition could be adversely affected.</w:t>
      </w:r>
    </w:p>
    <w:p>
      <w:pPr>
        <w:spacing w:after="0" w:line="25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We are currently subject to litigation related to taxes and charges associated with our provision of 911 services, which could divert management’s attention and adversely affect our results of operations.</w:t>
      </w:r>
    </w:p>
    <w:p>
      <w:pPr>
        <w:spacing w:after="0" w:line="6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Alabama, Georgia, Illinois, Minnesota, North Carolina, Pennsylvania, Rhode Island, South Carolina and the District of Columbia. See the section titled “Item 3. Legal Proceedings.” We may face similar litigation in other jurisdictions in the future. While we are vigorously defending these lawsuits, litigation is inherently uncertain. Tax assessments, penalties and interest or future requirements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arising from these lawsuits, or any other lawsuits that may arise in other jurisdictions, may adversely affect our business, results of operations and financial condition.</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face a risk of litigation resulting from customer misuse of our services and software to make or send unauthorized calls and/or text messages in violation of the Telephone Consumer Protection Act.</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Calls and/or text messages originated by our customers may subject us to potential risks. For example, the TCPA restricts telemarketing and the use of technologies that enable automatic calling and/or SMS text messages without proper consent. This may result in civil claims against us and requests for information through third-party subpoenas or regulatory investigations. The scope and interpretation of the laws that are or may be applicable to the making and/or delivery of calls and/or text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The communications industry faces significant regulatory uncertainties and the resolution of these uncertainties could harm our business, results of operations and financial condition.</w:t>
      </w:r>
    </w:p>
    <w:p>
      <w:pPr>
        <w:spacing w:after="0" w:line="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current or future regulations change, the FCC or state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Proceedings before the FCC could limit our access to various network services or further increase the rates we must pay for such services. Likewise, proceedings before the FCC could impact the availability and price of special access facilities. Other proceedings before the FCC could result in an increase in the amount we pay to other carriers or a reduction in the revenue we derive from other carriers in, or retroactive liability for, access charges and reciprocal compensation. Additionally, other proceedings before the FCC could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 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1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While we believe we are currently in compliance with all federal, state and local rules and regulations, these regulations are subject to interpretation and the relevant regulators may determine that our application of these rules and regulations is not consistent with their interpretation. Additionally, in certain instances,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third parties or government agencies may bring action with federal, state or local regulators if they believe a provider has breached applicable rules and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effects of increased regulation of IP-based service providers are unknown.</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While the FCC has to date generally subjected IP-based service providers to less stringent regulatory oversight than traditional common carriers, the FCC has more recently imposed certain regulatory obligations on providers of VoIP services, including the obligations to contribute to the Universal Service Fund, to provide 911 services and/or to comply with the Communications Assistance for Law Enforcement Act. Some states have imposed taxes, fees and/or surcharges on VoIP telephony services. The imposition of additional regulations could have a material adverse effect on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must obtain and maintain permits and licenses to operate our network.</w:t>
      </w:r>
    </w:p>
    <w:p>
      <w:pPr>
        <w:spacing w:after="0" w:line="1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particular, although we have received approval from the FCC, we are currently awaiting approval from the state public utility commissions of California and Hawaii in connection with our expected change of control (the “Necessary Approvals”). Holders of our Class B common stock are prohibited from converting their shares of Class B common stock to Class A common stock prior to the earlier of: (i) the receipt of the Necessary Approvals and (ii) the 181st day following our initial public offering (the “Conversion Commencement Date”). If we have not received the Necessary Approvals by the Conversion Commencement Date, we will not be able to restrict holders of our Class B common stock from converting their shares of Class B common stock to Class A common stock, which may result in a change of control. If a change of control occurs prior to receipt of regulatory approval in a jurisdiction, we may be subject to fines, penalties, enforcement actions or loss of our authorization in such jurisdiction.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2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i w:val="1"/>
          <w:iCs w:val="1"/>
          <w:color w:val="auto"/>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operations are subject to regulation at the national level and, often, at the state and local levels. Changes to existing regulations or rules, or the failure to regulate going forward in areas historically regulated on matters such as network neutrality, licensing fees, environmental, health and safety, privacy, intercarrier compensation, emergency 911 services interconnection and other areas, in general or particular to our industry, may increase costs, restrict operations or decrease revenue. Our inability or failure to comply with telecommunications and other laws and regulations could cause the temporary or permanent suspension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our operations, and if we cannot provide emergency calling functionality through our Bandwidth Communications Platform to meet any new federal or state requirements, the competitive advantages that we currently have may not persist, adversely affecting our ability to obtain and to retain enterprise customers which could have an adverse impact on our business.</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FCC recently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repeal of the pre-existing rules is not yet effective and several state attorneys’ general and associations have appealed the FCC’s repeal of the pre-existing network neutrality rules. There are also efforts in Congress to repeal the FCC’s January 2018 order. We cannot predict whether either the appeals or Congress will be successful and result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275" w:lineRule="exact"/>
        <w:rPr>
          <w:sz w:val="20"/>
          <w:szCs w:val="20"/>
          <w:color w:val="auto"/>
        </w:rPr>
      </w:pPr>
    </w:p>
    <w:p>
      <w:pPr>
        <w:jc w:val="both"/>
        <w:ind w:right="20"/>
        <w:spacing w:after="0" w:line="336" w:lineRule="auto"/>
        <w:rPr>
          <w:sz w:val="20"/>
          <w:szCs w:val="20"/>
          <w:color w:val="auto"/>
        </w:rPr>
      </w:pPr>
      <w:r>
        <w:rPr>
          <w:rFonts w:ascii="Arial" w:cs="Arial" w:eastAsia="Arial" w:hAnsi="Arial"/>
          <w:sz w:val="18"/>
          <w:szCs w:val="18"/>
          <w:b w:val="1"/>
          <w:bCs w:val="1"/>
          <w:i w:val="1"/>
          <w:iCs w:val="1"/>
          <w:color w:val="auto"/>
        </w:rPr>
        <w:t>We are subject to privacy and data security obligations in the U.S.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For certain of our internet-based and Bandwidth Communications Platform offerings, 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wholesale customers to which we provide services. We could also be subject to fines, forfeitures and other penalties that may adversely impact our business.</w:t>
      </w:r>
    </w:p>
    <w:p>
      <w:pPr>
        <w:spacing w:after="0" w:line="28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We are or may be subject to data privacy, security and transfer rules in the European Union. The current law governing the transfer of personal data from the European Union to the United States is ambiguous. We may be subject to enforcement actions or we may have to restructure our service offerings in order to comply with relevant law. Our business reputation could suffer, we could be subject to fines, penalties or forfeitures, and we could be subject to increased costs that could negatively impact our profitability or require us to increase the prices for our offerings making our services less competitive.</w:t>
      </w:r>
    </w:p>
    <w:p>
      <w:pPr>
        <w:spacing w:after="0" w:line="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Like many other companies operating in the European Union (EU) and the U.S., we rely on certain methods to transfer personal data from the EU to the U.S. There has been considerable litigation and legal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uncertainty associated with all established methods for transferring personal data from the EU to the U.S. As a result, there is substantial uncertainty as to the state of law governing the transfer of personal data between the EU and the U.S. for all companies engaged in such transfers including us. We cannot predict when or how this issue will be resolved nor can we predict its impact on us at this time. We may be subject to fines or penalties if the existing data transfer methods are invalidated or we may have to restructure our business operations. Depending on what we may have to do to comply with the law when and if it is ultimately resolved, we could incur increased operating costs which may decrease our profitability or we may increase the price of our services that may result in our services being less competitive in the marketplace.</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The European Union’s General Data Protection Regulation (GDPR) becomes effective on May 25, 2018. If we are found to be in non-compliance with the GDPR, we could be subject to substantial monetary forfeitures and other penalties. Our business reputation could also suffer.</w:t>
      </w:r>
    </w:p>
    <w:p>
      <w:pPr>
        <w:spacing w:after="0" w:line="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EU adopted the General Data Protection Regulation (GDPR), which will become effective on May 25, 2018, replacing the Data Protection Directive 95/46/EC. The GDPR provides for far more significant forfeitures and penalties than the regulation it replaces for noncompliance. Much remains unknown with respect to how to interpret and implement the GDPR. Moreover, for our internet-based service offerings as well as those services we offer through the Bandwidth Communications Platform, there is substantial complexity associated with interpreting and implementing the GDPR. Should we be found to be not in compliance with the GDPR, we could be subject to substantial monetary forfeitures and other penalties that could negatively impact our operating results. Our business reputation could also suffer. We cannot evaluate our potential liability at this time.</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Our business could suffer if we cannot obtain or retain local or toll-free numbers, are prohibited from obtaining local or toll-free numbers, or are limited to distributing local or toll-free numbers to only certain customers.</w:t>
      </w:r>
    </w:p>
    <w:p>
      <w:pPr>
        <w:spacing w:after="0" w:line="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future success depends on our ability to procure large quantities of local and toll-free numbers in the United States in desirable locations at a reasonable cost and without restriction. Our ability to procure and distribute numbers depends on factors outside of our control, such as applicable regulations, the practices of the communications carriers that provide numbers to us in certain jurisdictions, the cost of these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restriction. If we are not able to obtain or retain adequate local and toll-free numbers, or attractive subsets of such resources, our business, results of operations and financial condition could be materially adversely affected.</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Intellectual property and proprietary rights of others could prevent us from using necessary technology to provide our services or subject us to expensive intellectual property litigation.</w:t>
      </w:r>
    </w:p>
    <w:p>
      <w:pPr>
        <w:spacing w:after="0" w:line="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use of open source software could negatively affect our ability to sell our services and subject us to possible litigation.</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200" w:lineRule="exact"/>
        <w:rPr>
          <w:sz w:val="20"/>
          <w:szCs w:val="20"/>
          <w:color w:val="auto"/>
        </w:rPr>
      </w:pPr>
    </w:p>
    <w:p>
      <w:pPr>
        <w:spacing w:after="0" w:line="33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Indemnity provisions in various agreements potentially expose us to substantial liability for intellectual property infringement and other losses.</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9"/>
          <w:szCs w:val="19"/>
          <w:color w:val="auto"/>
        </w:rPr>
        <w:t>customers, reduce demand for our services and adversely affect our business, results of operations and financial condition.</w:t>
      </w:r>
    </w:p>
    <w:p>
      <w:pPr>
        <w:spacing w:after="0" w:line="362"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b w:val="1"/>
          <w:bCs w:val="1"/>
          <w:i w:val="1"/>
          <w:iCs w:val="1"/>
          <w:color w:val="auto"/>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1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1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we fail to protect our internally developed systems, technology and software and our patents and trademarks, we may become involved in costly litigation or our business or brand may be harmed.</w:t>
      </w:r>
    </w:p>
    <w:p>
      <w:pPr>
        <w:spacing w:after="0" w:line="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ability to compete effectively is dependent in large part upon the maintenance and protection of systems and software that we have developed internally, including some systems and software-based on open standards. While we have eight U.S. patents and five pending U.S. patent applications, we cannot patent much of the technology that is important to our business. In addition, our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third-party to copy or otherwise obtain and use our technology without authorization. In addition, others may independently discover trade secrets and proprietary information, and in such cases we could not assert any rights against such party. Policing unauthorized use of our technology is difficult. The steps 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are subject to litigation in the ordinary course of business, and uninsured judgments or a rise in insurance premiums may adversely affect our results of operations.</w:t>
      </w:r>
    </w:p>
    <w:p>
      <w:pPr>
        <w:spacing w:after="0" w:line="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liable for the information that content owners or distributors distribute over our network.</w:t>
      </w:r>
    </w:p>
    <w:p>
      <w:pPr>
        <w:spacing w:after="0" w:line="1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inaccurate, offensive or violated the law or the rights of others. Claims could also involve matters such as defamation, invasion of privacy and 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Our customers may have been subject to “phishing,” which occurs when a third-party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28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132" w:lineRule="exact"/>
        <w:rPr>
          <w:sz w:val="20"/>
          <w:szCs w:val="20"/>
          <w:color w:val="auto"/>
        </w:rPr>
      </w:pPr>
    </w:p>
    <w:p>
      <w:pPr>
        <w:ind w:left="660" w:right="20" w:hanging="328"/>
        <w:spacing w:after="0" w:line="26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Our 911 calling services are different, in significant respects, from the 911 service associated with traditional wireline and wireless telephone providers and, in certain cases, with other VoIP providers.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the event of a power loss or Internet access interruption experienced by a customer, our service may be interrupted.</w:t>
      </w:r>
    </w:p>
    <w:p>
      <w:pPr>
        <w:spacing w:after="0" w:line="200"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Our customers’ end users may experience lower call quality than they are used to from traditional wireline or wireless telephone companies, including static, echoes and delays in transmissions.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hanging="328"/>
        <w:spacing w:after="0" w:line="263"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Our customers’ end users may not be able to call premium-rate telephone numbers such as 1-900 numbers and 976 numbers.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12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service interruptions;</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misfunction of our Bandwidth Communications Platform on which our enterprise users rely for voice, messaging or 911 functionality;</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exposure to customer liability;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inability to install new service;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unavailability of employees necessary to provide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delay in the completion of other corporate functions such as issuing bills and the preparation of financial statements; or</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need for expensive modifications to our systems and infrastructure.</w:t>
      </w:r>
    </w:p>
    <w:p>
      <w:pPr>
        <w:spacing w:after="0" w:line="32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Defects or errors in our services could diminish demand for our services, harm our business and results of operations and subject us to liability.</w:t>
      </w:r>
    </w:p>
    <w:p>
      <w:pPr>
        <w:spacing w:after="0" w:line="6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If our 911 services do not function properly, we may be exposed to significant liability from our users.</w:t>
      </w:r>
    </w:p>
    <w:p>
      <w:pPr>
        <w:spacing w:after="0" w:line="11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Certain of our IP telephony offerings, as well as the 911 solutions that we offer are subject to FCC rules governing the delivery of emergency calling services. Similar to other providers of IP telephony services, our 911 service are different from those associated with traditional telecommunications services. These differences 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IP telephony services from a fixed address are required to manually update their location information,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FCC’s rules also require that we timely report certain 911 service outages. The FCC may make further inquiries regarding matters related to any reported 911 service outage. Any inquiry could result in FCC enforcement action, potential monetary penalties and other adverse consequences.</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Termination of relationships with key suppliers could cause delay and additional costs.</w:t>
      </w:r>
    </w:p>
    <w:p>
      <w:pPr>
        <w:spacing w:after="0" w:line="1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188" w:lineRule="exact"/>
        <w:rPr>
          <w:sz w:val="20"/>
          <w:szCs w:val="20"/>
          <w:color w:val="auto"/>
        </w:rPr>
      </w:pPr>
    </w:p>
    <w:p>
      <w:pPr>
        <w:jc w:val="both"/>
        <w:ind w:firstLine="567"/>
        <w:spacing w:after="0" w:line="292" w:lineRule="auto"/>
        <w:rPr>
          <w:sz w:val="20"/>
          <w:szCs w:val="20"/>
          <w:color w:val="auto"/>
        </w:rPr>
      </w:pPr>
      <w:r>
        <w:rPr>
          <w:rFonts w:ascii="Arial" w:cs="Arial" w:eastAsia="Arial" w:hAnsi="Arial"/>
          <w:sz w:val="19"/>
          <w:szCs w:val="19"/>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One of our third-party suppliers, Level 3, provides us with certain 911 call routing and termination services. Pursuant to the agreement with Level 3, Level 3 is our preferred provider for these services until December 31, 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growth and financial health are subject to a number of economic risks.</w:t>
      </w:r>
    </w:p>
    <w:p>
      <w:pPr>
        <w:spacing w:after="0" w:line="1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Annual Report on Form 10-K.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customer churn rate may increase.</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2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The market prices for certain of our services have decreased in the past and may decrease in the future, resulting in lower revenue than we anticipate.</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Market prices for certain of our services have decreased over recent years. These decreases resulted from downward market pressure and other factors including:</w:t>
      </w:r>
    </w:p>
    <w:p>
      <w:pPr>
        <w:spacing w:after="0" w:line="121" w:lineRule="exact"/>
        <w:rPr>
          <w:sz w:val="20"/>
          <w:szCs w:val="20"/>
          <w:color w:val="auto"/>
        </w:rPr>
      </w:pPr>
    </w:p>
    <w:p>
      <w:pPr>
        <w:ind w:left="660" w:hanging="328"/>
        <w:spacing w:after="0" w:line="26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technological changes and network expansions, which have resulted in increased transmission capacity available for sale by us and by our competitors; and</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some of our competitors have been willing to accept smaller operating margins in the short term in an attempt to increase long-term revenue.</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The need to obtain additional IP circuits from other providers increases our costs. In addition, the need to interconnect our network to networks that are controlled by others could increase our costs.</w:t>
      </w:r>
    </w:p>
    <w:p>
      <w:pPr>
        <w:spacing w:after="0" w:line="6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lease over 150,000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2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depend largely on the continued services of our senior management and other key employees, the loss of any of whom could adversely affect our business, results of operations and financial condition.</w:t>
      </w:r>
    </w:p>
    <w:p>
      <w:pPr>
        <w:spacing w:after="0" w:line="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If we are unable to hire, retain and motivate qualified personnel, our business will suffer.</w:t>
      </w:r>
    </w:p>
    <w:p>
      <w:pPr>
        <w:spacing w:after="0" w:line="112"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21"/>
          <w:szCs w:val="21"/>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Volatility in, or lack of performance of, our stock price may also affect our ability to attract and retain key personnel. Many of our key personnel are, or will soon be, vested in a substantial amount of shares of Class A common stock, Class B common stock or stock options. Employees may be more likely to terminate their employment with us if the shares they own or the shares underlying their vested options have significantly appreciated in value relative to the original purchase prices of the shares or the exercise prices of the options, or, conversely, if the exercise prices of the options that they hold are significantly above the trading price of our Class A common stock. If we are unable to retain our employees, our business, results of operations and financial condition could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management team has limited experience managing a public company.</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Most members of our management team have limited, if any, experience managing a publicly-traded company, interacting with public company investors and complying with the increasingly complex laws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28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We could be subject to liability for historic and future sales, use and similar taxes, which could adversely affect our results of operations.</w:t>
      </w:r>
    </w:p>
    <w:p>
      <w:pPr>
        <w:spacing w:after="0" w:line="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 collected certain of these taxes and, in accordance with generally accepted accounting principles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296" w:lineRule="exact"/>
        <w:rPr>
          <w:sz w:val="20"/>
          <w:szCs w:val="20"/>
          <w:color w:val="auto"/>
        </w:rPr>
      </w:pPr>
    </w:p>
    <w:p>
      <w:pPr>
        <w:jc w:val="both"/>
        <w:spacing w:after="0" w:line="336" w:lineRule="auto"/>
        <w:rPr>
          <w:sz w:val="20"/>
          <w:szCs w:val="20"/>
          <w:color w:val="auto"/>
        </w:rPr>
      </w:pPr>
      <w:r>
        <w:rPr>
          <w:rFonts w:ascii="Arial" w:cs="Arial" w:eastAsia="Arial" w:hAnsi="Arial"/>
          <w:sz w:val="18"/>
          <w:szCs w:val="18"/>
          <w:b w:val="1"/>
          <w:bCs w:val="1"/>
          <w:i w:val="1"/>
          <w:iCs w:val="1"/>
          <w:color w:val="auto"/>
        </w:rPr>
        <w:t>We may be subject to significant U.S. federal income tax-related liabilities if certain ownership changes were to occur, including as a result of subsequent issuances or acquisitions of our stock, and we may determine to forego certain transactions in light of such liabilities as well as the restrictions and obligations imposed by and under the Tax Sharing Agreement.</w:t>
      </w:r>
    </w:p>
    <w:p>
      <w:pPr>
        <w:spacing w:after="0" w:line="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certain ownership changes were to occur. In particular, even if the Spin-Off otherwise qualifies as a tax-free transaction to us and our stockholders under Section 355, Section 368(a)(1)(D) and related provisions of the U.S. Internal Revenue Code of 1986, as amended (the “Code”), it may result in corporate-level taxable gain to us under Section 355(e) of the Code (“Section 355(e)”) if there is a 50% or greater change in ownership, by vote or value, of shares of our stock or Republic Wireless’s stock occurring as part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of a plan or series of related transactions that includes the Spin-Off. In addition, pursuant to the Tax Sharing Agreement, dated November 30, 2016, between us and Republic Wireless (the “Tax Sharing Agreement”), we and Republic Wireless are each prohibited from taking or failing to take any action that prevents the Spin-Off from qualifying for tax-free treatment under Section 355, Section 368(a)(1)(D) and related provisions of the Code, and we and Republic Wireless must generally indemnify one another for any taxes or losses incurred by the other (or its respective subsidiaries), as applicable, resulting from the application of Section 355(e) to the Spin-Off as a result of subsequent actions we or Republic Wireless take or fail to take.</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preserve the tax-free nature of the Spin-Off to us as well as Republic Wireless (and its subsidiaries), we might forego certain transactions that might otherwise have been advantageous. In particular, we might continue to operate certain of our business operations for the foreseeable future even if a sale or discontinuance of such business might have otherwise been advantageous.</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addition, for purposes of Section 355(e), any acquisitions or issuances of our stock or Republic Wireless’s stock that occur within two years after the Spin-Off will generally be presumed to be part of a plan or series of related transactions with respect to the Spin-Off. Although we or Republic Wireless may be able to rebut that presumption, determining whether an acquisition or issuance is part of a plan or series of related transactions under these rules is generally complex, inherently factual and subject to interpretation of the facts and circumstances of a particular case. For this purpose, whether any increase in voting power by holders of our Class B common stock by reason of the conversion by other holders of our Class B common stock to our Class A common stock should be considered an acquisition of voting power as part of a plan or series of related transactions is unclear.</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In light of the implications that would arise for us if Section 355(e) were to apply to the Spin-Off, we received an opinion from Kilpatrick Townsend &amp; Stockton LLP, our special tax counsel, in conjunction with our initial public offering to the effect that</w:t>
      </w:r>
    </w:p>
    <w:p>
      <w:pPr>
        <w:spacing w:after="0" w:line="1" w:lineRule="exact"/>
        <w:rPr>
          <w:sz w:val="20"/>
          <w:szCs w:val="20"/>
          <w:color w:val="auto"/>
        </w:rPr>
      </w:pPr>
    </w:p>
    <w:p>
      <w:pPr>
        <w:jc w:val="both"/>
        <w:ind w:firstLine="8"/>
        <w:spacing w:after="0" w:line="286" w:lineRule="auto"/>
        <w:tabs>
          <w:tab w:leader="none" w:pos="259" w:val="left"/>
        </w:tabs>
        <w:numPr>
          <w:ilvl w:val="0"/>
          <w:numId w:val="24"/>
        </w:numPr>
        <w:rPr>
          <w:rFonts w:ascii="Arial" w:cs="Arial" w:eastAsia="Arial" w:hAnsi="Arial"/>
          <w:sz w:val="19"/>
          <w:szCs w:val="19"/>
          <w:color w:val="auto"/>
        </w:rPr>
      </w:pPr>
      <w:r>
        <w:rPr>
          <w:rFonts w:ascii="Arial" w:cs="Arial" w:eastAsia="Arial" w:hAnsi="Arial"/>
          <w:sz w:val="19"/>
          <w:szCs w:val="19"/>
          <w:color w:val="auto"/>
        </w:rPr>
        <w:t>as of November 9, 2017, we are not required to recognize gain with respect to the Spin-Off pursuant to Section 355(e) as a result of one or more persons directly or indirectly acquiring our stock, and (ii) any increases in voting power attributable to conversions of our Class B common stock to Class A common stock by those who hold our Class B common stock as of our initial public offering will not cause us to recognize gain with respect to the Spin-Off pursuant to Section 355(e) (the “Tax Opinion”). The Tax Opinion is not binding on the Internal Revenue Service (the “IRS”) or the courts, however, and the IRS or the courts may not agree with the conclusions reached in the Tax Opinion. Moreover, the Tax Opinion was based upon, among other things, then-current law and certain assumptions and representations as to factual matters made by us. Any change in currently applicable law, which may be retroactive, or the failure of any such assumptions or representations to be true, could adversely affect the validity of the conclusions reached in the Tax Opinion. If the conclusions in the Tax Opinion were not correct and Section 355(e) were to apply to the Spin-Off, we would be liable for significant U.S. federal income tax related liabilities and indemnity obligations under the Tax Sharing Agreement.</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Even if Section 355(e) does not apply to the Spin-Off as of the date of our initial public offering or as a result of an increase in voting power attributable to conversions of our Class B common stock by those who hold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21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If our estimates or judgments relating to our critical accounting policies prove to be incorrect, our results of operations could be adversely affected.</w:t>
      </w:r>
    </w:p>
    <w:p>
      <w:pPr>
        <w:spacing w:after="0" w:line="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63" w:lineRule="exact"/>
        <w:rPr>
          <w:sz w:val="20"/>
          <w:szCs w:val="20"/>
          <w:color w:val="auto"/>
        </w:rPr>
      </w:pPr>
    </w:p>
    <w:p>
      <w:pPr>
        <w:jc w:val="both"/>
        <w:spacing w:after="0" w:line="341" w:lineRule="auto"/>
        <w:rPr>
          <w:sz w:val="20"/>
          <w:szCs w:val="20"/>
          <w:color w:val="auto"/>
        </w:rPr>
      </w:pPr>
      <w:r>
        <w:rPr>
          <w:rFonts w:ascii="Arial" w:cs="Arial" w:eastAsia="Arial" w:hAnsi="Arial"/>
          <w:sz w:val="19"/>
          <w:szCs w:val="19"/>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jc w:val="both"/>
        <w:ind w:firstLine="648"/>
        <w:spacing w:after="0" w:line="248" w:lineRule="auto"/>
        <w:rPr>
          <w:sz w:val="20"/>
          <w:szCs w:val="20"/>
          <w:color w:val="auto"/>
        </w:rPr>
      </w:pPr>
      <w:r>
        <w:rPr>
          <w:rFonts w:ascii="Arial" w:cs="Arial" w:eastAsia="Arial" w:hAnsi="Arial"/>
          <w:sz w:val="22"/>
          <w:szCs w:val="22"/>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Securities and Exchange Commission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5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Our independent registered public accounting firm is not required to attest to the effectiveness of our internal control over financial reporting until after we are no longer an “emerging growth company” as defined in the Jumpstart Our Business Startups Act of 2012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our goodwill or intangible assets become impaired, we may be required to record a significant charge to earnings.</w:t>
      </w:r>
    </w:p>
    <w:p>
      <w:pPr>
        <w:spacing w:after="0" w:line="14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7" w:lineRule="exact"/>
        <w:rPr>
          <w:sz w:val="20"/>
          <w:szCs w:val="20"/>
          <w:color w:val="auto"/>
        </w:rPr>
      </w:pPr>
    </w:p>
    <w:p>
      <w:pPr>
        <w:jc w:val="both"/>
        <w:ind w:firstLine="567"/>
        <w:spacing w:after="0" w:line="289" w:lineRule="auto"/>
        <w:rPr>
          <w:sz w:val="20"/>
          <w:szCs w:val="20"/>
          <w:color w:val="auto"/>
        </w:rPr>
      </w:pPr>
      <w:r>
        <w:rPr>
          <w:rFonts w:ascii="Arial" w:cs="Arial" w:eastAsia="Arial" w:hAnsi="Arial"/>
          <w:sz w:val="19"/>
          <w:szCs w:val="19"/>
          <w:color w:val="auto"/>
        </w:rPr>
        <w:t>We are an “emerging growth company,” as defined in the JOBS Act, and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 We cannot predict if investors will find our Class A common stock less attractive because we will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Earthquakes, hurricanes, fires, floods, power outages, terrorist attacks and other significant events could disrupt our business and ability to serve our clients.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30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As we have elected to avail ourselves of the JOBS Act extended accounting transition period, our financial statements may not be easily comparable to other companies.</w:t>
      </w:r>
    </w:p>
    <w:p>
      <w:pPr>
        <w:spacing w:after="0" w:line="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Pursuant to the JOBS Act, as an “emerging growth company,” we can elect to avail ourselves of the extended transition period for any new or revised accounting standards that may be issued by the Public Company Accounting Oversight Board or the SEC. We have elected to avail ourselves of such extended transition period, which means that when a standard is issued or revised and it has different application dates for public or private companies, we, as an “emerging growth company,” expect to adopt the standard on the timeline for private companies. This may make comparison of our financial statements with other public companies that are not emerging growth companies or emerging growth companies that have opted out of using the extended transition period difficult or impossible because of the potential differences in accounting standards used.</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7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demands on management related to any significant increase in size after the acquisition;</w:t>
      </w:r>
    </w:p>
    <w:p>
      <w:pPr>
        <w:spacing w:after="0" w:line="165"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disruption of ongoing business and the diversion of management’s attention from the management of daily operations to management of integration activities;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failure to fully achieve expected synergies and costs savings;</w:t>
      </w:r>
    </w:p>
    <w:p>
      <w:pPr>
        <w:spacing w:after="0" w:line="16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13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loss of customers or the failure of customers to order incremental services that we expect them to order;</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failure to provision services that are ordered by customers during the integration period;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higher integration costs than anticipated; and</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difficulties in the assimilation and retention of highly qualified, experienced employees, many of whom may be geographically dispersed.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 geographically distant operations and systems which may not be fully compatible, we may not be able to achieve the financial strength and growth we anticipate from the acquisitions.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credit facility contains restrictive and financial covenants that may limit our operating flexibility.</w:t>
      </w:r>
    </w:p>
    <w:p>
      <w:pPr>
        <w:spacing w:after="0" w:line="1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cash flow or sales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268" w:lineRule="exact"/>
        <w:rPr>
          <w:sz w:val="20"/>
          <w:szCs w:val="20"/>
          <w:color w:val="auto"/>
        </w:rPr>
      </w:pPr>
    </w:p>
    <w:p>
      <w:pPr>
        <w:jc w:val="both"/>
        <w:spacing w:after="0" w:line="341" w:lineRule="auto"/>
        <w:rPr>
          <w:sz w:val="20"/>
          <w:szCs w:val="20"/>
          <w:color w:val="auto"/>
        </w:rPr>
      </w:pPr>
      <w:r>
        <w:rPr>
          <w:rFonts w:ascii="Arial" w:cs="Arial" w:eastAsia="Arial" w:hAnsi="Arial"/>
          <w:sz w:val="19"/>
          <w:szCs w:val="19"/>
          <w:b w:val="1"/>
          <w:bCs w:val="1"/>
          <w:i w:val="1"/>
          <w:iCs w:val="1"/>
          <w:color w:val="auto"/>
        </w:rPr>
        <w:t>If we are unable to comply with the restrictive and financial covenants in our credit facility, there would be a default under the terms of that agreement, and this could result in an acceleration of payment of funds that have been borrowed.</w:t>
      </w:r>
    </w:p>
    <w:p>
      <w:pPr>
        <w:jc w:val="both"/>
        <w:ind w:firstLine="648"/>
        <w:spacing w:after="0" w:line="297" w:lineRule="auto"/>
        <w:rPr>
          <w:sz w:val="20"/>
          <w:szCs w:val="20"/>
          <w:color w:val="auto"/>
        </w:rPr>
      </w:pPr>
      <w:r>
        <w:rPr>
          <w:rFonts w:ascii="Arial" w:cs="Arial" w:eastAsia="Arial" w:hAnsi="Arial"/>
          <w:sz w:val="19"/>
          <w:szCs w:val="19"/>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Ownership of Our Class A Common Stock</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The trading price of our Class A common stock may be volatile, and you could lose all or part of your investment.</w:t>
      </w:r>
    </w:p>
    <w:p>
      <w:pPr>
        <w:spacing w:after="0" w:line="1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Select Market, through January 31, 2018, the trading price of our Class A common stock has ranged from $18.05 per share to $24.99 per share. The trading price of our Class A common stock may continue to be volatile and could fluctuate significantly in response to numerous factors, many of which are beyond our control, including:</w:t>
      </w:r>
    </w:p>
    <w:p>
      <w:pPr>
        <w:spacing w:after="0" w:line="13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price and volume fluctuations in the overall stock market from time to time;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volatility in the trading prices and trading volumes of technology stocks;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volatility in the trading volumes of our Class A common stock;</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changes in operating performance and stock market valuations of other technology companies generally, or those in our industry in particular;</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sales of shares of our Class A common stock by us or our stockholders;</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failure of securities analysts to maintain coverage of us, changes in financial estimates by securities analysts who follow our company, or our failure to meet these estimates or the expectations of investors;</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financial projections we may provide to the public, any changes in those projections or our failure to meet those projections;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announcements by us or our competitors of new products or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public’s reaction to our press releases, other public announcements and filings with the SEC;</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rumors and market speculation involving us or other companies in our industry;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actual or anticipated changes in our results of operations or fluctuations in our results of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actual or anticipated developments in our business, our competitors’ businesses or the competitive landscape generally;</w:t>
      </w:r>
    </w:p>
    <w:p>
      <w:pPr>
        <w:spacing w:after="0" w:line="200" w:lineRule="exact"/>
        <w:rPr>
          <w:rFonts w:ascii="Arial" w:cs="Arial" w:eastAsia="Arial" w:hAnsi="Arial"/>
          <w:sz w:val="19"/>
          <w:szCs w:val="19"/>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litigation involving us, our industry or both;</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regulatory actions or developments affecting our operations, those of our competitors or our industry more broadly;</w:t>
      </w:r>
    </w:p>
    <w:p>
      <w:pPr>
        <w:spacing w:after="0" w:line="177" w:lineRule="exact"/>
        <w:rPr>
          <w:rFonts w:ascii="Arial" w:cs="Arial" w:eastAsia="Arial" w:hAnsi="Arial"/>
          <w:sz w:val="21"/>
          <w:szCs w:val="21"/>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developments or disputes concerning our intellectual property or other proprietary rights;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announced or completed acquisitions of businesses, products, services or technologies by us or our competitors;</w:t>
      </w:r>
    </w:p>
    <w:p>
      <w:pPr>
        <w:spacing w:after="0" w:line="177" w:lineRule="exact"/>
        <w:rPr>
          <w:rFonts w:ascii="Arial" w:cs="Arial" w:eastAsia="Arial" w:hAnsi="Arial"/>
          <w:sz w:val="21"/>
          <w:szCs w:val="21"/>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new laws or regulations or new interpretations of existing laws or regulations applicable to our business;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changes in accounting standards, policies, guidelines, interpretations or principles;</w:t>
      </w:r>
    </w:p>
    <w:p>
      <w:pPr>
        <w:spacing w:after="0" w:line="16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new rules adopted by certain index providers, such as S&amp;P Dow Jones, that limit or preclude inclusion of companies with multi-class capital structures in certain of their indices;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significant change in our management;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color w:val="auto"/>
        </w:rPr>
        <w:t>general economic conditions and slow or negative growth of our markets.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22"/>
          <w:szCs w:val="22"/>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Substantial future sales of shares of our Class A common stock could cause the market price of our Class A common stock to decline.</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2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38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i w:val="1"/>
          <w:iCs w:val="1"/>
          <w:color w:val="auto"/>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89.6% of the voting power of our capital as of December 31, 2017.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Our Class A common stock has one vote per share, and our Class B common stock has ten votes per share. As of December 31, 2017, our directors, executive officers and holders of more than 5% of our common stock, and their respective affiliates, hold in the aggregate 89.6%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may become controlled by David A. Morken, our Cofounder and Chief Executive Officer, whose interests may differ from other stockholders.</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all or substantially all of the holders of our Class B common stock convert their shares into Class A common stock voluntarily or otherwise, David A. Morken, our Cofounder and Chief Executive Officer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may control approximately 53%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26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To the extent we become a “controlled company,” we plan to take advantage of the applicable exemption to the corporate governance rules for NASDAQ-listed companies, which could make our Class A common stock less attractive to some investors or otherwise harm our stock price.</w:t>
      </w:r>
    </w:p>
    <w:p>
      <w:pPr>
        <w:spacing w:after="0" w:line="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If all or substantially all of the holders of our Class B common stock convert their shares into Class A common stock voluntarily or otherwise, we may qualify as a “controlled company” under the corporate governance rules for NASDAQ-listed companies and expect to take advantage of related exemptions to the corporate governance rules. As a result, we will not be required to have a majority of our board of directors be independent, nor will we be required to have a compensation committee or an independent nominating function.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 If fewer shares of Class B common stock are converted into shares of Class A common stock than we expect, Mr. Morken may not control sufficient voting power of our outstanding capital stock for us to qualify as a “controlled company” under the corporate governance rules for NASDAQ-listed companies. If we are not a “controlled company” by the first anniversary of our listing on NASDAQ, we will have to comply with the corporate governance standards applicable to non-controlled companies, including with respect to independent directors, and we may not have a long-lead time to satisfy those standards.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cannot predict the impact our capital structure may have on our stock price.</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recently stated that it plans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25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b w:val="1"/>
          <w:bCs w:val="1"/>
          <w:i w:val="1"/>
          <w:iCs w:val="1"/>
          <w:color w:val="auto"/>
        </w:rPr>
        <w:t>Anti-takeover provisions contained in our second amended and restated certificate of incorporation and second amended and restated bylaws, as well as provisions of Delaware law, could impair a takeover attempt.</w:t>
      </w:r>
    </w:p>
    <w:p>
      <w:pPr>
        <w:spacing w:after="0" w:line="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34" w:lineRule="exact"/>
        <w:rPr>
          <w:sz w:val="20"/>
          <w:szCs w:val="20"/>
          <w:color w:val="auto"/>
        </w:rPr>
      </w:pPr>
    </w:p>
    <w:p>
      <w:pPr>
        <w:ind w:left="660" w:hanging="328"/>
        <w:spacing w:after="0" w:line="343"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50" w:lineRule="exact"/>
        <w:rPr>
          <w:rFonts w:ascii="Arial" w:cs="Arial" w:eastAsia="Arial" w:hAnsi="Arial"/>
          <w:sz w:val="19"/>
          <w:szCs w:val="19"/>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limiting the liability of, and providing indemnification to, our directors and officers;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limiting the ability of our stockholders to call and bring business before special meetings;</w:t>
      </w:r>
    </w:p>
    <w:p>
      <w:pPr>
        <w:spacing w:after="0" w:line="165"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providing that our board of directors is classified into three classes of directors with staggered three-year terms;</w:t>
      </w:r>
    </w:p>
    <w:p>
      <w:pPr>
        <w:spacing w:after="0" w:line="177" w:lineRule="exact"/>
        <w:rPr>
          <w:rFonts w:ascii="Arial" w:cs="Arial" w:eastAsia="Arial" w:hAnsi="Arial"/>
          <w:sz w:val="21"/>
          <w:szCs w:val="21"/>
          <w:color w:val="auto"/>
        </w:rPr>
      </w:pPr>
    </w:p>
    <w:p>
      <w:pPr>
        <w:ind w:left="660" w:hanging="328"/>
        <w:spacing w:after="0" w:line="26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prohibiting stockholder action by written consent, which requires all stockholder actions to be taken at a meeting of our stockholders;</w:t>
      </w:r>
    </w:p>
    <w:p>
      <w:pPr>
        <w:spacing w:after="0" w:line="120"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requiring super-majority voting to amend some provisions in our second amended and restated certificate of incorporation and second amended and restated bylaws;</w:t>
      </w:r>
    </w:p>
    <w:p>
      <w:pPr>
        <w:spacing w:after="0" w:line="120"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requiring advance notice of stockholder proposals for business to be conducted at meetings of our stockholders and for nominations of candidates for election to our board of directors; and</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controlling the procedures for the conduct and scheduling of board of directors and stockholder meetings.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These provisions, alone or together, could delay or prevent hostile takeovers and changes in control or changes in our management.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9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b w:val="1"/>
          <w:bCs w:val="1"/>
          <w:i w:val="1"/>
          <w:iCs w:val="1"/>
          <w:color w:val="auto"/>
        </w:rPr>
        <w:t>Our second amended and restated certificate of incorporation and our second amended and restated bylaws include super-majority voting provisions that will limit your ability to influence corporate matters.</w:t>
      </w:r>
    </w:p>
    <w:p>
      <w:pPr>
        <w:spacing w:after="0" w:line="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28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b w:val="1"/>
          <w:bCs w:val="1"/>
          <w:i w:val="1"/>
          <w:iCs w:val="1"/>
          <w:color w:val="auto"/>
        </w:rPr>
        <w:t>Our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26"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9"/>
          <w:szCs w:val="19"/>
          <w:color w:val="auto"/>
        </w:rPr>
        <w:t>Our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amended and restated certificate of incorporation or our amended and restated bylaws. If a stockholder files an action within the scope of the preceding sentence in any other court than a court located in Delaware, the stockholder shall be deemed to have consented to the provisions of our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We may need additional capital in the future and such capital may be limited or unavailable. Failure to raise capital when needed could prevent us from growing in accordance with our plans.</w:t>
      </w:r>
    </w:p>
    <w:p>
      <w:pPr>
        <w:spacing w:after="0" w:line="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may have to reduce our operations or forego opportunities, and this may have a material adverse effect on our business, financial condition and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do not intend to pay dividends for the foreseeable future.</w:t>
      </w:r>
    </w:p>
    <w:p>
      <w:pPr>
        <w:spacing w:after="0" w:line="1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2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If a large number of shares of our Class A common stock is sold in the public market, the sales could reduce the trading price of our Class A common stock and impede our ability to raise future capital.</w:t>
      </w:r>
    </w:p>
    <w:p>
      <w:pPr>
        <w:spacing w:after="0" w:line="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1B. Unresolved Staff Comments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2. Properties</w:t>
      </w:r>
    </w:p>
    <w:p>
      <w:pPr>
        <w:spacing w:after="0" w:line="3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Our corporate headquarters is located in Raleigh, North Carolina, where we lease approximately 83,218 square feet of office space at 900 Main Campus Drive. We also lease approximately 40,657 square feet of space subject to a facilities sharing agreement with Republic Wireless. This operating space is leased under leases expiring in 2022. Additionally, on January 12, 2018, we entered into a seven-year office building lease with Keystone-Centennial II, LLC for approximately 40,000 square feet of additional office space on the Centennial Campus of North Carolina State University in Raleigh, North Carolina.</w:t>
      </w:r>
    </w:p>
    <w:p>
      <w:pPr>
        <w:spacing w:after="0" w:line="1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In addition to our headquarters, we lease space in Denver, CO and Rochester, NY, each of which are used for both our CPaaS and Other segments. We also maintain data centers located in Raleigh, NC (including our network operations center); Los Angeles, CA; Dallas, TX; Atlanta, GA; and New York, NY.</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We lease all our facilities and do not own any real property. We may procure additional space in the future as we continue to add employees or expand geographically. We believe our facilities are adequate and suitable for our current needs, and to the extent we require it, we believe additional or alternative space will be readily available in the future to accommodate our operations.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April 2014, Phone Recovery Services, LLC (“Phone Recovery Services”) filed a complaint against us in the Superior Court of the District of Columbia. The complaint alleges that we failed to bill, collect and remit certain taxes and surcharges associated with the provision of 911 services pursuant to applicable laws of the District of Columbia. In November 2015, the Superior Court of the District of Columbia dismissed Phone Recovery Services’ complaint with prejudice. Phone Recovery Services subsequently appealed, and we are currently awaiting a decision regarding Phone Recovery Services’ appeal.</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Phone Recovery Services, acting or purporting to act on behalf of applicable jurisdictions, or the applicable county or city itself, has filed similar lawsuits against us and/or one of our subsidiaries in the Superior Court of the State of Rhode Island, the Court of Common Pleas of Allegheny County, Pennsylvania and the District Court of Ramsey County, Minnesota that are currently in various stages of litigation. The case in Ramsey County, Minnesota was dismissed in November 2016; in August 2017, the Minnesota Court of Appeals affirmed that dismissal. On September 5, 2017, Phone Recovery Services filed a notice of appeal to the Minnesota Supreme Court. To date, we have not received any material adverse decision in connection with those matters.</w:t>
      </w:r>
    </w:p>
    <w:p>
      <w:pPr>
        <w:spacing w:after="0" w:line="15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We face similar lawsuits brought directly by various state and local governments alleging underpayment of 911 taxes and surcharges, although we understand that Phone Recovery Services is working in conjunction with each state or local government as a consultant on a contingency basis. The following county or municipal governments have named us in lawsuits associated with the collection and remittance of 911 taxes and surcharges: Birmingham Emergency Communications District, Alabama (the "Alabama Case"); Clayton County, Cobb County, DeKalb County, Fulton County, Gwinnett County, Macon-Bibb County, Georgia and Columbus Consolidated Government, Georgia (collectively, the “Georgia Cases”); Cook County and Kane County Illinois; City of Chicago, Illinois; the State of Illinois (collectively, the “Illinois Case”); Beaver County, Berks County, Bucks County, Butler County, Chester Co., Clarion County, Cumberland County, Dauphin County, Delaware County, Lancaster County, Lebanon County, Mercer County, Somerset County, Washington County, Westmoreland County, and York County, Pennsylvania (collectively, the “Pennsylvania Cases”); and Charleston County, South Carolina. The complaints allege that we failed to bill, collect and remit certain taxes and surcharges associated with 911 service pursuant to applicable laws. A claim in the Alabama Case was partially dismissed in December 2017; that partial dismissal is the subject of subsequent motions that have not yet been resolved. The Georgia Cases have been closed administratively during the appeal of a related case in the Georgia courts; the Georgia Cases may be reopened. We understand that Augusta-Richmond County, Bartow County, Chatham County, Cherokee County, City of Atlanta, City of Savannah, Forsyth County, Houston County and Spalding County, Georgia each intends to initiate legal proceedings against us with allegations substantially similar to those in the Georgia Cases. The Pennsylvania Case in Butler County, Pennsylvania was dismissed in August 2016 and that dismissal is currently pending appeal; the remaining Pennsylvania Cases have been stayed until the appeal of the dismissal of the Butler County, Pennsylvania Case is resolved. The Illinois Case was dismissed in December 2016; Phone Recovery Services timely filed a notice of appeal and the appeal is underway.</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August 2016, we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remission of certain taxes and surcharges associated with 911 service pursuant to applicable laws of the State of North Carolina.</w:t>
      </w:r>
    </w:p>
    <w:p>
      <w:pPr>
        <w:spacing w:after="0" w:line="25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At December 31, 2017, we had ongoing litigations against MCI Communications Services, Inc. d/b/a Verizon Business and Verizon Select Services, Inc. (collectively, “Verizon”) in the United States District Court for the Northern District of Texas. In April 2016, we filed counterclaims against Verizon. At December 31, 2017, we were pursuing collection of unpaid intercarrier compensation charges for providing switched access services related to the exchange of telecommunications traffic with Verizon entities across the United States. At December 31, 2017, Verizon had asserted counterclaims against us. See Note 17, "Subsequent Events," in our consolidated financial statements included elsewhere in this Annual Report on Form 10-K, for current developments.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addition to the litigation discussed above, from time to time, we may be subject to legal actions and claims in the ordinary course of business.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4. Mine Safety Disclosures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47" w:lineRule="exact"/>
        <w:rPr>
          <w:sz w:val="20"/>
          <w:szCs w:val="20"/>
          <w:color w:val="auto"/>
        </w:rPr>
      </w:pPr>
    </w:p>
    <w:p>
      <w:pPr>
        <w:ind w:left="500" w:right="140" w:hanging="485"/>
        <w:spacing w:after="0" w:line="464" w:lineRule="auto"/>
        <w:rPr>
          <w:sz w:val="20"/>
          <w:szCs w:val="20"/>
          <w:color w:val="auto"/>
        </w:rPr>
      </w:pPr>
      <w:r>
        <w:rPr>
          <w:rFonts w:ascii="Arial" w:cs="Arial" w:eastAsia="Arial" w:hAnsi="Arial"/>
          <w:sz w:val="22"/>
          <w:szCs w:val="22"/>
          <w:b w:val="1"/>
          <w:bCs w:val="1"/>
          <w:color w:val="auto"/>
        </w:rPr>
        <w:t>Item 5.</w:t>
      </w:r>
      <w:r>
        <w:rPr>
          <w:sz w:val="20"/>
          <w:szCs w:val="20"/>
          <w:color w:val="auto"/>
        </w:rPr>
        <w:t xml:space="preserve"> </w:t>
      </w:r>
      <w:r>
        <w:rPr>
          <w:rFonts w:ascii="Arial" w:cs="Arial" w:eastAsia="Arial" w:hAnsi="Arial"/>
          <w:sz w:val="22"/>
          <w:szCs w:val="22"/>
          <w:b w:val="1"/>
          <w:bCs w:val="1"/>
          <w:color w:val="auto"/>
        </w:rPr>
        <w:t>Market for Registrant's Common Equity, Related Stockholder Matters and Issuer Purchases of Equity Securities Market Information for Class A Common Stock</w:t>
      </w:r>
    </w:p>
    <w:p>
      <w:pPr>
        <w:jc w:val="both"/>
        <w:ind w:firstLine="648"/>
        <w:spacing w:after="0" w:line="250" w:lineRule="auto"/>
        <w:rPr>
          <w:sz w:val="20"/>
          <w:szCs w:val="20"/>
          <w:color w:val="auto"/>
        </w:rPr>
      </w:pPr>
      <w:r>
        <w:rPr>
          <w:rFonts w:ascii="Arial" w:cs="Arial" w:eastAsia="Arial" w:hAnsi="Arial"/>
          <w:sz w:val="22"/>
          <w:szCs w:val="22"/>
          <w:color w:val="auto"/>
        </w:rPr>
        <w:t>Our Class A common stock has been listed on the NASDAQ Global Select Market under the symbol "BAND" since November 10, 2017. Prior to that date, there was no public trading market for our Class A common stock. The following table sets forth for the periods indicated the high and low intraday sales prices per share of our Class A common stock as reported on the NASDAQ Global Select Market:</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220" w:type="dxa"/>
            <w:vAlign w:val="bottom"/>
            <w:gridSpan w:val="3"/>
          </w:tcPr>
          <w:p>
            <w:pPr>
              <w:ind w:left="1580"/>
              <w:spacing w:after="0"/>
              <w:rPr>
                <w:sz w:val="20"/>
                <w:szCs w:val="20"/>
                <w:color w:val="auto"/>
              </w:rPr>
            </w:pPr>
            <w:r>
              <w:rPr>
                <w:rFonts w:ascii="Arial" w:cs="Arial" w:eastAsia="Arial" w:hAnsi="Arial"/>
                <w:sz w:val="18"/>
                <w:szCs w:val="18"/>
                <w:color w:val="auto"/>
              </w:rPr>
              <w:t>Price</w:t>
            </w:r>
          </w:p>
        </w:tc>
        <w:tc>
          <w:tcPr>
            <w:tcW w:w="13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2220" w:type="dxa"/>
            <w:vAlign w:val="bottom"/>
            <w:gridSpan w:val="3"/>
          </w:tcPr>
          <w:p>
            <w:pPr>
              <w:ind w:left="680"/>
              <w:spacing w:after="0"/>
              <w:rPr>
                <w:sz w:val="20"/>
                <w:szCs w:val="20"/>
                <w:color w:val="auto"/>
              </w:rPr>
            </w:pPr>
            <w:r>
              <w:rPr>
                <w:rFonts w:ascii="Arial" w:cs="Arial" w:eastAsia="Arial" w:hAnsi="Arial"/>
                <w:sz w:val="18"/>
                <w:szCs w:val="18"/>
                <w:color w:val="auto"/>
              </w:rPr>
              <w:t>High</w:t>
            </w: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Low</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(from November 10, 2017)</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7"/>
        </w:trPr>
        <w:tc>
          <w:tcPr>
            <w:tcW w:w="79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Stockholders</w:t>
      </w:r>
    </w:p>
    <w:p>
      <w:pPr>
        <w:spacing w:after="0" w:line="2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As of December 31, 2017, we had 110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Dividend Policy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We have never declared or paid any cash dividend on our common stock. We currently intend to retain all of our future earnings, if any, generated by our operations for the development and growth of our business for the foreseeable future. The decision to pay dividends is at the discretion of our board of directors and depends upon our financial condition, results of operations, capital requirements, and other factors that our board of directors deems relevant.</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Stock Performance Graph</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graph below compares the cumulative total return to our stockholders between November 10, 2017 (the date our Class A common stock commenced trading on the NASDAQ Global Select Market) through December 31, 2017 in comparison to the NASDAQ Composite Index and the S&amp;P 500 Information Technology Index. The graph assumes $100 was invested in the Class A common stock of Bandwidth Inc., the NASDAQ Composite Index and the S&amp;P 500 Information Technology Index, and assumes reinvestment of any dividends.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comparisons in the graph below are based on historical data and are not indicative of, nor intended to forecast, the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-20320</wp:posOffset>
            </wp:positionV>
            <wp:extent cx="5196840" cy="3653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684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Securities Authorized for Issuance under Equity Compensation Plans</w:t>
      </w:r>
    </w:p>
    <w:p>
      <w:pPr>
        <w:spacing w:after="0" w:line="2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231F20"/>
        </w:rPr>
        <w:t>The information required by this item is incorporated by reference to our Proxy Statement relating to our 2018 Annual Meeting of Shareholders. The Proxy Statement will be filed with the Securities and Exchange Commission within 120 days of the fiscal year ended December 31, 2017.</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Recent Sales of Unregistered Securities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From January 1, 2017 through December 31, 2017, we sold the following securities on an</w:t>
      </w:r>
    </w:p>
    <w:p>
      <w:pPr>
        <w:spacing w:after="0" w:line="22"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unregistered basis: (a) 47,760 shares of common stock upon the exercise of options under our 2001 and 2010 Plans, at exercise prices ranging from $4.70 to $6.74 per share, for an aggregate exercise price of $0.2 million; and (b) 17,260 shares of common stock upon the exercise of warrants, at exercise prices ranging from $5.80 to $6.57 per share, for an aggregate exercise price of $0.1 million.</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Use of Proceeds from Public Offering of Common Stock</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November 2017, we sold 4,000,000 shares of our Class A common stock at a public offering price of $20.00 per share, including shares sold in connection with the exercise of the underwriters' option to purchase additional shares. The offer and sale of all the shares in the initial public offering were registered under the Securities Act pursuant to a registration statement on Form S-1 (File No. 333-220945), which was declared effective by the SEC on November 9, 2017. We received proceeds of $74.4 million, after deducting underwriting discounts and commissions of $5.6 million. In addition, we incurred expenses of approximately $5.4 million; thus, the net offering proceeds, after deducting underwriting discounts and offering expenses, were approximately $69.0 million. Upon the initial public offering and in accordance with David Morken's employment agreement, the Chief Executive Officer received a cash bonus of $750,000. No other payments were made to our directors or officers or their associates, holders of 10% or more of any class of our equity securities or any affiliates. The underwriters of our initial public offering were Morgan Stanley, KeyBank Capital Markets, Baird, Canaccord Genuity and JMP Securities.</w:t>
      </w:r>
    </w:p>
    <w:p>
      <w:pPr>
        <w:spacing w:after="0" w:line="20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There has been no material change in the planned use of proceeds from our initial public offering as described in our final prospectus filed with the SEC on November 13, 2017 pursuant to Rule 424(b) under the Securities Act.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2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consolidated statements of operations data for the years ended December 31, 2015, 2016 and 2017 and the consolidated balance sheets as of December 31, 2016 and 2017, are derived from our audited consolidated financial statements included elsewhere in this Annual Report on Form 10-K. Our historical results are not necessarily indicative of the results that may be expected in the future. The following selected consolidated financial data should be read in conjunction with Item 7, "Management's Discussion and Analysis of Financial Condition and Results of Operations" and the consolidated financial statements and related notes included in Item 8, "Financial Statements and Supplementary Data," within this Annual Report on Form 10-K to fully understand factors that may affect the comparability of the information presented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128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tcPr>
          <w:p>
            <w:pPr>
              <w:spacing w:after="0"/>
              <w:rPr>
                <w:sz w:val="20"/>
                <w:szCs w:val="20"/>
                <w:color w:val="auto"/>
              </w:rPr>
            </w:pPr>
          </w:p>
        </w:tc>
        <w:tc>
          <w:tcPr>
            <w:tcW w:w="11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CPaaS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101,502</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117,078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131,572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36,299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35,057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137,801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152,135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162,955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 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64,760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71,218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75,859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cost of revenue</w:t>
            </w:r>
          </w:p>
        </w:tc>
        <w:tc>
          <w:tcPr>
            <w:tcW w:w="36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14,482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85,218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89,262</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73,693</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9,294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34,602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33,859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37,069</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50,597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51,673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59,076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expense:</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other expense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from continuing operations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5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Less: income from continuing operations allocated to participating securities</w:t>
            </w:r>
          </w:p>
        </w:tc>
        <w:tc>
          <w:tcPr>
            <w:tcW w:w="36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22,075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2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per share:</w:t>
            </w: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5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11,497,727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11,678,568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12,590,221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12,456,540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12,870,632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14,543,170</w:t>
            </w:r>
          </w:p>
        </w:tc>
        <w:tc>
          <w:tcPr>
            <w:tcW w:w="0" w:type="dxa"/>
            <w:vAlign w:val="bottom"/>
          </w:tcPr>
          <w:p>
            <w:pPr>
              <w:spacing w:after="0"/>
              <w:rPr>
                <w:sz w:val="1"/>
                <w:szCs w:val="1"/>
                <w:color w:val="auto"/>
              </w:rPr>
            </w:pPr>
          </w:p>
        </w:tc>
      </w:tr>
      <w:tr>
        <w:trPr>
          <w:trHeight w:val="635"/>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40,734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assets</w:t>
            </w:r>
          </w:p>
        </w:tc>
        <w:tc>
          <w:tcPr>
            <w:tcW w:w="5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69,973</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104,494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debt and capital lease obligations, net of current portion</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37,738</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Series A redeemable convertible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21,818</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stockholders’ (deficit) equity</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color w:val="auto"/>
              </w:rPr>
              <w:t>(22,374)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-8094980</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-8094980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-1191260</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08"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Non-GAAP Financial Measures</w:t>
      </w: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We use Non-GAAP gross profit, Non-GAAP gross margin, Adjusted EBITDA, Non-GAAP net income and free cash flow for financial and operational decision making and to evaluate period-to-period differences in our performance. Non-GAAP gross profit, Non-GAAP gross margin, Adjusted EBITDA, Non-GAAP net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For a reconciliation of each of the non-GAAP financial measures described below, see “Reconciliation of Non-GAAP Financial Measures.”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Non-GAAP Gross Profit and Non-GAAP Gross Margin</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9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depreciation and amortization;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that showing gross margin, as Non-GAAP to remove the impact of these non-cash expenses, such as depreciation, amortization and stock-based compensation, is helpful to investors in assessing our gross profit and gross margin performance in a way that is similar to how management assesses our performance.</w:t>
      </w: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calculate Non-GAAP gross margin by dividing Non-GAAP gross profit by revenue, expressed as a percentage of revenue.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Management uses Non-GAAP gross profit and Non-GAAP gross margin to evaluate operating performance and to determine resource allocation among our various service offerings. We believe that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Consolidated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0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0"/>
              </w:rPr>
              <w:t>Year Ended December 31,</w:t>
            </w:r>
          </w:p>
        </w:tc>
        <w:tc>
          <w:tcPr>
            <w:tcW w:w="120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Gross Profit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58,559</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66,917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73,693</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4,315</w:t>
            </w: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63,862</w:t>
            </w: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71,552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78,088</w:t>
            </w:r>
          </w:p>
        </w:tc>
      </w:tr>
      <w:tr>
        <w:trPr>
          <w:trHeight w:val="23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Margin %</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r>
      <w:tr>
        <w:trPr>
          <w:trHeight w:val="27"/>
        </w:trPr>
        <w:tc>
          <w:tcPr>
            <w:tcW w:w="6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-1071245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-1071245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By Segment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CPaaS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30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90"/>
              </w:rPr>
              <w:t>Year Ended December 31,</w:t>
            </w:r>
          </w:p>
        </w:tc>
        <w:tc>
          <w:tcPr>
            <w:tcW w:w="120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6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CPaaS Gross Profit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36,742</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45,860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55,713</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4,315</w:t>
            </w: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r>
      <w:tr>
        <w:trPr>
          <w:trHeight w:val="297"/>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Non-GAAP Gross Profit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42,045</w:t>
            </w:r>
          </w:p>
        </w:tc>
        <w:tc>
          <w:tcPr>
            <w:tcW w:w="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50,495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60,108</w:t>
            </w:r>
          </w:p>
        </w:tc>
      </w:tr>
      <w:tr>
        <w:trPr>
          <w:trHeight w:val="230"/>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CPaaS Margin %</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7"/>
        </w:trPr>
        <w:tc>
          <w:tcPr>
            <w:tcW w:w="6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-1071245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-1071245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Other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no non-GAAP adjustments to gross profit for the Other segment</w:t>
      </w:r>
      <w:r>
        <w:rPr>
          <w:rFonts w:ascii="Arial" w:cs="Arial" w:eastAsia="Arial" w:hAnsi="Arial"/>
          <w:sz w:val="22"/>
          <w:szCs w:val="22"/>
          <w:b w:val="1"/>
          <w:bCs w:val="1"/>
          <w:color w:val="auto"/>
        </w:rPr>
        <w:t>.</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Adjusted EBITDA</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We define Adjusted EBITDA as net income or losses from continuing operations, adjusted to reflect the addition or elimination of certain income statement items including, but not limited to:</w:t>
      </w:r>
    </w:p>
    <w:p>
      <w:pPr>
        <w:spacing w:after="0" w:line="202" w:lineRule="exact"/>
        <w:rPr>
          <w:sz w:val="20"/>
          <w:szCs w:val="20"/>
          <w:color w:val="auto"/>
        </w:rPr>
      </w:pPr>
    </w:p>
    <w:p>
      <w:pPr>
        <w:ind w:left="680" w:hanging="321"/>
        <w:spacing w:after="0"/>
        <w:tabs>
          <w:tab w:leader="none" w:pos="680" w:val="left"/>
        </w:tabs>
        <w:numPr>
          <w:ilvl w:val="0"/>
          <w:numId w:val="29"/>
        </w:numPr>
        <w:rPr>
          <w:rFonts w:ascii="Arial" w:cs="Arial" w:eastAsia="Arial" w:hAnsi="Arial"/>
          <w:sz w:val="22"/>
          <w:szCs w:val="22"/>
          <w:color w:val="231F20"/>
        </w:rPr>
      </w:pPr>
      <w:r>
        <w:rPr>
          <w:rFonts w:ascii="Arial" w:cs="Arial" w:eastAsia="Arial" w:hAnsi="Arial"/>
          <w:sz w:val="22"/>
          <w:szCs w:val="22"/>
          <w:color w:val="231F20"/>
        </w:rPr>
        <w:t>income tax provision (benefit);</w:t>
      </w:r>
    </w:p>
    <w:p>
      <w:pPr>
        <w:spacing w:after="0" w:line="57" w:lineRule="exact"/>
        <w:rPr>
          <w:rFonts w:ascii="Arial" w:cs="Arial" w:eastAsia="Arial" w:hAnsi="Arial"/>
          <w:sz w:val="22"/>
          <w:szCs w:val="22"/>
          <w:color w:val="231F20"/>
        </w:rPr>
      </w:pPr>
    </w:p>
    <w:p>
      <w:pPr>
        <w:ind w:left="680" w:hanging="321"/>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231F20"/>
        </w:rPr>
        <w:t>interest expense, net;</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231F20"/>
        </w:rPr>
        <w:t>depreciation and amortization expense;</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231F20"/>
        </w:rPr>
        <w:t>stock-based compensation expense;</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231F20"/>
        </w:rPr>
        <w:t>impairment of intangible assets, if any; and</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29"/>
        </w:numPr>
        <w:rPr>
          <w:rFonts w:ascii="Arial" w:cs="Arial" w:eastAsia="Arial" w:hAnsi="Arial"/>
          <w:sz w:val="22"/>
          <w:szCs w:val="22"/>
          <w:color w:val="auto"/>
        </w:rPr>
      </w:pPr>
      <w:r>
        <w:rPr>
          <w:rFonts w:ascii="Arial" w:cs="Arial" w:eastAsia="Arial" w:hAnsi="Arial"/>
          <w:sz w:val="22"/>
          <w:szCs w:val="22"/>
          <w:color w:val="231F20"/>
        </w:rPr>
        <w:t>loss (gain) on disposal of property and equipment.</w:t>
      </w:r>
    </w:p>
    <w:p>
      <w:pPr>
        <w:spacing w:after="0" w:line="3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231F20"/>
        </w:rPr>
        <w:t>Adjusted EBITDA is a key measure u</w:t>
      </w:r>
      <w:r>
        <w:rPr>
          <w:rFonts w:ascii="Arial" w:cs="Arial" w:eastAsia="Arial" w:hAnsi="Arial"/>
          <w:sz w:val="22"/>
          <w:szCs w:val="22"/>
          <w:color w:val="000000"/>
        </w:rPr>
        <w:t>sed by management to understand and evaluate our core operating performance and</w:t>
      </w:r>
      <w:r>
        <w:rPr>
          <w:rFonts w:ascii="Arial" w:cs="Arial" w:eastAsia="Arial" w:hAnsi="Arial"/>
          <w:sz w:val="22"/>
          <w:szCs w:val="22"/>
          <w:color w:val="231F20"/>
        </w:rPr>
        <w:t xml:space="preserve"> </w:t>
      </w:r>
      <w:r>
        <w:rPr>
          <w:rFonts w:ascii="Arial" w:cs="Arial" w:eastAsia="Arial" w:hAnsi="Arial"/>
          <w:sz w:val="22"/>
          <w:szCs w:val="22"/>
          <w:color w:val="000000"/>
        </w:rPr>
        <w:t>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spacing w:after="0"/>
              <w:rPr>
                <w:sz w:val="24"/>
                <w:szCs w:val="24"/>
                <w:color w:val="auto"/>
              </w:rPr>
            </w:pPr>
          </w:p>
        </w:tc>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5,971</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6,918</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4,873</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1,803</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intangible asset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22,223</w:t>
            </w: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-1757680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-1757680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Non-GAAP Net Income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define Non-GAAP net income as net income adjusted for certain items affecting period-to-period comparability. Non-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GAAP net income excludes:</w:t>
      </w:r>
    </w:p>
    <w:p>
      <w:pPr>
        <w:spacing w:after="0" w:line="229" w:lineRule="exact"/>
        <w:rPr>
          <w:sz w:val="20"/>
          <w:szCs w:val="20"/>
          <w:color w:val="auto"/>
        </w:rPr>
      </w:pPr>
    </w:p>
    <w:p>
      <w:pPr>
        <w:ind w:left="680" w:hanging="321"/>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amortization of acquired intangible assets related to the Dash acquisition;</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impairment charges of intangibles assets</w:t>
      </w:r>
      <w:r>
        <w:rPr>
          <w:rFonts w:ascii="Arial" w:cs="Arial" w:eastAsia="Arial" w:hAnsi="Arial"/>
          <w:sz w:val="22"/>
          <w:szCs w:val="22"/>
          <w:color w:val="231F20"/>
        </w:rPr>
        <w:t>, if any</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loss (gain) on disposal of property and equipment;</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estimated tax impact of above adjustments;</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benefit resulting from the release of the valuation allowance on our deferred tax assets (DTA); and</w:t>
      </w:r>
    </w:p>
    <w:p>
      <w:pPr>
        <w:spacing w:after="0" w:line="57" w:lineRule="exact"/>
        <w:rPr>
          <w:rFonts w:ascii="Arial" w:cs="Arial" w:eastAsia="Arial" w:hAnsi="Arial"/>
          <w:sz w:val="22"/>
          <w:szCs w:val="22"/>
          <w:color w:val="auto"/>
        </w:rPr>
      </w:pPr>
    </w:p>
    <w:p>
      <w:pPr>
        <w:ind w:left="680" w:hanging="321"/>
        <w:spacing w:after="0"/>
        <w:tabs>
          <w:tab w:leader="none" w:pos="6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impact of remeasurement of DTA as a result of 2017 tax reform act</w:t>
      </w:r>
    </w:p>
    <w:p>
      <w:pPr>
        <w:spacing w:after="0" w:line="368"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We calculate Non-GAAP basic and diluted shares by adding the weighted average of outstanding Series A redeemable convertible preferred stock to the weighted average number of outstanding basic and diluted shares, respectively.</w:t>
      </w:r>
    </w:p>
    <w:p>
      <w:pPr>
        <w:spacing w:after="0" w:line="132"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We believe Non-GAAP net income is a meaningful measure because by removing certain non-cash and other expenses we are able to evaluate our operating results in a manner we believe is more indicative of the current period's performance. We believe the use of Non-GAAP net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08"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128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related to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Impairment of intangible asset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Estimated tax effects of adjustments (1)</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Release of valuation allowance (2)</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Remeasurement of DTA associated with tax rate change (3)</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Non-GAAP net (loss)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9,537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Non-GAAP net (loss) income per non-GAAP share</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Non-GAAP Weighted Average Number of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11,497,727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11,678,568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12,590,221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Series A redeemable convertible preferred stock outstanding</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1,522,123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Non-GAAP Basic Shares</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13,272,727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13,453,568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14,112,344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12,456,540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12,870,632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14,543,170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Series A redeemable convertible preferred stock outstanding</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1,522,123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Non-GAAP Diluted Shares</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14,231,540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14,645,632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16,065,293</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________________________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7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-4056380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-4056380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740" w:hanging="2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Company had a full valuation allowance against its deferred tax assets for the year ended December 31, 2015.</w:t>
      </w:r>
    </w:p>
    <w:p>
      <w:pPr>
        <w:spacing w:after="0" w:line="7" w:lineRule="exact"/>
        <w:rPr>
          <w:rFonts w:ascii="Arial" w:cs="Arial" w:eastAsia="Arial" w:hAnsi="Arial"/>
          <w:sz w:val="18"/>
          <w:szCs w:val="18"/>
          <w:color w:val="auto"/>
        </w:rPr>
      </w:pPr>
    </w:p>
    <w:p>
      <w:pPr>
        <w:ind w:firstLine="494"/>
        <w:spacing w:after="0" w:line="250" w:lineRule="auto"/>
        <w:tabs>
          <w:tab w:leader="none" w:pos="754"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The Company recognized a tax benefit of $14,138 due to the release of the deferred tax asset valuation allowance subsequent to the spin-off of Republic Wireless.</w:t>
      </w:r>
    </w:p>
    <w:p>
      <w:pPr>
        <w:ind w:right="20" w:firstLine="494"/>
        <w:spacing w:after="0" w:line="292" w:lineRule="auto"/>
        <w:tabs>
          <w:tab w:leader="none" w:pos="768"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On December 22, 2017, the Tax Cuts and Jobs Act was enacted into law. As a result of this change in tax law, the Company recorded a remeasurement of its deferred tax assets, which resulted in additional income tax expense of $2,073.</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Free Cash Flow</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Free cash flow represents net cash provided by operating activities from continuing operations less net cash used in investing activities from continuing operations.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nor does it represent the residual cash flows available for discretionary expenditures. Therefore, it is important to evaluate free cash flow along with our consolidated statements of cash flows.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used in investing activities from continuing operations(1)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6,660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jc w:val="right"/>
              <w:ind w:right="4874"/>
              <w:spacing w:after="0"/>
              <w:rPr>
                <w:sz w:val="20"/>
                <w:szCs w:val="20"/>
                <w:color w:val="auto"/>
              </w:rPr>
            </w:pPr>
            <w:r>
              <w:rPr>
                <w:rFonts w:ascii="Arial" w:cs="Arial" w:eastAsia="Arial" w:hAnsi="Arial"/>
                <w:sz w:val="14"/>
                <w:szCs w:val="14"/>
                <w:b w:val="1"/>
                <w:bCs w:val="1"/>
                <w:color w:val="auto"/>
                <w:w w:val="94"/>
              </w:rPr>
              <w:t>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-831850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-831850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(1) Represents the acquisition cost of property, equipment and capitalized development costs for software for internal use.</w:t>
      </w:r>
    </w:p>
    <w:p>
      <w:pPr>
        <w:sectPr>
          <w:pgSz w:w="11900" w:h="16838" w:orient="portrait"/>
          <w:cols w:equalWidth="0" w:num="1">
            <w:col w:w="11420"/>
          </w:cols>
          <w:pgMar w:left="240" w:top="108"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08"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253" w:lineRule="exact"/>
        <w:rPr>
          <w:sz w:val="20"/>
          <w:szCs w:val="20"/>
          <w:color w:val="auto"/>
        </w:rPr>
      </w:pPr>
    </w:p>
    <w:p>
      <w:pPr>
        <w:ind w:right="360" w:firstLine="648"/>
        <w:spacing w:after="0" w:line="247" w:lineRule="auto"/>
        <w:rPr>
          <w:sz w:val="20"/>
          <w:szCs w:val="20"/>
          <w:color w:val="auto"/>
        </w:rPr>
      </w:pPr>
      <w:r>
        <w:rPr>
          <w:rFonts w:ascii="Arial" w:cs="Arial" w:eastAsia="Arial" w:hAnsi="Arial"/>
          <w:sz w:val="22"/>
          <w:szCs w:val="22"/>
          <w:i w:val="1"/>
          <w:iCs w:val="1"/>
          <w:color w:val="231F20"/>
        </w:rPr>
        <w:t>The following discussion and analysis of our financial condition and results of operations should be read in conjunction with our consolidated financial statements and related notes that are included elsewhere in this Annual Report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Annual Report Form 10-K. Our fiscal year ends on December 31.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We are a leading cloud-based communications platform for enterprises in the United States. Our solutions include a broad range of software APIs for voice and text functionality and our owned and managed, purpose- 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2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For the years ended December 31, 2015, 2016 and 2017, total revenue was $137.8 million, $152.1 million and $163.0 million</w:t>
      </w:r>
      <w:r>
        <w:rPr>
          <w:rFonts w:ascii="Arial" w:cs="Arial" w:eastAsia="Arial" w:hAnsi="Arial"/>
          <w:sz w:val="18"/>
          <w:szCs w:val="18"/>
          <w:color w:val="auto"/>
        </w:rPr>
        <w:t>,</w:t>
      </w:r>
      <w:r>
        <w:rPr>
          <w:rFonts w:ascii="Arial" w:cs="Arial" w:eastAsia="Arial" w:hAnsi="Arial"/>
          <w:sz w:val="22"/>
          <w:szCs w:val="22"/>
          <w:color w:val="auto"/>
        </w:rPr>
        <w:t xml:space="preserve"> respectively. CPaaS revenue for the years ended December 31, 2015, 2016 and 2017 was $101.5 million</w:t>
      </w:r>
      <w:r>
        <w:rPr>
          <w:rFonts w:ascii="Arial" w:cs="Arial" w:eastAsia="Arial" w:hAnsi="Arial"/>
          <w:sz w:val="18"/>
          <w:szCs w:val="18"/>
          <w:color w:val="auto"/>
        </w:rPr>
        <w:t>,</w:t>
      </w:r>
      <w:r>
        <w:rPr>
          <w:rFonts w:ascii="Arial" w:cs="Arial" w:eastAsia="Arial" w:hAnsi="Arial"/>
          <w:sz w:val="22"/>
          <w:szCs w:val="22"/>
          <w:color w:val="auto"/>
        </w:rPr>
        <w:t xml:space="preserve"> $117.1 million and $131.6 million, respectively, representing an increased rate of 15% in 2016 and an increase of 12% in 2017. Net (loss) income for the years ended December 31, 2015, 2016 and 2017 was $(6.7) million, $22.4 million and $6.0 million, respectively. The number of active CPaaS customer accounts increased from 704 as of December 31, 2015, to 798 as of December 31, 2016, or 13%. The number of active CPaaS customer accounts further increased to 965 as of December 31, 2017, up 21% from December 31, 2016</w:t>
      </w:r>
      <w:r>
        <w:rPr>
          <w:rFonts w:ascii="Arial" w:cs="Arial" w:eastAsia="Arial" w:hAnsi="Arial"/>
          <w:sz w:val="18"/>
          <w:szCs w:val="18"/>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Initial Public Offering</w:t>
      </w:r>
    </w:p>
    <w:p>
      <w:pPr>
        <w:spacing w:after="0" w:line="2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On November 10, 2017, we sold 4,000,000 shares of our Class A common stock at a public offering price of $20.00 per share. We received proceeds of $74,400, after deducting underwriting discounts and commissions of $5,600. Immediately prior to the pricing of the initial public offering on November 9, 2017, all shares of our then-outstanding Series A redeemable convertible preferred stock ("Series A preferred stock") converted into an aggregate of 1,775,000 shares of Class A voting common stock ("Old Class A common stock") and an aggregate of 13,586,485 shares of Old Class A common stock converted into Class B common stock. In addition, an aggregate of 34,840 shares of Class B non-voting common stock ("Old Class B common stock") converted into Class A common stock and warrants exercisable into shares of Old Class A common stock became exercisable into shares of Class B common stock. See Note 10, "Redeemable Convertible Preferred Stock and Stockholders' (Deficit) Equity," to the consolidated financial statements included elsewhere in this Annual Report on Form 10-K, for further discussion of Class A and B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Indicators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6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114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9"/>
              </w:rPr>
              <w:t>(Dollars in thousands)</w:t>
            </w:r>
          </w:p>
        </w:tc>
        <w:tc>
          <w:tcPr>
            <w:tcW w:w="106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active CPaaS customers (as of period end)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704</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798</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Dollar-based net retention rate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18,912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23,470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22,223</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Free cash flow</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13,549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10,881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6273800</wp:posOffset>
            </wp:positionH>
            <wp:positionV relativeFrom="paragraph">
              <wp:posOffset>-848360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-848360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Number of Active CPaaS Customer Accounts</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231F20"/>
        </w:rPr>
        <w:t>We believe that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231F20"/>
        </w:rPr>
        <w:t>In the years ended December 31, 2015, 2016 and 2017</w:t>
      </w:r>
      <w:r>
        <w:rPr>
          <w:rFonts w:ascii="Arial" w:cs="Arial" w:eastAsia="Arial" w:hAnsi="Arial"/>
          <w:sz w:val="18"/>
          <w:szCs w:val="18"/>
          <w:color w:val="000000"/>
        </w:rPr>
        <w:t>,</w:t>
      </w:r>
      <w:r>
        <w:rPr>
          <w:rFonts w:ascii="Arial" w:cs="Arial" w:eastAsia="Arial" w:hAnsi="Arial"/>
          <w:sz w:val="22"/>
          <w:szCs w:val="22"/>
          <w:color w:val="231F20"/>
        </w:rPr>
        <w:t xml:space="preserve"> revenue from active CPaaS customer accounts represented approximately 99% of total CPaaS revenue.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Dollar-Based Net Retention Rate</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231F20"/>
        </w:rPr>
        <w:t>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 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Key Components of Statements of Operations</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Revenue</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 For the years ended December 31, 2015, 2016 and 2017, we generated 55%</w:t>
      </w:r>
      <w:r>
        <w:rPr>
          <w:rFonts w:ascii="Arial" w:cs="Arial" w:eastAsia="Arial" w:hAnsi="Arial"/>
          <w:sz w:val="16"/>
          <w:szCs w:val="16"/>
          <w:color w:val="auto"/>
        </w:rPr>
        <w:t>,</w:t>
      </w:r>
      <w:r>
        <w:rPr>
          <w:rFonts w:ascii="Arial" w:cs="Arial" w:eastAsia="Arial" w:hAnsi="Arial"/>
          <w:sz w:val="19"/>
          <w:szCs w:val="19"/>
          <w:color w:val="auto"/>
        </w:rPr>
        <w:t xml:space="preserve"> 56% and 58% of our CPaaS revenue, respectively, from usage-based fees. We also earn monthly fees from services such as phone number services and 911 access service. For the years ended December 31, 2015, 2016 and 2017, we generated 42%</w:t>
      </w:r>
      <w:r>
        <w:rPr>
          <w:rFonts w:ascii="Arial" w:cs="Arial" w:eastAsia="Arial" w:hAnsi="Arial"/>
          <w:sz w:val="16"/>
          <w:szCs w:val="16"/>
          <w:color w:val="auto"/>
        </w:rPr>
        <w:t>,</w:t>
      </w:r>
      <w:r>
        <w:rPr>
          <w:rFonts w:ascii="Arial" w:cs="Arial" w:eastAsia="Arial" w:hAnsi="Arial"/>
          <w:sz w:val="19"/>
          <w:szCs w:val="19"/>
          <w:color w:val="auto"/>
        </w:rPr>
        <w:t xml:space="preserve"> 41% and 40% of our CPaaS revenue in each period from monthly per unit fees.</w:t>
      </w:r>
    </w:p>
    <w:p>
      <w:pPr>
        <w:spacing w:after="0" w:line="18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1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We recognize accounts receivable at the time the customer is invoiced. Additionally, we record a receivable and revenue for unbilled revenue if the services have been delivered and are billable in subsequent periods. Unbilled revenue made up 47%</w:t>
      </w:r>
      <w:r>
        <w:rPr>
          <w:rFonts w:ascii="Arial" w:cs="Arial" w:eastAsia="Arial" w:hAnsi="Arial"/>
          <w:sz w:val="18"/>
          <w:szCs w:val="18"/>
          <w:color w:val="auto"/>
        </w:rPr>
        <w:t>,</w:t>
      </w:r>
      <w:r>
        <w:rPr>
          <w:rFonts w:ascii="Arial" w:cs="Arial" w:eastAsia="Arial" w:hAnsi="Arial"/>
          <w:sz w:val="22"/>
          <w:szCs w:val="22"/>
          <w:color w:val="auto"/>
        </w:rPr>
        <w:t xml:space="preserve"> 44% and 41% of outstanding accounts receivable, net of allowance for doubtful accounts as of December 31, 2015, 2016 and 2017, respectively.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Cost of Revenue and Gross Margin</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Operating Expenses</w:t>
      </w:r>
    </w:p>
    <w:p>
      <w:pPr>
        <w:spacing w:after="0" w:line="24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231F20"/>
        </w:rPr>
        <w:t>Research and Development</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231F20"/>
        </w:rPr>
        <w:t>R&amp;D consist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231F20"/>
        </w:rPr>
        <w:t>Sales and Marketing</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General and Administrative</w:t>
      </w:r>
    </w:p>
    <w:p>
      <w:pPr>
        <w:spacing w:after="0" w:line="2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Income Taxes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the years ended December 31, 2015, 2016 and 2017, our effective tax rate was 5.5%, (77.4)% and 53.7%, respectively. The increase in our effective tax rate is due to the release of our valuation allowance against deferred tax assets in the fourth quarter of 2016 and the enactment of the Tax Cuts and Jobs Act (the “Act”) in the fourth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Results of Operations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231F20"/>
        </w:rPr>
        <w:t>Consolidated Results of Operations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following table sets forth the consolidated statements of operations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CPaaS revenue</w:t>
            </w:r>
          </w:p>
        </w:tc>
        <w:tc>
          <w:tcPr>
            <w:tcW w:w="2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101,502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117,078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131,572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31,383</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137,801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152,135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162,955</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CPaaS cost of revenue</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64,760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71,218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75,859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cost of revenue</w:t>
            </w:r>
          </w:p>
        </w:tc>
        <w:tc>
          <w:tcPr>
            <w:tcW w:w="2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2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89,262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CPaaS</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36,742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45,860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55,713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2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58,559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66,917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73,693</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10,789</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11,218</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34,602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33,859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37,069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59,076</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15,244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14,617</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62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8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-4887595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-4887595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The following table sets forth our results of operations as a percentage of our total revenue for the periods presented. *</w:t>
      </w:r>
    </w:p>
    <w:p>
      <w:pPr>
        <w:spacing w:after="0" w:line="200" w:lineRule="exact"/>
        <w:rPr>
          <w:sz w:val="20"/>
          <w:szCs w:val="20"/>
          <w:color w:val="auto"/>
        </w:rPr>
      </w:pPr>
    </w:p>
    <w:p>
      <w:pPr>
        <w:spacing w:after="0" w:line="206"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3121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ind w:left="7100"/>
              <w:spacing w:after="0"/>
              <w:rPr>
                <w:sz w:val="20"/>
                <w:szCs w:val="20"/>
                <w:color w:val="auto"/>
              </w:rPr>
            </w:pPr>
            <w:r>
              <w:rPr>
                <w:rFonts w:ascii="Arial" w:cs="Arial" w:eastAsia="Arial" w:hAnsi="Arial"/>
                <w:sz w:val="18"/>
                <w:szCs w:val="18"/>
                <w:b w:val="1"/>
                <w:bCs w:val="1"/>
                <w:color w:val="auto"/>
                <w:w w:val="99"/>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75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1"/>
        </w:trPr>
        <w:tc>
          <w:tcPr>
            <w:tcW w:w="6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 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Other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6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revenue: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 cost of 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Other cost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6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Gross profit: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CPaaS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6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5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6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expense: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17145</wp:posOffset>
            </wp:positionV>
            <wp:extent cx="312166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2603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Comparison of the Years Ended December 31, 2016 and 2017</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131,572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14,494</w:t>
            </w: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31,383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(3,674)</w:t>
            </w:r>
          </w:p>
        </w:tc>
        <w:tc>
          <w:tcPr>
            <w:tcW w:w="8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152,135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162,955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10,820</w:t>
            </w:r>
          </w:p>
        </w:tc>
        <w:tc>
          <w:tcPr>
            <w:tcW w:w="8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-728345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In 2017, total revenue increased by $10.8 million, or 7%, compared to 2016, and CPaaS revenue increased by $14.5 million, or 12%. As a percentage of total revenue, CPaaS revenue increased from 77% to 81% from 2016 to 2017. </w:t>
      </w:r>
      <w:r>
        <w:rPr>
          <w:rFonts w:ascii="Arial" w:cs="Arial" w:eastAsia="Arial" w:hAnsi="Arial"/>
          <w:sz w:val="19"/>
          <w:szCs w:val="19"/>
          <w:color w:val="231F20"/>
        </w:rPr>
        <w:t>The increase in CPaaS</w:t>
      </w:r>
      <w:r>
        <w:rPr>
          <w:rFonts w:ascii="Arial" w:cs="Arial" w:eastAsia="Arial" w:hAnsi="Arial"/>
          <w:sz w:val="19"/>
          <w:szCs w:val="19"/>
          <w:color w:val="auto"/>
        </w:rPr>
        <w:t xml:space="preserve"> </w:t>
      </w:r>
      <w:r>
        <w:rPr>
          <w:rFonts w:ascii="Arial" w:cs="Arial" w:eastAsia="Arial" w:hAnsi="Arial"/>
          <w:sz w:val="19"/>
          <w:szCs w:val="19"/>
          <w:color w:val="231F20"/>
        </w:rPr>
        <w:t xml:space="preserve">revenue was primarily attributable to an increase in the usage of all our service offerings, particularly our voice and messaging usage, which accounted for $21.4 million of the increase in CPaaS revenue, and our phone number services and 911-enabled phone number services, which accounted for $4.1 million of the increase in CPaaS revenue. This overall increase in CPaaS revenue was partially offset by $11.1 million related to pricing decreases that we have implemented over time with our customers in the form of lower usage prices to increase the reach and scale of our platform. The changes in usage and price in </w:t>
      </w:r>
      <w:r>
        <w:rPr>
          <w:rFonts w:ascii="Arial" w:cs="Arial" w:eastAsia="Arial" w:hAnsi="Arial"/>
          <w:sz w:val="19"/>
          <w:szCs w:val="19"/>
          <w:color w:val="000000"/>
        </w:rPr>
        <w:t>2017</w:t>
      </w:r>
      <w:r>
        <w:rPr>
          <w:rFonts w:ascii="Arial" w:cs="Arial" w:eastAsia="Arial" w:hAnsi="Arial"/>
          <w:sz w:val="19"/>
          <w:szCs w:val="19"/>
          <w:color w:val="231F20"/>
        </w:rPr>
        <w:t xml:space="preserve"> were reflected in our dollar-based net retention rate of 107%. The increase in usage was also attributable to a 21% increase in the number of active CPaaS customer accounts, from 798 as of </w:t>
      </w:r>
      <w:r>
        <w:rPr>
          <w:rFonts w:ascii="Arial" w:cs="Arial" w:eastAsia="Arial" w:hAnsi="Arial"/>
          <w:sz w:val="19"/>
          <w:szCs w:val="19"/>
          <w:color w:val="000000"/>
        </w:rPr>
        <w:t>December 31, 2016</w:t>
      </w:r>
      <w:r>
        <w:rPr>
          <w:rFonts w:ascii="Arial" w:cs="Arial" w:eastAsia="Arial" w:hAnsi="Arial"/>
          <w:sz w:val="19"/>
          <w:szCs w:val="19"/>
          <w:color w:val="231F20"/>
        </w:rPr>
        <w:t xml:space="preserve"> to 965 as of </w:t>
      </w:r>
      <w:r>
        <w:rPr>
          <w:rFonts w:ascii="Arial" w:cs="Arial" w:eastAsia="Arial" w:hAnsi="Arial"/>
          <w:sz w:val="19"/>
          <w:szCs w:val="19"/>
          <w:color w:val="000000"/>
        </w:rPr>
        <w:t>December 31, 2017</w:t>
      </w:r>
      <w:r>
        <w:rPr>
          <w:rFonts w:ascii="Arial" w:cs="Arial" w:eastAsia="Arial" w:hAnsi="Arial"/>
          <w:sz w:val="19"/>
          <w:szCs w:val="19"/>
          <w:color w:val="231F20"/>
        </w:rPr>
        <w:t xml:space="preserve">. In addition, revenue from new CPaaS customers contributed $5.7 million, or 5%, to CPaaS revenue for </w:t>
      </w:r>
      <w:r>
        <w:rPr>
          <w:rFonts w:ascii="Arial" w:cs="Arial" w:eastAsia="Arial" w:hAnsi="Arial"/>
          <w:sz w:val="19"/>
          <w:szCs w:val="19"/>
          <w:color w:val="000000"/>
        </w:rPr>
        <w:t>2017</w:t>
      </w:r>
      <w:r>
        <w:rPr>
          <w:rFonts w:ascii="Arial" w:cs="Arial" w:eastAsia="Arial" w:hAnsi="Arial"/>
          <w:sz w:val="19"/>
          <w:szCs w:val="19"/>
          <w:color w:val="231F20"/>
        </w:rPr>
        <w:t xml:space="preserve"> compared to $4.2 million, or 4% to CPaaS revenue in </w:t>
      </w:r>
      <w:r>
        <w:rPr>
          <w:rFonts w:ascii="Arial" w:cs="Arial" w:eastAsia="Arial" w:hAnsi="Arial"/>
          <w:sz w:val="19"/>
          <w:szCs w:val="19"/>
          <w:color w:val="000000"/>
        </w:rPr>
        <w:t>2016</w:t>
      </w:r>
      <w:r>
        <w:rPr>
          <w:rFonts w:ascii="Arial" w:cs="Arial" w:eastAsia="Arial" w:hAnsi="Arial"/>
          <w:sz w:val="19"/>
          <w:szCs w:val="19"/>
          <w:color w:val="231F20"/>
        </w:rPr>
        <w:t>. Other revenue decreased by $3.7 million, or 10%, due to expected declines in our legacy services of $3.1 million and a</w:t>
      </w:r>
      <w:r>
        <w:rPr>
          <w:rFonts w:ascii="Arial" w:cs="Arial" w:eastAsia="Arial" w:hAnsi="Arial"/>
          <w:sz w:val="19"/>
          <w:szCs w:val="19"/>
          <w:color w:val="000000"/>
        </w:rPr>
        <w:t xml:space="preserve"> </w:t>
      </w:r>
      <w:r>
        <w:rPr>
          <w:rFonts w:ascii="Arial" w:cs="Arial" w:eastAsia="Arial" w:hAnsi="Arial"/>
          <w:sz w:val="19"/>
          <w:szCs w:val="19"/>
          <w:color w:val="231F20"/>
        </w:rPr>
        <w:t>decrease in indirect revenue of $0.6 million.</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Cost of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CPaaS cost of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71,218</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75,859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4,641</w:t>
            </w:r>
          </w:p>
        </w:tc>
        <w:tc>
          <w:tcPr>
            <w:tcW w:w="8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13,403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85,218</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89,262</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4,044</w:t>
            </w:r>
          </w:p>
        </w:tc>
        <w:tc>
          <w:tcPr>
            <w:tcW w:w="8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51"/>
        </w:trPr>
        <w:tc>
          <w:tcPr>
            <w:tcW w:w="49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66,917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73,693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6,776</w:t>
            </w:r>
          </w:p>
        </w:tc>
        <w:tc>
          <w:tcPr>
            <w:tcW w:w="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-2211705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In 2017, </w:t>
      </w:r>
      <w:r>
        <w:rPr>
          <w:rFonts w:ascii="Arial" w:cs="Arial" w:eastAsia="Arial" w:hAnsi="Arial"/>
          <w:sz w:val="19"/>
          <w:szCs w:val="19"/>
          <w:color w:val="231F20"/>
        </w:rPr>
        <w:t>total gross profit increased by $6.8 million, or 10%, compared to</w:t>
      </w:r>
      <w:r>
        <w:rPr>
          <w:rFonts w:ascii="Arial" w:cs="Arial" w:eastAsia="Arial" w:hAnsi="Arial"/>
          <w:sz w:val="19"/>
          <w:szCs w:val="19"/>
          <w:color w:val="auto"/>
        </w:rPr>
        <w:t xml:space="preserve"> 2016</w:t>
      </w:r>
      <w:r>
        <w:rPr>
          <w:rFonts w:ascii="Arial" w:cs="Arial" w:eastAsia="Arial" w:hAnsi="Arial"/>
          <w:sz w:val="19"/>
          <w:szCs w:val="19"/>
          <w:color w:val="231F20"/>
        </w:rPr>
        <w:t>. Total gross margin increased from 44% to</w:t>
      </w:r>
      <w:r>
        <w:rPr>
          <w:rFonts w:ascii="Arial" w:cs="Arial" w:eastAsia="Arial" w:hAnsi="Arial"/>
          <w:sz w:val="19"/>
          <w:szCs w:val="19"/>
          <w:color w:val="auto"/>
        </w:rPr>
        <w:t xml:space="preserve"> </w:t>
      </w:r>
      <w:r>
        <w:rPr>
          <w:rFonts w:ascii="Arial" w:cs="Arial" w:eastAsia="Arial" w:hAnsi="Arial"/>
          <w:sz w:val="19"/>
          <w:szCs w:val="19"/>
          <w:color w:val="231F20"/>
        </w:rPr>
        <w:t xml:space="preserve">45% during the same period. </w:t>
      </w:r>
      <w:r>
        <w:rPr>
          <w:rFonts w:ascii="Arial" w:cs="Arial" w:eastAsia="Arial" w:hAnsi="Arial"/>
          <w:sz w:val="19"/>
          <w:szCs w:val="19"/>
          <w:color w:val="000000"/>
        </w:rPr>
        <w:t>In 2017,</w:t>
      </w:r>
      <w:r>
        <w:rPr>
          <w:rFonts w:ascii="Arial" w:cs="Arial" w:eastAsia="Arial" w:hAnsi="Arial"/>
          <w:sz w:val="19"/>
          <w:szCs w:val="19"/>
          <w:color w:val="231F20"/>
        </w:rPr>
        <w:t xml:space="preserve"> CPaaS cost of revenue increased by $4.6 million, or 7% compared </w:t>
      </w:r>
      <w:r>
        <w:rPr>
          <w:rFonts w:ascii="Arial" w:cs="Arial" w:eastAsia="Arial" w:hAnsi="Arial"/>
          <w:sz w:val="19"/>
          <w:szCs w:val="19"/>
          <w:color w:val="000000"/>
        </w:rPr>
        <w:t>2016</w:t>
      </w:r>
      <w:r>
        <w:rPr>
          <w:rFonts w:ascii="Arial" w:cs="Arial" w:eastAsia="Arial" w:hAnsi="Arial"/>
          <w:sz w:val="19"/>
          <w:szCs w:val="19"/>
          <w:color w:val="231F20"/>
        </w:rPr>
        <w:t xml:space="preserve">. CPaaS cost of revenue increased primarily due to an increase in voice usage costs of $1.9 million due to growth in minutes used by customers, partially offset by a decrease in the cost per minute from vendors. Cost of phone numbers increased by $0.8 million due to an increase in phone numbers used by customers. Cost of messaging increased by $0.6 million due to an increase in number of messages used by customers and a slight increase in the cost per message. Additional increases were due to network costs and 911 services which increased $1.0 million and $0.2 million respectively. </w:t>
      </w:r>
      <w:r>
        <w:rPr>
          <w:rFonts w:ascii="Arial" w:cs="Arial" w:eastAsia="Arial" w:hAnsi="Arial"/>
          <w:sz w:val="19"/>
          <w:szCs w:val="19"/>
          <w:color w:val="000000"/>
        </w:rPr>
        <w:t>In 2017,</w:t>
      </w:r>
      <w:r>
        <w:rPr>
          <w:rFonts w:ascii="Arial" w:cs="Arial" w:eastAsia="Arial" w:hAnsi="Arial"/>
          <w:sz w:val="19"/>
          <w:szCs w:val="19"/>
          <w:color w:val="231F20"/>
        </w:rPr>
        <w:t xml:space="preserve"> CPaaS gross margin increased from 39% to 42% compared to </w:t>
      </w:r>
      <w:r>
        <w:rPr>
          <w:rFonts w:ascii="Arial" w:cs="Arial" w:eastAsia="Arial" w:hAnsi="Arial"/>
          <w:sz w:val="19"/>
          <w:szCs w:val="19"/>
          <w:color w:val="000000"/>
        </w:rPr>
        <w:t>2016</w:t>
      </w:r>
      <w:r>
        <w:rPr>
          <w:rFonts w:ascii="Arial" w:cs="Arial" w:eastAsia="Arial" w:hAnsi="Arial"/>
          <w:sz w:val="19"/>
          <w:szCs w:val="19"/>
          <w:color w:val="231F20"/>
        </w:rPr>
        <w:t xml:space="preserve">. Excluding depreciation and stock-based compensation of $4.6 million and $4.4 million for </w:t>
      </w:r>
      <w:r>
        <w:rPr>
          <w:rFonts w:ascii="Arial" w:cs="Arial" w:eastAsia="Arial" w:hAnsi="Arial"/>
          <w:sz w:val="19"/>
          <w:szCs w:val="19"/>
          <w:color w:val="000000"/>
        </w:rPr>
        <w:t>2016</w:t>
      </w:r>
      <w:r>
        <w:rPr>
          <w:rFonts w:ascii="Arial" w:cs="Arial" w:eastAsia="Arial" w:hAnsi="Arial"/>
          <w:sz w:val="19"/>
          <w:szCs w:val="19"/>
          <w:color w:val="231F20"/>
        </w:rPr>
        <w:t xml:space="preserve"> </w:t>
      </w:r>
      <w:r>
        <w:rPr>
          <w:rFonts w:ascii="Arial" w:cs="Arial" w:eastAsia="Arial" w:hAnsi="Arial"/>
          <w:sz w:val="16"/>
          <w:szCs w:val="16"/>
          <w:color w:val="000000"/>
        </w:rPr>
        <w:t>and</w:t>
      </w:r>
      <w:r>
        <w:rPr>
          <w:rFonts w:ascii="Arial" w:cs="Arial" w:eastAsia="Arial" w:hAnsi="Arial"/>
          <w:sz w:val="19"/>
          <w:szCs w:val="19"/>
          <w:color w:val="231F20"/>
        </w:rPr>
        <w:t xml:space="preserve"> </w:t>
      </w:r>
      <w:r>
        <w:rPr>
          <w:rFonts w:ascii="Arial" w:cs="Arial" w:eastAsia="Arial" w:hAnsi="Arial"/>
          <w:sz w:val="19"/>
          <w:szCs w:val="19"/>
          <w:color w:val="000000"/>
        </w:rPr>
        <w:t>2017</w:t>
      </w:r>
      <w:r>
        <w:rPr>
          <w:rFonts w:ascii="Arial" w:cs="Arial" w:eastAsia="Arial" w:hAnsi="Arial"/>
          <w:sz w:val="19"/>
          <w:szCs w:val="19"/>
          <w:color w:val="231F20"/>
        </w:rPr>
        <w:t xml:space="preserve">, respectively, CPaaS Non-GAAP gross margin would have been 43% and 46% for </w:t>
      </w:r>
      <w:r>
        <w:rPr>
          <w:rFonts w:ascii="Arial" w:cs="Arial" w:eastAsia="Arial" w:hAnsi="Arial"/>
          <w:sz w:val="19"/>
          <w:szCs w:val="19"/>
          <w:color w:val="000000"/>
        </w:rPr>
        <w:t>2016</w:t>
      </w:r>
      <w:r>
        <w:rPr>
          <w:rFonts w:ascii="Arial" w:cs="Arial" w:eastAsia="Arial" w:hAnsi="Arial"/>
          <w:sz w:val="19"/>
          <w:szCs w:val="19"/>
          <w:color w:val="231F20"/>
        </w:rPr>
        <w:t xml:space="preserve"> </w:t>
      </w:r>
      <w:r>
        <w:rPr>
          <w:rFonts w:ascii="Arial" w:cs="Arial" w:eastAsia="Arial" w:hAnsi="Arial"/>
          <w:sz w:val="16"/>
          <w:szCs w:val="16"/>
          <w:color w:val="000000"/>
        </w:rPr>
        <w:t>and</w:t>
      </w:r>
      <w:r>
        <w:rPr>
          <w:rFonts w:ascii="Arial" w:cs="Arial" w:eastAsia="Arial" w:hAnsi="Arial"/>
          <w:sz w:val="19"/>
          <w:szCs w:val="19"/>
          <w:color w:val="231F20"/>
        </w:rPr>
        <w:t xml:space="preserve"> </w:t>
      </w:r>
      <w:r>
        <w:rPr>
          <w:rFonts w:ascii="Arial" w:cs="Arial" w:eastAsia="Arial" w:hAnsi="Arial"/>
          <w:sz w:val="19"/>
          <w:szCs w:val="19"/>
          <w:color w:val="000000"/>
        </w:rPr>
        <w:t>2017</w:t>
      </w:r>
      <w:r>
        <w:rPr>
          <w:rFonts w:ascii="Arial" w:cs="Arial" w:eastAsia="Arial" w:hAnsi="Arial"/>
          <w:sz w:val="19"/>
          <w:szCs w:val="19"/>
          <w:color w:val="231F20"/>
        </w:rPr>
        <w:t>, respectively, and total Non-GAAP gross margin would have been 47% and 48% for the same periods.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Other cost of revenue decreased by $0.6 million, which was due to a $1.3 million decrease as a result of churn in legacy services, partially offset by a $0.7 million increase in cost of indirect revenue related to an increase in cost of carrier access revenue and toll-free number registration fees.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gridSpan w:val="2"/>
          </w:tcPr>
          <w:p>
            <w:pPr>
              <w:ind w:left="74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w:t>
            </w:r>
          </w:p>
        </w:tc>
        <w:tc>
          <w:tcPr>
            <w:tcW w:w="8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9,294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1,924</w:t>
            </w:r>
          </w:p>
        </w:tc>
        <w:tc>
          <w:tcPr>
            <w:tcW w:w="8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33,859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37,069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w:t>
            </w:r>
          </w:p>
        </w:tc>
        <w:tc>
          <w:tcPr>
            <w:tcW w:w="8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51,673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59,076</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7,403</w:t>
            </w:r>
          </w:p>
        </w:tc>
        <w:tc>
          <w:tcPr>
            <w:tcW w:w="8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-899795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In 2017, </w:t>
      </w:r>
      <w:r>
        <w:rPr>
          <w:rFonts w:ascii="Arial" w:cs="Arial" w:eastAsia="Arial" w:hAnsi="Arial"/>
          <w:sz w:val="22"/>
          <w:szCs w:val="22"/>
          <w:color w:val="231F20"/>
        </w:rPr>
        <w:t>Research and development expenses increased by $2.3 million, or 27%, compared to</w:t>
      </w:r>
      <w:r>
        <w:rPr>
          <w:rFonts w:ascii="Arial" w:cs="Arial" w:eastAsia="Arial" w:hAnsi="Arial"/>
          <w:sz w:val="22"/>
          <w:szCs w:val="22"/>
          <w:color w:val="auto"/>
        </w:rPr>
        <w:t xml:space="preserve"> 2016</w:t>
      </w:r>
      <w:r>
        <w:rPr>
          <w:rFonts w:ascii="Arial" w:cs="Arial" w:eastAsia="Arial" w:hAnsi="Arial"/>
          <w:sz w:val="22"/>
          <w:szCs w:val="22"/>
          <w:color w:val="231F20"/>
        </w:rPr>
        <w:t>. This increase was</w:t>
      </w:r>
      <w:r>
        <w:rPr>
          <w:rFonts w:ascii="Arial" w:cs="Arial" w:eastAsia="Arial" w:hAnsi="Arial"/>
          <w:sz w:val="22"/>
          <w:szCs w:val="22"/>
          <w:color w:val="auto"/>
        </w:rPr>
        <w:t xml:space="preserve"> </w:t>
      </w:r>
      <w:r>
        <w:rPr>
          <w:rFonts w:ascii="Arial" w:cs="Arial" w:eastAsia="Arial" w:hAnsi="Arial"/>
          <w:sz w:val="22"/>
          <w:szCs w:val="22"/>
          <w:color w:val="231F20"/>
        </w:rPr>
        <w:t>primarily due to increased personnel costs of $2.2 million and professional fees of $0.1 million.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In 2017, </w:t>
      </w:r>
      <w:r>
        <w:rPr>
          <w:rFonts w:ascii="Arial" w:cs="Arial" w:eastAsia="Arial" w:hAnsi="Arial"/>
          <w:sz w:val="22"/>
          <w:szCs w:val="22"/>
          <w:color w:val="231F20"/>
        </w:rPr>
        <w:t>sales and marketing expenses increased by $1.9 million, or 21%, compared to</w:t>
      </w:r>
      <w:r>
        <w:rPr>
          <w:rFonts w:ascii="Arial" w:cs="Arial" w:eastAsia="Arial" w:hAnsi="Arial"/>
          <w:sz w:val="22"/>
          <w:szCs w:val="22"/>
          <w:color w:val="auto"/>
        </w:rPr>
        <w:t xml:space="preserve"> 2016 </w:t>
      </w:r>
      <w:r>
        <w:rPr>
          <w:rFonts w:ascii="Arial" w:cs="Arial" w:eastAsia="Arial" w:hAnsi="Arial"/>
          <w:sz w:val="22"/>
          <w:szCs w:val="22"/>
          <w:color w:val="231F20"/>
        </w:rPr>
        <w:t>primarily due to an overall</w:t>
      </w:r>
      <w:r>
        <w:rPr>
          <w:rFonts w:ascii="Arial" w:cs="Arial" w:eastAsia="Arial" w:hAnsi="Arial"/>
          <w:sz w:val="22"/>
          <w:szCs w:val="22"/>
          <w:color w:val="auto"/>
        </w:rPr>
        <w:t xml:space="preserve"> </w:t>
      </w:r>
      <w:r>
        <w:rPr>
          <w:rFonts w:ascii="Arial" w:cs="Arial" w:eastAsia="Arial" w:hAnsi="Arial"/>
          <w:sz w:val="22"/>
          <w:szCs w:val="22"/>
          <w:color w:val="231F20"/>
        </w:rPr>
        <w:t>increase in sales personnel costs of $1.9 million.</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231F20"/>
        </w:rPr>
        <w:t xml:space="preserve">General and administrative expenses increased by $3.2 million </w:t>
      </w:r>
      <w:r>
        <w:rPr>
          <w:rFonts w:ascii="Arial" w:cs="Arial" w:eastAsia="Arial" w:hAnsi="Arial"/>
          <w:sz w:val="21"/>
          <w:szCs w:val="21"/>
          <w:color w:val="000000"/>
        </w:rPr>
        <w:t>in 2017,</w:t>
      </w:r>
      <w:r>
        <w:rPr>
          <w:rFonts w:ascii="Arial" w:cs="Arial" w:eastAsia="Arial" w:hAnsi="Arial"/>
          <w:sz w:val="21"/>
          <w:szCs w:val="21"/>
          <w:color w:val="231F20"/>
        </w:rPr>
        <w:t xml:space="preserve"> or 9%, </w:t>
      </w:r>
      <w:r>
        <w:rPr>
          <w:rFonts w:ascii="Arial" w:cs="Arial" w:eastAsia="Arial" w:hAnsi="Arial"/>
          <w:sz w:val="21"/>
          <w:szCs w:val="21"/>
          <w:color w:val="000000"/>
        </w:rPr>
        <w:t>compared to 2016.</w:t>
      </w:r>
      <w:r>
        <w:rPr>
          <w:rFonts w:ascii="Arial" w:cs="Arial" w:eastAsia="Arial" w:hAnsi="Arial"/>
          <w:sz w:val="21"/>
          <w:szCs w:val="21"/>
          <w:color w:val="231F20"/>
        </w:rPr>
        <w:t xml:space="preserve"> This increase was due to increases of $1.2 million in facilities expenses, $1.0 million for hosted software costs, $0.4 million for professional expenses, partially offset by a $0.9 million decrease in depreciation and amortization expenses. An increase in personnel cost of $1.5 million also contributed the the overall general and administrative expenses.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Interest Expense, Net</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In 2017, </w:t>
      </w:r>
      <w:r>
        <w:rPr>
          <w:rFonts w:ascii="Arial" w:cs="Arial" w:eastAsia="Arial" w:hAnsi="Arial"/>
          <w:sz w:val="22"/>
          <w:szCs w:val="22"/>
          <w:color w:val="231F20"/>
        </w:rPr>
        <w:t>interest expense increased by $0.8 million compared to</w:t>
      </w:r>
      <w:r>
        <w:rPr>
          <w:rFonts w:ascii="Arial" w:cs="Arial" w:eastAsia="Arial" w:hAnsi="Arial"/>
          <w:sz w:val="22"/>
          <w:szCs w:val="22"/>
          <w:color w:val="auto"/>
        </w:rPr>
        <w:t xml:space="preserve"> 2016</w:t>
      </w:r>
      <w:r>
        <w:rPr>
          <w:rFonts w:ascii="Arial" w:cs="Arial" w:eastAsia="Arial" w:hAnsi="Arial"/>
          <w:sz w:val="22"/>
          <w:szCs w:val="22"/>
          <w:color w:val="231F20"/>
        </w:rPr>
        <w:t>, due to an increased balance outstanding of our credit</w:t>
      </w:r>
      <w:r>
        <w:rPr>
          <w:rFonts w:ascii="Arial" w:cs="Arial" w:eastAsia="Arial" w:hAnsi="Arial"/>
          <w:sz w:val="22"/>
          <w:szCs w:val="22"/>
          <w:color w:val="auto"/>
        </w:rPr>
        <w:t xml:space="preserve"> </w:t>
      </w:r>
      <w:r>
        <w:rPr>
          <w:rFonts w:ascii="Arial" w:cs="Arial" w:eastAsia="Arial" w:hAnsi="Arial"/>
          <w:sz w:val="22"/>
          <w:szCs w:val="22"/>
          <w:color w:val="231F20"/>
        </w:rPr>
        <w:t>facility that we entered into in November 2016. The balance of the credit facility was paid off in full in November 2017 with proceeds from the initial public offering.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Income Tax Expense</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In 2017, </w:t>
      </w:r>
      <w:r>
        <w:rPr>
          <w:rFonts w:ascii="Arial" w:cs="Arial" w:eastAsia="Arial" w:hAnsi="Arial"/>
          <w:sz w:val="22"/>
          <w:szCs w:val="22"/>
          <w:color w:val="231F20"/>
        </w:rPr>
        <w:t>income tax expense increased by $18.0 million compared to</w:t>
      </w:r>
      <w:r>
        <w:rPr>
          <w:rFonts w:ascii="Arial" w:cs="Arial" w:eastAsia="Arial" w:hAnsi="Arial"/>
          <w:sz w:val="22"/>
          <w:szCs w:val="22"/>
          <w:color w:val="auto"/>
        </w:rPr>
        <w:t xml:space="preserve"> 2016</w:t>
      </w:r>
      <w:r>
        <w:rPr>
          <w:rFonts w:ascii="Arial" w:cs="Arial" w:eastAsia="Arial" w:hAnsi="Arial"/>
          <w:sz w:val="22"/>
          <w:szCs w:val="22"/>
          <w:color w:val="231F20"/>
        </w:rPr>
        <w:t>. The effective tax rate for</w:t>
      </w:r>
      <w:r>
        <w:rPr>
          <w:rFonts w:ascii="Arial" w:cs="Arial" w:eastAsia="Arial" w:hAnsi="Arial"/>
          <w:sz w:val="22"/>
          <w:szCs w:val="22"/>
          <w:color w:val="auto"/>
        </w:rPr>
        <w:t xml:space="preserve"> 2017 </w:t>
      </w:r>
      <w:r>
        <w:rPr>
          <w:rFonts w:ascii="Arial" w:cs="Arial" w:eastAsia="Arial" w:hAnsi="Arial"/>
          <w:sz w:val="22"/>
          <w:szCs w:val="22"/>
          <w:color w:val="231F20"/>
        </w:rPr>
        <w:t>was 53.7%</w:t>
      </w:r>
      <w:r>
        <w:rPr>
          <w:rFonts w:ascii="Arial" w:cs="Arial" w:eastAsia="Arial" w:hAnsi="Arial"/>
          <w:sz w:val="22"/>
          <w:szCs w:val="22"/>
          <w:color w:val="auto"/>
        </w:rPr>
        <w:t xml:space="preserve"> </w:t>
      </w:r>
      <w:r>
        <w:rPr>
          <w:rFonts w:ascii="Arial" w:cs="Arial" w:eastAsia="Arial" w:hAnsi="Arial"/>
          <w:sz w:val="22"/>
          <w:szCs w:val="22"/>
          <w:color w:val="231F20"/>
        </w:rPr>
        <w:t xml:space="preserve">compared to (77.4)% in </w:t>
      </w:r>
      <w:r>
        <w:rPr>
          <w:rFonts w:ascii="Arial" w:cs="Arial" w:eastAsia="Arial" w:hAnsi="Arial"/>
          <w:sz w:val="22"/>
          <w:szCs w:val="22"/>
          <w:color w:val="000000"/>
        </w:rPr>
        <w:t>2016</w:t>
      </w:r>
      <w:r>
        <w:rPr>
          <w:rFonts w:ascii="Arial" w:cs="Arial" w:eastAsia="Arial" w:hAnsi="Arial"/>
          <w:sz w:val="22"/>
          <w:szCs w:val="22"/>
          <w:color w:val="231F20"/>
        </w:rPr>
        <w:t xml:space="preserve">. During </w:t>
      </w:r>
      <w:r>
        <w:rPr>
          <w:rFonts w:ascii="Arial" w:cs="Arial" w:eastAsia="Arial" w:hAnsi="Arial"/>
          <w:sz w:val="22"/>
          <w:szCs w:val="22"/>
          <w:color w:val="000000"/>
        </w:rPr>
        <w:t>2016</w:t>
      </w:r>
      <w:r>
        <w:rPr>
          <w:rFonts w:ascii="Arial" w:cs="Arial" w:eastAsia="Arial" w:hAnsi="Arial"/>
          <w:sz w:val="22"/>
          <w:szCs w:val="22"/>
          <w:color w:val="231F20"/>
        </w:rPr>
        <w:t xml:space="preserve">, we had a full valuation against our deferred tax assets. The valuation allowance was released in December </w:t>
      </w:r>
      <w:r>
        <w:rPr>
          <w:rFonts w:ascii="Arial" w:cs="Arial" w:eastAsia="Arial" w:hAnsi="Arial"/>
          <w:sz w:val="22"/>
          <w:szCs w:val="22"/>
          <w:color w:val="000000"/>
        </w:rPr>
        <w:t>2016</w:t>
      </w:r>
      <w:r>
        <w:rPr>
          <w:rFonts w:ascii="Arial" w:cs="Arial" w:eastAsia="Arial" w:hAnsi="Arial"/>
          <w:sz w:val="22"/>
          <w:szCs w:val="22"/>
          <w:color w:val="231F20"/>
        </w:rPr>
        <w:t xml:space="preserve"> subsequent to the Spin-Off.</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231F20"/>
        </w:rPr>
        <w:t xml:space="preserve">On December 22, 2017, the Tax Cuts and Jobs Act (the “Act”) was enacted into law. The income tax effects of changes in tax laws are recognized in the period when enacted. Among its numerous changes to the Internal Revenue Code, the Act reduces U.S. corporate rates from 35% to 21% </w:t>
      </w:r>
      <w:r>
        <w:rPr>
          <w:rFonts w:ascii="Arial" w:cs="Arial" w:eastAsia="Arial" w:hAnsi="Arial"/>
          <w:sz w:val="19"/>
          <w:szCs w:val="19"/>
          <w:color w:val="000000"/>
        </w:rPr>
        <w:t>for periods beginning on or after January 1, 2018</w:t>
      </w:r>
      <w:r>
        <w:rPr>
          <w:rFonts w:ascii="Arial" w:cs="Arial" w:eastAsia="Arial" w:hAnsi="Arial"/>
          <w:sz w:val="19"/>
          <w:szCs w:val="19"/>
          <w:color w:val="231F20"/>
        </w:rPr>
        <w:t xml:space="preserve">. We have incurred additional income tax expense of $2,073 due to the re-measurement of our deferred tax assets at the lower corporate tax rate. </w:t>
      </w:r>
      <w:r>
        <w:rPr>
          <w:rFonts w:ascii="Arial" w:cs="Arial" w:eastAsia="Arial" w:hAnsi="Arial"/>
          <w:sz w:val="19"/>
          <w:szCs w:val="19"/>
          <w:color w:val="000000"/>
        </w:rPr>
        <w:t>Additional federal and state</w:t>
      </w:r>
      <w:r>
        <w:rPr>
          <w:rFonts w:ascii="Arial" w:cs="Arial" w:eastAsia="Arial" w:hAnsi="Arial"/>
          <w:sz w:val="19"/>
          <w:szCs w:val="19"/>
          <w:color w:val="231F20"/>
        </w:rPr>
        <w:t xml:space="preserve"> </w:t>
      </w:r>
      <w:r>
        <w:rPr>
          <w:rFonts w:ascii="Arial" w:cs="Arial" w:eastAsia="Arial" w:hAnsi="Arial"/>
          <w:sz w:val="19"/>
          <w:szCs w:val="19"/>
          <w:color w:val="000000"/>
        </w:rPr>
        <w:t>interpretive guidance is still forthcoming that could potentially affect the measurement of these balances or give rise to new deferred tax amounts. As such, the re-measurement of our deferred tax balance is provisional pending future guidance.</w:t>
      </w:r>
    </w:p>
    <w:p>
      <w:pPr>
        <w:spacing w:after="0" w:line="15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As a result of changes made by the Act, starting with compensation paid in 2018, Section 162(m) will limit us from deducting compensation, including performance-based compensation, in excess of $1 million paid to anyone who serves as the Chief Executive Officer, Chief Financial Officer, or who is among the three highest compensated executive officers. The only exception to this rule is for compensation that is paid pursuant to a binding contract in effect as of November 2, 2017 that would have otherwise been deductible under the prior Section 162(m) rules. Accordingly, any compensation paid in the future pursuant to new compensation arrangements entered into after November 2, 2017, even if performance-based, will count towards the $1 million fiscal year deduction limit if paid to a covered executive. Because many different factors influence a well-rounded, comprehensive executive compensation program, some of the compensation we provide to our executive officers may not be deductible under Code Section 162(m) if our Compensation Committee believes it will contribute to the achievement of our business objectives.</w:t>
      </w:r>
    </w:p>
    <w:p>
      <w:pPr>
        <w:spacing w:after="0" w:line="24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Loss from Discontinued Operations, Net of Income Tax</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In 2017, </w:t>
      </w:r>
      <w:r>
        <w:rPr>
          <w:rFonts w:ascii="Arial" w:cs="Arial" w:eastAsia="Arial" w:hAnsi="Arial"/>
          <w:sz w:val="22"/>
          <w:szCs w:val="22"/>
          <w:color w:val="231F20"/>
        </w:rPr>
        <w:t>loss from discontinued operations decreased by $3.1 million compared to</w:t>
      </w:r>
      <w:r>
        <w:rPr>
          <w:rFonts w:ascii="Arial" w:cs="Arial" w:eastAsia="Arial" w:hAnsi="Arial"/>
          <w:sz w:val="22"/>
          <w:szCs w:val="22"/>
          <w:color w:val="auto"/>
        </w:rPr>
        <w:t xml:space="preserve"> 2016</w:t>
      </w:r>
      <w:r>
        <w:rPr>
          <w:rFonts w:ascii="Arial" w:cs="Arial" w:eastAsia="Arial" w:hAnsi="Arial"/>
          <w:sz w:val="22"/>
          <w:szCs w:val="22"/>
          <w:color w:val="231F20"/>
        </w:rPr>
        <w:t>. The Spin-Off of Republic took</w:t>
      </w:r>
      <w:r>
        <w:rPr>
          <w:rFonts w:ascii="Arial" w:cs="Arial" w:eastAsia="Arial" w:hAnsi="Arial"/>
          <w:sz w:val="22"/>
          <w:szCs w:val="22"/>
          <w:color w:val="auto"/>
        </w:rPr>
        <w:t xml:space="preserve"> </w:t>
      </w:r>
      <w:r>
        <w:rPr>
          <w:rFonts w:ascii="Arial" w:cs="Arial" w:eastAsia="Arial" w:hAnsi="Arial"/>
          <w:sz w:val="22"/>
          <w:szCs w:val="22"/>
          <w:color w:val="231F20"/>
        </w:rPr>
        <w:t>place on November 30, 2016.</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Years Ended December 31, 2015 and 2016</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22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gridSpan w:val="2"/>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15,576</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c>
          <w:tcPr>
            <w:tcW w:w="8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137,801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152,135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14,334</w:t>
            </w:r>
          </w:p>
        </w:tc>
        <w:tc>
          <w:tcPr>
            <w:tcW w:w="8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-728345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In 2016, total revenue increased by $14.3 million, or 10%, compared to 2015. CPaaS revenue increased by $15.6 million, or 15% compared to the prior year. As a percentage of total revenue, CPaaS revenue increased from 74% to 77% year over year. The increase in CPaaS revenue was primarily attributable to an increase in the usage of all our products, particularly our voice and messaging services, and the adoption of additional services by our existing CPaaS customers. This increase was partially offset by pricing decreases that we have implemented over time with our customers in the form of lower usage prices to increase the reach and scale of our platform, as well as in exchange for contract renewals for certain key customers. The changes in usage and price for the year ended December 31, 2016 were reflected in our dollar-based net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retention rate of 111%. The increase in usage was also attributable to a 13% increase in the number of active CPaaS customer accounts, from 704 as of December 31, 2015 to 798 as of December 31, 2016. Other revenue decreased by $1.2 million, or 3%, due to declines in our legacy services of $4.2 million, partially offset by a $3.0 million increase in indirect revenue related to new messaging and toll-free number registration fees.</w:t>
      </w:r>
    </w:p>
    <w:p>
      <w:pPr>
        <w:spacing w:after="0" w:line="29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Years ended December 31,</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CPaaS cost of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64,760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71,218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6,458</w:t>
            </w:r>
          </w:p>
        </w:tc>
        <w:tc>
          <w:tcPr>
            <w:tcW w:w="8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 of revenue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79,242</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85,218</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5,976</w:t>
            </w:r>
          </w:p>
        </w:tc>
        <w:tc>
          <w:tcPr>
            <w:tcW w:w="8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51"/>
        </w:trPr>
        <w:tc>
          <w:tcPr>
            <w:tcW w:w="50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58,559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66,917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8,358</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margin:</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CPaaS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88"/>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450"/>
              <w:spacing w:after="0"/>
              <w:rPr>
                <w:sz w:val="20"/>
                <w:szCs w:val="20"/>
                <w:color w:val="auto"/>
              </w:rPr>
            </w:pPr>
            <w:r>
              <w:rPr>
                <w:rFonts w:ascii="Arial" w:cs="Arial" w:eastAsia="Arial" w:hAnsi="Arial"/>
                <w:sz w:val="18"/>
                <w:szCs w:val="18"/>
                <w:color w:val="auto"/>
                <w:w w:val="88"/>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8"/>
              </w:rPr>
              <w:t>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center"/>
              <w:ind w:right="450"/>
              <w:spacing w:after="0"/>
              <w:rPr>
                <w:sz w:val="20"/>
                <w:szCs w:val="20"/>
                <w:color w:val="auto"/>
              </w:rPr>
            </w:pPr>
            <w:r>
              <w:rPr>
                <w:rFonts w:ascii="Arial" w:cs="Arial" w:eastAsia="Arial" w:hAnsi="Arial"/>
                <w:sz w:val="18"/>
                <w:szCs w:val="18"/>
                <w:color w:val="auto"/>
                <w:w w:val="88"/>
              </w:rPr>
              <w:t>60%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margin %</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88"/>
              </w:rPr>
              <w:t>42%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right="450"/>
              <w:spacing w:after="0"/>
              <w:rPr>
                <w:sz w:val="20"/>
                <w:szCs w:val="20"/>
                <w:color w:val="auto"/>
              </w:rPr>
            </w:pPr>
            <w:r>
              <w:rPr>
                <w:rFonts w:ascii="Arial" w:cs="Arial" w:eastAsia="Arial" w:hAnsi="Arial"/>
                <w:sz w:val="18"/>
                <w:szCs w:val="18"/>
                <w:color w:val="auto"/>
                <w:w w:val="88"/>
              </w:rPr>
              <w:t>44%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-1783080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Total gross profit increased by $8.4 million in 2016 as compared to 2015 and total gross margin increased from 42% to 44% from 2015 to 2016. CPaaS cost of revenue increased by $6.5 million, or 10%, in 2016. All CPaaS services saw an increase in cost of revenue but the overall increase was largely driven by the cost for minutes of use, which increased by $3.4 million due to growth in minutes used by customers, partially offset by a slight decrease in the cost per minute. Network costs increased by $2.0 million and cost of messaging increased by $0.5 million. Cost of phone numbers increased by $0.4 million due to an increase in phone numbers used by customers, partially offset by decreased cost per phone number. 911 costs remained constant due to an increase in 911-enabled phone numbers used by customers, partially offset by decreased cost per record. CPaaS gross margin increased from 36% in 2015 to 39% in 2016. </w:t>
      </w:r>
      <w:r>
        <w:rPr>
          <w:rFonts w:ascii="Arial" w:cs="Arial" w:eastAsia="Arial" w:hAnsi="Arial"/>
          <w:sz w:val="19"/>
          <w:szCs w:val="19"/>
          <w:color w:val="231F20"/>
        </w:rPr>
        <w:t>Excluding depreciation and stock-based compensation of $5.3 million and $4.6 million for</w:t>
      </w:r>
      <w:r>
        <w:rPr>
          <w:rFonts w:ascii="Arial" w:cs="Arial" w:eastAsia="Arial" w:hAnsi="Arial"/>
          <w:sz w:val="19"/>
          <w:szCs w:val="19"/>
          <w:color w:val="auto"/>
        </w:rPr>
        <w:t xml:space="preserve"> 2015 and 2016</w:t>
      </w:r>
      <w:r>
        <w:rPr>
          <w:rFonts w:ascii="Arial" w:cs="Arial" w:eastAsia="Arial" w:hAnsi="Arial"/>
          <w:sz w:val="19"/>
          <w:szCs w:val="19"/>
          <w:color w:val="231F20"/>
        </w:rPr>
        <w:t>, respectively, CPaaS Non-GAAP gross margin would have been 41% and 43% for</w:t>
      </w:r>
      <w:r>
        <w:rPr>
          <w:rFonts w:ascii="Arial" w:cs="Arial" w:eastAsia="Arial" w:hAnsi="Arial"/>
          <w:sz w:val="19"/>
          <w:szCs w:val="19"/>
          <w:color w:val="auto"/>
        </w:rPr>
        <w:t xml:space="preserve"> 2015 </w:t>
      </w:r>
      <w:r>
        <w:rPr>
          <w:rFonts w:ascii="Arial" w:cs="Arial" w:eastAsia="Arial" w:hAnsi="Arial"/>
          <w:sz w:val="16"/>
          <w:szCs w:val="16"/>
          <w:color w:val="auto"/>
        </w:rPr>
        <w:t>and</w:t>
      </w:r>
      <w:r>
        <w:rPr>
          <w:rFonts w:ascii="Arial" w:cs="Arial" w:eastAsia="Arial" w:hAnsi="Arial"/>
          <w:sz w:val="19"/>
          <w:szCs w:val="19"/>
          <w:color w:val="auto"/>
        </w:rPr>
        <w:t xml:space="preserve"> 2016</w:t>
      </w:r>
      <w:r>
        <w:rPr>
          <w:rFonts w:ascii="Arial" w:cs="Arial" w:eastAsia="Arial" w:hAnsi="Arial"/>
          <w:sz w:val="19"/>
          <w:szCs w:val="19"/>
          <w:color w:val="231F20"/>
        </w:rPr>
        <w:t>, respectively, and total Non-GAAP gross margin would have been 46% and 47% for the same periods.</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Cost of Other revenue decreased by $0.5 million, or 3%, which was due to a $2.1 million decrease as a result of churn in legacy services, partially offset by a $1.6 million increase in cost of indirect revenue from 2015 to 2016 related to new required messaging and toll-free number registration fees. Total gross margin was affected by churn and a reduction in indirect margins.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Years ended December 31,</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b w:val="1"/>
                <w:bCs w:val="1"/>
                <w:color w:val="auto"/>
              </w:rPr>
              <w:t>Change</w:t>
            </w:r>
          </w:p>
        </w:tc>
        <w:tc>
          <w:tcPr>
            <w:tcW w:w="8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9,294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8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33,859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50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50,597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51,673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1,076</w:t>
            </w:r>
          </w:p>
        </w:tc>
        <w:tc>
          <w:tcPr>
            <w:tcW w:w="8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46"/>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-1191260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2016, R&amp;D expenses increased by $1.1 million, or 16%, compared to 2015. This increase was due primarily to increases in hosting software costs and increased headcount.</w:t>
      </w:r>
    </w:p>
    <w:p>
      <w:pPr>
        <w:spacing w:after="0" w:line="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2016, sales and marketing expenses increased by $0.7 million, or 8%, compared to 2015 due to an overall increase in sales headcount.</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General and administrative expenses decreased by $0.7 million in 2016, or 2%, compared to 2015 mostly due to a decrease in stock-based compensation expenses. This decrease was partially offset by increases in headcount, increases from gains on fixed asset disposals, increases in consulting fees and increased rent.</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Interest Expense, Net</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2016, interest expense increased by $0.3 million compared to 2015 due to increased borrowings on our credit facility that we entered into in November 2016.</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Income Tax Expense</w:t>
      </w:r>
    </w:p>
    <w:p>
      <w:pPr>
        <w:spacing w:after="0" w:line="1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2016, income tax expense decreased by $11.5 million compared to 2015 primarily due to the $14.1 million release of the valuation allowance in 2016 subsequent to the Republic Wireless Spin-Off. The effective tax rate for 2016 was (77.4)% compared to 5.5% for 2015.</w:t>
      </w:r>
    </w:p>
    <w:p>
      <w:pPr>
        <w:spacing w:after="0" w:line="29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Loss from Discontinued Operations, Net of Income Tax</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2016, loss from discontinued operations decreased by $10.6 million compared to 2015 due to the Republic Wireless Spin-Off in December 2016.</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Quarterly Results of Operations</w:t>
      </w: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following tables set forth our unaudited quarterly statements of operations data for each of the eight quarters ended December 31, 2017. The information for each quarter has been prepared on a basis consistent with our audited consolidated financial statements included in this Annual Report on Form 10-K, and reflect, in the opinion of management, all adjustments of a normal, recurring nature that are necessary for a fair presentation of the financial information contained in those statements. Our historical results are not necessarily indicative of the results that may be expected in the future. The following quarterly financial data should be read in conjunction with our audited consolidated financial statements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2016</w:t>
            </w:r>
          </w:p>
        </w:tc>
        <w:tc>
          <w:tcPr>
            <w:tcW w:w="118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 2017</w:t>
            </w: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5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6"/>
                <w:szCs w:val="16"/>
                <w:color w:val="auto"/>
              </w:rPr>
              <w:t>CPaaS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27,735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28,916</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30,249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30,178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31,647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31,547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33,397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34,981</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9,204</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8,914</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8,354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8,585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7,978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7,979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7,941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7,485</w:t>
            </w:r>
          </w:p>
        </w:tc>
        <w:tc>
          <w:tcPr>
            <w:tcW w:w="0" w:type="dxa"/>
            <w:vAlign w:val="bottom"/>
          </w:tcPr>
          <w:p>
            <w:pPr>
              <w:spacing w:after="0"/>
              <w:rPr>
                <w:sz w:val="1"/>
                <w:szCs w:val="1"/>
                <w:color w:val="auto"/>
              </w:rPr>
            </w:pPr>
          </w:p>
        </w:tc>
      </w:tr>
      <w:tr>
        <w:trPr>
          <w:trHeight w:val="244"/>
        </w:trPr>
        <w:tc>
          <w:tcPr>
            <w:tcW w:w="252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32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36,939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38,603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38,763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42,466</w:t>
            </w:r>
          </w:p>
        </w:tc>
        <w:tc>
          <w:tcPr>
            <w:tcW w:w="0" w:type="dxa"/>
            <w:vAlign w:val="bottom"/>
          </w:tcPr>
          <w:p>
            <w:pPr>
              <w:spacing w:after="0"/>
              <w:rPr>
                <w:sz w:val="1"/>
                <w:szCs w:val="1"/>
                <w:color w:val="auto"/>
              </w:rPr>
            </w:pPr>
          </w:p>
        </w:tc>
      </w:tr>
      <w:tr>
        <w:trPr>
          <w:trHeight w:val="303"/>
        </w:trPr>
        <w:tc>
          <w:tcPr>
            <w:tcW w:w="2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5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CPaaS cost of revenue</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18,159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18,197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19,465</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cost of revenue</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3,491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3,366</w:t>
            </w:r>
          </w:p>
        </w:tc>
        <w:tc>
          <w:tcPr>
            <w:tcW w:w="0" w:type="dxa"/>
            <w:vAlign w:val="bottom"/>
          </w:tcPr>
          <w:p>
            <w:pPr>
              <w:spacing w:after="0"/>
              <w:rPr>
                <w:sz w:val="1"/>
                <w:szCs w:val="1"/>
                <w:color w:val="auto"/>
              </w:rPr>
            </w:pPr>
          </w:p>
        </w:tc>
      </w:tr>
      <w:tr>
        <w:trPr>
          <w:trHeight w:val="25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cost of revenue</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21,566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22,831</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17,232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18,767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19,635</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1,854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2,927</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3,119</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7,898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10,289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8,257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9,797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11,378</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11,498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12,399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12,706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15,070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12,877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13,079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15,696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17,424</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c>
          <w:tcPr>
            <w:tcW w:w="0" w:type="dxa"/>
            <w:vAlign w:val="bottom"/>
          </w:tcPr>
          <w:p>
            <w:pPr>
              <w:spacing w:after="0"/>
              <w:rPr>
                <w:sz w:val="1"/>
                <w:szCs w:val="1"/>
                <w:color w:val="auto"/>
              </w:rPr>
            </w:pPr>
          </w:p>
        </w:tc>
      </w:tr>
      <w:tr>
        <w:trPr>
          <w:trHeight w:val="297"/>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26"/>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fair value of</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stockholders’ anti-dilutive</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arrangement</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other (expense) income</w:t>
            </w:r>
          </w:p>
        </w:tc>
        <w:tc>
          <w:tcPr>
            <w:tcW w:w="3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97"/>
        </w:trPr>
        <w:tc>
          <w:tcPr>
            <w:tcW w:w="2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2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520" w:type="dxa"/>
            <w:vAlign w:val="bottom"/>
          </w:tcPr>
          <w:p>
            <w:pPr>
              <w:ind w:left="40"/>
              <w:spacing w:after="0"/>
              <w:rPr>
                <w:sz w:val="20"/>
                <w:szCs w:val="20"/>
                <w:color w:val="auto"/>
              </w:rPr>
            </w:pPr>
            <w:r>
              <w:rPr>
                <w:rFonts w:ascii="Arial" w:cs="Arial" w:eastAsia="Arial" w:hAnsi="Arial"/>
                <w:sz w:val="16"/>
                <w:szCs w:val="16"/>
                <w:color w:val="auto"/>
              </w:rPr>
              <w:t>before income taxes</w:t>
            </w:r>
          </w:p>
        </w:tc>
        <w:tc>
          <w:tcPr>
            <w:tcW w:w="32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3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11,500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w:t>
            </w:r>
          </w:p>
        </w:tc>
        <w:tc>
          <w:tcPr>
            <w:tcW w:w="0" w:type="dxa"/>
            <w:vAlign w:val="bottom"/>
          </w:tcPr>
          <w:p>
            <w:pPr>
              <w:spacing w:after="0"/>
              <w:rPr>
                <w:sz w:val="1"/>
                <w:szCs w:val="1"/>
                <w:color w:val="auto"/>
              </w:rPr>
            </w:pPr>
          </w:p>
        </w:tc>
      </w:tr>
      <w:tr>
        <w:trPr>
          <w:trHeight w:val="200"/>
        </w:trPr>
        <w:tc>
          <w:tcPr>
            <w:tcW w:w="2520" w:type="dxa"/>
            <w:vAlign w:val="bottom"/>
          </w:tcPr>
          <w:p>
            <w:pPr>
              <w:ind w:left="40"/>
              <w:spacing w:after="0"/>
              <w:rPr>
                <w:sz w:val="20"/>
                <w:szCs w:val="20"/>
                <w:color w:val="auto"/>
              </w:rPr>
            </w:pPr>
            <w:r>
              <w:rPr>
                <w:rFonts w:ascii="Arial" w:cs="Arial" w:eastAsia="Arial" w:hAnsi="Arial"/>
                <w:sz w:val="16"/>
                <w:szCs w:val="16"/>
                <w:color w:val="auto"/>
              </w:rPr>
              <w:t>Income (loss) from continuing</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32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4,063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3,509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13,841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2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income from discontinued</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operations, net of income taxes</w:t>
            </w: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3,035</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1,526</w:t>
            </w:r>
          </w:p>
        </w:tc>
        <w:tc>
          <w:tcPr>
            <w:tcW w:w="120" w:type="dxa"/>
            <w:vAlign w:val="bottom"/>
            <w:tcBorders>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3,289</w:t>
            </w:r>
          </w:p>
        </w:tc>
        <w:tc>
          <w:tcPr>
            <w:tcW w:w="1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14,508</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2,989</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1,947</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1,634</w:t>
            </w:r>
          </w:p>
        </w:tc>
        <w:tc>
          <w:tcPr>
            <w:tcW w:w="10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79"/>
        </w:trPr>
        <w:tc>
          <w:tcPr>
            <w:tcW w:w="2520" w:type="dxa"/>
            <w:vAlign w:val="bottom"/>
            <w:shd w:val="clear" w:color="auto" w:fill="CCEEFF"/>
          </w:tcPr>
          <w:p>
            <w:pPr>
              <w:ind w:left="40"/>
              <w:spacing w:after="0" w:line="179" w:lineRule="exact"/>
              <w:rPr>
                <w:sz w:val="20"/>
                <w:szCs w:val="20"/>
                <w:color w:val="auto"/>
              </w:rPr>
            </w:pPr>
            <w:r>
              <w:rPr>
                <w:rFonts w:ascii="Arial" w:cs="Arial" w:eastAsia="Arial" w:hAnsi="Arial"/>
                <w:sz w:val="16"/>
                <w:szCs w:val="16"/>
                <w:color w:val="auto"/>
                <w:w w:val="97"/>
              </w:rPr>
              <w:t>Total comprehensive income (loss),</w:t>
            </w: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income tax</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To date, our principal sources of liquidity have been the proceeds of $74.4 million, net of underwriting discounts and commissions, from our initial public offering in November 2017, in addition to free cash flow driven by payments received from customers using our services, as well as borrowings under our senior secured credit facility. We believe that our cash and cash equivalents balances, our credit facility and the cash flows generated by our operations will be sufficient to satisfy our anticipated cash needs for working capital and capital expenditures for at least the next 12 months.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Statement of Cash Flows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The following table summarizes our cash flows from continuing operations for the periods indicated: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9"/>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0"/>
              </w:rPr>
              <w:t>(In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31"/>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18,651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24,179</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 from continuing operations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30,839</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-891540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-891540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Cash Flows from Operating Activities</w:t>
      </w:r>
    </w:p>
    <w:p>
      <w:pPr>
        <w:spacing w:after="0" w:line="1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In 2017, </w:t>
      </w:r>
      <w:r>
        <w:rPr>
          <w:rFonts w:ascii="Arial" w:cs="Arial" w:eastAsia="Arial" w:hAnsi="Arial"/>
          <w:sz w:val="19"/>
          <w:szCs w:val="19"/>
          <w:color w:val="231F20"/>
        </w:rPr>
        <w:t>cash provided by operating activities from continuing operations was $14.6 million, which primarily consisted of</w:t>
      </w:r>
      <w:r>
        <w:rPr>
          <w:rFonts w:ascii="Arial" w:cs="Arial" w:eastAsia="Arial" w:hAnsi="Arial"/>
          <w:sz w:val="19"/>
          <w:szCs w:val="19"/>
          <w:color w:val="auto"/>
        </w:rPr>
        <w:t xml:space="preserve"> </w:t>
      </w:r>
      <w:r>
        <w:rPr>
          <w:rFonts w:ascii="Arial" w:cs="Arial" w:eastAsia="Arial" w:hAnsi="Arial"/>
          <w:sz w:val="19"/>
          <w:szCs w:val="19"/>
          <w:color w:val="231F20"/>
        </w:rPr>
        <w:t>net income of $6.0 million, depreciation and amortization of $5.7 million, amortization of debt issuance costs of $0.4 million, stock-based compensation expenses of $1.8 million, deferred taxes of $6.2 million and loss on disposal of property and equipment of $0.1 million partially offset by a decrease in working capital of $5.5 million. Working capital consisted primarily of increases in accounts receivable of $4.4 million, prepaid expenses of $1.6 million, deferred costs of $0.9 million and $2.4 million in accounts payable offset by decreases in accrued expenses of $1.3 million and deferred revenue of $2.6 million.</w:t>
      </w:r>
    </w:p>
    <w:p>
      <w:pPr>
        <w:spacing w:after="0" w:line="15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In 2016, cash provided by operating activities from continuing operations was $16.9 million, which primarily consisted of net income from continuing operations of $22.4 million that includes $3.1 million net loss by discontinued operations, depreciation and amortization of $6.1 million, </w:t>
      </w:r>
      <w:r>
        <w:rPr>
          <w:rFonts w:ascii="Arial" w:cs="Arial" w:eastAsia="Arial" w:hAnsi="Arial"/>
          <w:sz w:val="21"/>
          <w:szCs w:val="21"/>
          <w:color w:val="231F20"/>
        </w:rPr>
        <w:t>amortization of debt issuance costs of</w:t>
      </w:r>
      <w:r>
        <w:rPr>
          <w:rFonts w:ascii="Arial" w:cs="Arial" w:eastAsia="Arial" w:hAnsi="Arial"/>
          <w:sz w:val="21"/>
          <w:szCs w:val="21"/>
          <w:color w:val="auto"/>
        </w:rPr>
        <w:t xml:space="preserve"> $0.1 million, $1.4 million of stock-based compensation expenses and impairment of intangible assets of $0.7 million partially offset by a decrease in deferred taxes of $11.1 million and working capital of </w:t>
      </w:r>
      <w:r>
        <w:rPr>
          <w:rFonts w:ascii="Arial" w:cs="Arial" w:eastAsia="Arial" w:hAnsi="Arial"/>
          <w:sz w:val="21"/>
          <w:szCs w:val="21"/>
          <w:color w:val="231F20"/>
        </w:rPr>
        <w:t>$5.7 million</w:t>
      </w:r>
      <w:r>
        <w:rPr>
          <w:rFonts w:ascii="Arial" w:cs="Arial" w:eastAsia="Arial" w:hAnsi="Arial"/>
          <w:sz w:val="21"/>
          <w:szCs w:val="21"/>
          <w:color w:val="auto"/>
        </w:rPr>
        <w:t xml:space="preserve">. Working capital consisted primarily of increases in accounts receivable of </w:t>
      </w:r>
      <w:r>
        <w:rPr>
          <w:rFonts w:ascii="Arial" w:cs="Arial" w:eastAsia="Arial" w:hAnsi="Arial"/>
          <w:sz w:val="21"/>
          <w:szCs w:val="21"/>
          <w:color w:val="231F20"/>
        </w:rPr>
        <w:t>$4.0 million</w:t>
      </w:r>
      <w:r>
        <w:rPr>
          <w:rFonts w:ascii="Arial" w:cs="Arial" w:eastAsia="Arial" w:hAnsi="Arial"/>
          <w:sz w:val="21"/>
          <w:szCs w:val="21"/>
          <w:color w:val="auto"/>
        </w:rPr>
        <w:t xml:space="preserve">, prepaid expenses of </w:t>
      </w:r>
      <w:r>
        <w:rPr>
          <w:rFonts w:ascii="Arial" w:cs="Arial" w:eastAsia="Arial" w:hAnsi="Arial"/>
          <w:sz w:val="21"/>
          <w:szCs w:val="21"/>
          <w:color w:val="231F20"/>
        </w:rPr>
        <w:t>$0.8 million</w:t>
      </w:r>
      <w:r>
        <w:rPr>
          <w:rFonts w:ascii="Arial" w:cs="Arial" w:eastAsia="Arial" w:hAnsi="Arial"/>
          <w:sz w:val="21"/>
          <w:szCs w:val="21"/>
          <w:color w:val="auto"/>
        </w:rPr>
        <w:t xml:space="preserve">, deferred costs of </w:t>
      </w:r>
      <w:r>
        <w:rPr>
          <w:rFonts w:ascii="Arial" w:cs="Arial" w:eastAsia="Arial" w:hAnsi="Arial"/>
          <w:sz w:val="21"/>
          <w:szCs w:val="21"/>
          <w:color w:val="231F20"/>
        </w:rPr>
        <w:t>$1.0 million</w:t>
      </w:r>
      <w:r>
        <w:rPr>
          <w:rFonts w:ascii="Arial" w:cs="Arial" w:eastAsia="Arial" w:hAnsi="Arial"/>
          <w:sz w:val="21"/>
          <w:szCs w:val="21"/>
          <w:color w:val="auto"/>
        </w:rPr>
        <w:t xml:space="preserve"> and accrued expenses of </w:t>
      </w:r>
      <w:r>
        <w:rPr>
          <w:rFonts w:ascii="Arial" w:cs="Arial" w:eastAsia="Arial" w:hAnsi="Arial"/>
          <w:sz w:val="21"/>
          <w:szCs w:val="21"/>
          <w:color w:val="231F20"/>
        </w:rPr>
        <w:t>$0.6 million</w:t>
      </w:r>
      <w:r>
        <w:rPr>
          <w:rFonts w:ascii="Arial" w:cs="Arial" w:eastAsia="Arial" w:hAnsi="Arial"/>
          <w:sz w:val="21"/>
          <w:szCs w:val="21"/>
          <w:color w:val="auto"/>
        </w:rPr>
        <w:t>, offset by increases in accounts payable of $0.2 million and deferred revenue of $0.5 million.</w:t>
      </w:r>
    </w:p>
    <w:p>
      <w:pPr>
        <w:spacing w:after="0" w:line="18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In 2015, cash provided by operating activities from continuing operations was </w:t>
      </w:r>
      <w:r>
        <w:rPr>
          <w:rFonts w:ascii="Arial" w:cs="Arial" w:eastAsia="Arial" w:hAnsi="Arial"/>
          <w:sz w:val="21"/>
          <w:szCs w:val="21"/>
          <w:color w:val="231F20"/>
        </w:rPr>
        <w:t>$18.7 million</w:t>
      </w:r>
      <w:r>
        <w:rPr>
          <w:rFonts w:ascii="Arial" w:cs="Arial" w:eastAsia="Arial" w:hAnsi="Arial"/>
          <w:sz w:val="21"/>
          <w:szCs w:val="21"/>
          <w:color w:val="auto"/>
        </w:rPr>
        <w:t xml:space="preserve"> due to net loss of $6.7 million that includes $13.7 million net loss by discontinued operations, depreciation and amortization of $7.1 million, $3.5 million of stock-based compensation expenses, loss on disposal of property and equipment of $0.4 million, deferred taxes of $0.3 million and an increase in working capital of $0.4 million. Working capital consisted of a decrease in deferred costs of $2.9 million, an increase in accounts payable of $1.0 million and a decrease in accrued expenses and other liabilities of $2.5 million, and increases in prepaid expenses of $0.6 million and accounts receivable of $0.5 million.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231F20"/>
        </w:rPr>
        <w:t xml:space="preserve">As of December 31, 2017, we had an ongoing dispute and litigation with MCI Communications Services, Inc. d/b/a Verizon Business and Verizon Select Services, Inc. (collectively, “Verizon”), which is a carrier access billing (“CABS”) customer. Billings to Verizon were approximately $10.3 million and $9.6 million for the years ended </w:t>
      </w:r>
      <w:r>
        <w:rPr>
          <w:rFonts w:ascii="Arial" w:cs="Arial" w:eastAsia="Arial" w:hAnsi="Arial"/>
          <w:sz w:val="19"/>
          <w:szCs w:val="19"/>
          <w:color w:val="000000"/>
        </w:rPr>
        <w:t>December 31, 2016</w:t>
      </w:r>
      <w:r>
        <w:rPr>
          <w:rFonts w:ascii="Arial" w:cs="Arial" w:eastAsia="Arial" w:hAnsi="Arial"/>
          <w:sz w:val="19"/>
          <w:szCs w:val="19"/>
          <w:color w:val="231F20"/>
        </w:rPr>
        <w:t xml:space="preserve"> and </w:t>
      </w:r>
      <w:r>
        <w:rPr>
          <w:rFonts w:ascii="Arial" w:cs="Arial" w:eastAsia="Arial" w:hAnsi="Arial"/>
          <w:sz w:val="19"/>
          <w:szCs w:val="19"/>
          <w:color w:val="000000"/>
        </w:rPr>
        <w:t>2017</w:t>
      </w:r>
      <w:r>
        <w:rPr>
          <w:rFonts w:ascii="Arial" w:cs="Arial" w:eastAsia="Arial" w:hAnsi="Arial"/>
          <w:sz w:val="19"/>
          <w:szCs w:val="19"/>
          <w:color w:val="231F20"/>
        </w:rPr>
        <w:t xml:space="preserve">, </w:t>
      </w:r>
      <w:r>
        <w:rPr>
          <w:rFonts w:ascii="Arial" w:cs="Arial" w:eastAsia="Arial" w:hAnsi="Arial"/>
          <w:sz w:val="19"/>
          <w:szCs w:val="19"/>
          <w:color w:val="000000"/>
        </w:rPr>
        <w:t>respectively. We</w:t>
      </w:r>
      <w:r>
        <w:rPr>
          <w:rFonts w:ascii="Arial" w:cs="Arial" w:eastAsia="Arial" w:hAnsi="Arial"/>
          <w:sz w:val="19"/>
          <w:szCs w:val="19"/>
          <w:color w:val="231F20"/>
        </w:rPr>
        <w:t xml:space="preserve"> </w:t>
      </w:r>
      <w:r>
        <w:rPr>
          <w:rFonts w:ascii="Arial" w:cs="Arial" w:eastAsia="Arial" w:hAnsi="Arial"/>
          <w:sz w:val="19"/>
          <w:szCs w:val="19"/>
          <w:color w:val="000000"/>
        </w:rPr>
        <w:t>recognize revenue for this customer only to the extent to which payments have been made. These outstanding amounts represent disputed and unpaid billings and were fully reserved within our allowance for doubtful accounts. We had not recognized revenue related to the outstanding and disputed balances. Only if and when we reached an agreement with Verizon to settle the outstanding and disputed billings which resulted in a payment for any or all amounts outstanding, would we recognize any revenue. Recognition of revenue as a result of a settlement of disputed balances would result in an increase in cash flows from operating activities for the relevant period. On January 29, 2018, we entered into a settlement with Verizon (for further information see Note 17, "Subsequent Events," to the consolidated financial statements included elsewhere in this Annual Report on Form 10-K).</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Cash Flows from Investing Activities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In 2017, </w:t>
      </w:r>
      <w:r>
        <w:rPr>
          <w:rFonts w:ascii="Arial" w:cs="Arial" w:eastAsia="Arial" w:hAnsi="Arial"/>
          <w:sz w:val="22"/>
          <w:szCs w:val="22"/>
          <w:color w:val="231F20"/>
        </w:rPr>
        <w:t>cash used in investing activities from continuing operations was $8.0 million from the purchase of property, plant</w:t>
      </w:r>
      <w:r>
        <w:rPr>
          <w:rFonts w:ascii="Arial" w:cs="Arial" w:eastAsia="Arial" w:hAnsi="Arial"/>
          <w:sz w:val="22"/>
          <w:szCs w:val="22"/>
          <w:color w:val="auto"/>
        </w:rPr>
        <w:t xml:space="preserve"> </w:t>
      </w:r>
      <w:r>
        <w:rPr>
          <w:rFonts w:ascii="Arial" w:cs="Arial" w:eastAsia="Arial" w:hAnsi="Arial"/>
          <w:sz w:val="22"/>
          <w:szCs w:val="22"/>
          <w:color w:val="231F20"/>
        </w:rPr>
        <w:t>and equipment and capitalized internally developed software costs.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In 2016, </w:t>
      </w:r>
      <w:r>
        <w:rPr>
          <w:rFonts w:ascii="Arial" w:cs="Arial" w:eastAsia="Arial" w:hAnsi="Arial"/>
          <w:sz w:val="22"/>
          <w:szCs w:val="22"/>
          <w:color w:val="231F20"/>
        </w:rPr>
        <w:t>cash used in investing activities from continuing operations was $6.1 million used to purchase property, plant and</w:t>
      </w:r>
      <w:r>
        <w:rPr>
          <w:rFonts w:ascii="Arial" w:cs="Arial" w:eastAsia="Arial" w:hAnsi="Arial"/>
          <w:sz w:val="22"/>
          <w:szCs w:val="22"/>
          <w:color w:val="auto"/>
        </w:rPr>
        <w:t xml:space="preserve"> </w:t>
      </w:r>
      <w:r>
        <w:rPr>
          <w:rFonts w:ascii="Arial" w:cs="Arial" w:eastAsia="Arial" w:hAnsi="Arial"/>
          <w:sz w:val="22"/>
          <w:szCs w:val="22"/>
          <w:color w:val="231F20"/>
        </w:rPr>
        <w:t>equipment and capitalized internally developed software costs.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2015, cash used in investing activities from continuing operations was $5.1 million used to purchase property, plant and equipment and capitalized internally developed software costs.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Cash Flows from Financing Activities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In 2017, </w:t>
      </w:r>
      <w:r>
        <w:rPr>
          <w:rFonts w:ascii="Arial" w:cs="Arial" w:eastAsia="Arial" w:hAnsi="Arial"/>
          <w:sz w:val="21"/>
          <w:szCs w:val="21"/>
          <w:color w:val="231F20"/>
        </w:rPr>
        <w:t>cash provided by financing activities from continuing operations was $24.2 million consisting primarily of $69.0</w:t>
      </w:r>
      <w:r>
        <w:rPr>
          <w:rFonts w:ascii="Arial" w:cs="Arial" w:eastAsia="Arial" w:hAnsi="Arial"/>
          <w:sz w:val="21"/>
          <w:szCs w:val="21"/>
          <w:color w:val="auto"/>
        </w:rPr>
        <w:t xml:space="preserve"> </w:t>
      </w:r>
      <w:r>
        <w:rPr>
          <w:rFonts w:ascii="Arial" w:cs="Arial" w:eastAsia="Arial" w:hAnsi="Arial"/>
          <w:sz w:val="21"/>
          <w:szCs w:val="21"/>
          <w:color w:val="231F20"/>
        </w:rPr>
        <w:t>million from the net proceeds from the initial public offering, $0.2 million in proceeds from the issuances of common stock as a result of options exercised, and $0.1 million in proceeds from exercise of warrants, offset by net repayments of $5.0 million on our line of credit, $0.1 million in payments on capital leases, $40.0 million in payments on our term loan.</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231F20"/>
        </w:rPr>
        <w:t xml:space="preserve">In </w:t>
      </w:r>
      <w:r>
        <w:rPr>
          <w:rFonts w:ascii="Arial" w:cs="Arial" w:eastAsia="Arial" w:hAnsi="Arial"/>
          <w:sz w:val="22"/>
          <w:szCs w:val="22"/>
          <w:color w:val="000000"/>
        </w:rPr>
        <w:t>2016</w:t>
      </w:r>
      <w:r>
        <w:rPr>
          <w:rFonts w:ascii="Arial" w:cs="Arial" w:eastAsia="Arial" w:hAnsi="Arial"/>
          <w:sz w:val="22"/>
          <w:szCs w:val="22"/>
          <w:color w:val="231F20"/>
        </w:rPr>
        <w:t>, cash used in financing activities from continuing operations was $1.1 million consisting primarily of $30.0 million in cash distributions to Republic Wireless, $0.6 million in payments of debt issuance costs, net repayments of $12.0 million on our line of credit, $0.1 million in payments on capital leases, offset by $40.0 million of borrowing on our term loan, $1.0 million in proceeds from the issuances of common stock as a result of options exercised, and $0.2 million in proceeds from exercise of warrants.</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2015, cash provided by financing activities from continuing operations was $11.0 million due to the net $11.0 million in borrowings under our line of credit.</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Debt</w:t>
      </w:r>
    </w:p>
    <w:p>
      <w:pPr>
        <w:spacing w:after="0" w:line="1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On November 4, 2016, we entered into a Credit and Security Agreement with a syndicate of four banks. The agreement includes a $40.0 million term loan and a $25.0 million revolving loan, which includes a swing line of up to $1.0 million and limits letters of credit commitments to a maximum of $2.5 million. Substantially all of our assets are pledged as security to the Credit and Security Agreement. The term of the Credit and Security Agreement is five years and matures on November 3, 2021. The interest rate used for the debt is based on our election to either apply the Federal Funds Effective Rate or LIBOR plus a stated margin, as defined in the Credit and Security Agreement. This agreement requires us to meet a certain leverage ratio and minimum debt service coverage ratio each quarter on a trailing 12-month basis.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On November 14, 2017, we paid in full the term loan with proceeds from our initial public offering. The revolving loan was paid in full on August 31, 2017. There is no loan balance outstanding as of December 31, 2017. We were in compliance with all financial covenants as of December 31, 2017. The availability under the Credit and Security Agreement was </w:t>
      </w:r>
      <w:r>
        <w:rPr>
          <w:rFonts w:ascii="Arial" w:cs="Arial" w:eastAsia="Arial" w:hAnsi="Arial"/>
          <w:sz w:val="22"/>
          <w:szCs w:val="22"/>
          <w:color w:val="231F20"/>
        </w:rPr>
        <w:t>$25.0 million</w:t>
      </w:r>
      <w:r>
        <w:rPr>
          <w:rFonts w:ascii="Arial" w:cs="Arial" w:eastAsia="Arial" w:hAnsi="Arial"/>
          <w:sz w:val="22"/>
          <w:szCs w:val="22"/>
          <w:color w:val="auto"/>
        </w:rPr>
        <w:t xml:space="preserve"> as of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Contractual Obligations and Other Commitments</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our noncancellable contractual obligations as of December 31, 2017:</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Less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Than 1</w:t>
            </w: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1 to 2</w:t>
            </w: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3 to 5</w:t>
            </w:r>
          </w:p>
        </w:tc>
        <w:tc>
          <w:tcPr>
            <w:tcW w:w="320" w:type="dxa"/>
            <w:vAlign w:val="bottom"/>
          </w:tcPr>
          <w:p>
            <w:pPr>
              <w:spacing w:after="0"/>
              <w:rPr>
                <w:sz w:val="18"/>
                <w:szCs w:val="18"/>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than 5</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320" w:type="dxa"/>
            <w:vAlign w:val="bottom"/>
          </w:tcPr>
          <w:p>
            <w:pPr>
              <w:spacing w:after="0"/>
              <w:rPr>
                <w:sz w:val="20"/>
                <w:szCs w:val="20"/>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17,060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7,538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740" w:hanging="24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Operating leases represent total future minimum rent payments under non-cancellable operating lease agreements.</w:t>
      </w:r>
    </w:p>
    <w:p>
      <w:pPr>
        <w:spacing w:after="0" w:line="7" w:lineRule="exact"/>
        <w:rPr>
          <w:rFonts w:ascii="Arial" w:cs="Arial" w:eastAsia="Arial" w:hAnsi="Arial"/>
          <w:sz w:val="18"/>
          <w:szCs w:val="18"/>
          <w:color w:val="auto"/>
        </w:rPr>
      </w:pPr>
    </w:p>
    <w:p>
      <w:pPr>
        <w:ind w:left="740" w:hanging="246"/>
        <w:spacing w:after="0" w:line="261" w:lineRule="auto"/>
        <w:tabs>
          <w:tab w:leader="none" w:pos="792"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Purchase obligations represent total future minimum payments under contracts to various service providers. Purchase obligations exclude agreements that are cancellable without penalty.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Off-Balance Sheet Arrangements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We have not entered into any off-balance sheet arrangements and do not have any holdings in variable interest entities.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Critical Accounting Policies and Significant Judgments and Estimates</w:t>
      </w:r>
    </w:p>
    <w:p>
      <w:pPr>
        <w:spacing w:after="0" w:line="2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Our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We believe the accounting policies discussed below are critical to the process of making significant judgments and estimates in the preparation of our financial statements, and to understanding our historical and future performance.</w:t>
      </w:r>
    </w:p>
    <w:p>
      <w:pPr>
        <w:spacing w:after="0" w:line="200" w:lineRule="exact"/>
        <w:rPr>
          <w:sz w:val="20"/>
          <w:szCs w:val="20"/>
          <w:color w:val="auto"/>
        </w:rPr>
      </w:pPr>
    </w:p>
    <w:p>
      <w:pPr>
        <w:spacing w:after="0" w:line="30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Revenue Recognition and Deferred Revenue</w:t>
      </w:r>
    </w:p>
    <w:p>
      <w:pPr>
        <w:spacing w:after="0" w:line="11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generate revenue primarily from the sale of communication services to enterprise customers. We recognize revenue when all of the following criteria are met (i) persuasive evidence of an arrangement exists; (ii) delivery has occurred; (iii) the fee is fixed or determinable; and (iv) collection is reasonably assured. If collection is not reasonably assured, we defer revenue recognition until collectability becomes reasonably assured. Our arrangements do not contain general rights of return. We generally enter into arrangements with customers that are typically 2 to 3 years in length. Incremental direct costs incurred related to the acquisition of a customer contract are expensed as incurred.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368"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Stock-Based Compensation</w:t>
      </w:r>
    </w:p>
    <w:p>
      <w:pPr>
        <w:spacing w:after="0" w:line="1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Stock options awarded to employees, directors and non-employee third parties are measured at fair value on each grant date. Options subject to service-based vesting generally vest annually over a four-year period. The determination of the fair value of stock-based compensation arrangements on the grant date requires judgment. We recognize stock-based compensation expense using the Black-Scholes option-pricing model, net of estimated forfeitures, in order to determine the fair value of stock options, the output of which is affected by a number of variables. These variables include the fair value of our common stock, expected term of the options, expected stock price volatility, risk-free interest rate and expected dividends, which are estimated as follows:</w:t>
      </w:r>
    </w:p>
    <w:p>
      <w:pPr>
        <w:spacing w:after="0" w:line="190" w:lineRule="exact"/>
        <w:rPr>
          <w:sz w:val="20"/>
          <w:szCs w:val="20"/>
          <w:color w:val="auto"/>
        </w:rPr>
      </w:pPr>
    </w:p>
    <w:p>
      <w:pPr>
        <w:jc w:val="both"/>
        <w:ind w:left="540" w:hanging="316"/>
        <w:spacing w:after="0" w:line="248" w:lineRule="auto"/>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Fair value of our common stock. </w:t>
      </w:r>
      <w:r>
        <w:rPr>
          <w:rFonts w:ascii="Arial" w:cs="Arial" w:eastAsia="Arial" w:hAnsi="Arial"/>
          <w:sz w:val="22"/>
          <w:szCs w:val="22"/>
          <w:color w:val="auto"/>
        </w:rPr>
        <w:t>The fair value of the shares of our common stock underlying stock options had historically</w:t>
      </w:r>
      <w:r>
        <w:rPr>
          <w:rFonts w:ascii="Arial" w:cs="Arial" w:eastAsia="Arial" w:hAnsi="Arial"/>
          <w:sz w:val="22"/>
          <w:szCs w:val="22"/>
          <w:i w:val="1"/>
          <w:iCs w:val="1"/>
          <w:color w:val="auto"/>
        </w:rPr>
        <w:t xml:space="preserve"> </w:t>
      </w:r>
      <w:r>
        <w:rPr>
          <w:rFonts w:ascii="Arial" w:cs="Arial" w:eastAsia="Arial" w:hAnsi="Arial"/>
          <w:sz w:val="22"/>
          <w:szCs w:val="22"/>
          <w:color w:val="auto"/>
        </w:rPr>
        <w:t>been established by our board of directors with the assistance of an independent third-party valuation firm. Because there had been no public market for our common stock, our board of directors had relied on this independent valuation and other factors to establish the fair value of our common stock at the time of grant of the option. The determination of the fair value of our common stock is discussed further below.</w:t>
      </w:r>
    </w:p>
    <w:p>
      <w:pPr>
        <w:spacing w:after="0" w:line="30" w:lineRule="exact"/>
        <w:rPr>
          <w:rFonts w:ascii="Arial" w:cs="Arial" w:eastAsia="Arial" w:hAnsi="Arial"/>
          <w:sz w:val="22"/>
          <w:szCs w:val="22"/>
          <w:color w:val="auto"/>
        </w:rPr>
      </w:pPr>
    </w:p>
    <w:p>
      <w:pPr>
        <w:ind w:left="540" w:hanging="316"/>
        <w:spacing w:after="0" w:line="263" w:lineRule="auto"/>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Expected term. </w:t>
      </w:r>
      <w:r>
        <w:rPr>
          <w:rFonts w:ascii="Arial" w:cs="Arial" w:eastAsia="Arial" w:hAnsi="Arial"/>
          <w:sz w:val="22"/>
          <w:szCs w:val="22"/>
          <w:color w:val="auto"/>
        </w:rPr>
        <w:t>The expected term was estimated using the simplified method allowed under SEC guidance as we do not</w:t>
      </w:r>
      <w:r>
        <w:rPr>
          <w:rFonts w:ascii="Arial" w:cs="Arial" w:eastAsia="Arial" w:hAnsi="Arial"/>
          <w:sz w:val="22"/>
          <w:szCs w:val="22"/>
          <w:i w:val="1"/>
          <w:iCs w:val="1"/>
          <w:color w:val="auto"/>
        </w:rPr>
        <w:t xml:space="preserve"> </w:t>
      </w:r>
      <w:r>
        <w:rPr>
          <w:rFonts w:ascii="Arial" w:cs="Arial" w:eastAsia="Arial" w:hAnsi="Arial"/>
          <w:sz w:val="22"/>
          <w:szCs w:val="22"/>
          <w:color w:val="auto"/>
        </w:rPr>
        <w:t>have sufficient historical data to use any other method to estimate the expected term.</w:t>
      </w:r>
    </w:p>
    <w:p>
      <w:pPr>
        <w:spacing w:after="0" w:line="12" w:lineRule="exact"/>
        <w:rPr>
          <w:rFonts w:ascii="Arial" w:cs="Arial" w:eastAsia="Arial" w:hAnsi="Arial"/>
          <w:sz w:val="22"/>
          <w:szCs w:val="22"/>
          <w:color w:val="auto"/>
        </w:rPr>
      </w:pPr>
    </w:p>
    <w:p>
      <w:pPr>
        <w:jc w:val="both"/>
        <w:ind w:left="540" w:hanging="316"/>
        <w:spacing w:after="0" w:line="250" w:lineRule="auto"/>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Expected volatility. </w:t>
      </w:r>
      <w:r>
        <w:rPr>
          <w:rFonts w:ascii="Arial" w:cs="Arial" w:eastAsia="Arial" w:hAnsi="Arial"/>
          <w:sz w:val="22"/>
          <w:szCs w:val="22"/>
          <w:color w:val="auto"/>
        </w:rPr>
        <w:t>The expected volatility is derived from an average of the historical volatilities of the common stock of</w:t>
      </w:r>
      <w:r>
        <w:rPr>
          <w:rFonts w:ascii="Arial" w:cs="Arial" w:eastAsia="Arial" w:hAnsi="Arial"/>
          <w:sz w:val="22"/>
          <w:szCs w:val="22"/>
          <w:i w:val="1"/>
          <w:iCs w:val="1"/>
          <w:color w:val="auto"/>
        </w:rPr>
        <w:t xml:space="preserve"> </w:t>
      </w:r>
      <w:r>
        <w:rPr>
          <w:rFonts w:ascii="Arial" w:cs="Arial" w:eastAsia="Arial" w:hAnsi="Arial"/>
          <w:sz w:val="22"/>
          <w:szCs w:val="22"/>
          <w:color w:val="auto"/>
        </w:rPr>
        <w:t>several entities with characteristics similar to ours, such as the size, and operational and economic similarities to our principle business operations. We use this method because we have limited information on the volatility of our common stock.</w:t>
      </w:r>
    </w:p>
    <w:p>
      <w:pPr>
        <w:spacing w:after="0" w:line="26" w:lineRule="exact"/>
        <w:rPr>
          <w:rFonts w:ascii="Arial" w:cs="Arial" w:eastAsia="Arial" w:hAnsi="Arial"/>
          <w:sz w:val="22"/>
          <w:szCs w:val="22"/>
          <w:color w:val="auto"/>
        </w:rPr>
      </w:pPr>
    </w:p>
    <w:p>
      <w:pPr>
        <w:ind w:left="540" w:right="20" w:hanging="316"/>
        <w:spacing w:after="0" w:line="263" w:lineRule="auto"/>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Risk-free interest rate. </w:t>
      </w:r>
      <w:r>
        <w:rPr>
          <w:rFonts w:ascii="Arial" w:cs="Arial" w:eastAsia="Arial" w:hAnsi="Arial"/>
          <w:sz w:val="22"/>
          <w:szCs w:val="22"/>
          <w:color w:val="auto"/>
        </w:rPr>
        <w:t>The risk-free interest rate is based on the yields of U.S. Treasury securities with maturities similar to</w:t>
      </w:r>
      <w:r>
        <w:rPr>
          <w:rFonts w:ascii="Arial" w:cs="Arial" w:eastAsia="Arial" w:hAnsi="Arial"/>
          <w:sz w:val="22"/>
          <w:szCs w:val="22"/>
          <w:i w:val="1"/>
          <w:iCs w:val="1"/>
          <w:color w:val="auto"/>
        </w:rPr>
        <w:t xml:space="preserve"> </w:t>
      </w:r>
      <w:r>
        <w:rPr>
          <w:rFonts w:ascii="Arial" w:cs="Arial" w:eastAsia="Arial" w:hAnsi="Arial"/>
          <w:sz w:val="22"/>
          <w:szCs w:val="22"/>
          <w:color w:val="auto"/>
        </w:rPr>
        <w:t>the expected term of the options for each option group.</w:t>
      </w:r>
    </w:p>
    <w:p>
      <w:pPr>
        <w:spacing w:after="0" w:line="12" w:lineRule="exact"/>
        <w:rPr>
          <w:rFonts w:ascii="Arial" w:cs="Arial" w:eastAsia="Arial" w:hAnsi="Arial"/>
          <w:sz w:val="22"/>
          <w:szCs w:val="22"/>
          <w:color w:val="auto"/>
        </w:rPr>
      </w:pPr>
    </w:p>
    <w:p>
      <w:pPr>
        <w:ind w:left="540" w:hanging="316"/>
        <w:spacing w:after="0" w:line="263" w:lineRule="auto"/>
        <w:tabs>
          <w:tab w:leader="none" w:pos="540"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Expected dividends. </w:t>
      </w:r>
      <w:r>
        <w:rPr>
          <w:rFonts w:ascii="Arial" w:cs="Arial" w:eastAsia="Arial" w:hAnsi="Arial"/>
          <w:sz w:val="22"/>
          <w:szCs w:val="22"/>
          <w:color w:val="auto"/>
        </w:rPr>
        <w:t>The expected dividend is assumed to be zero as we have never paid dividends and have no current plans</w:t>
      </w:r>
      <w:r>
        <w:rPr>
          <w:rFonts w:ascii="Arial" w:cs="Arial" w:eastAsia="Arial" w:hAnsi="Arial"/>
          <w:sz w:val="22"/>
          <w:szCs w:val="22"/>
          <w:i w:val="1"/>
          <w:iCs w:val="1"/>
          <w:color w:val="auto"/>
        </w:rPr>
        <w:t xml:space="preserve"> </w:t>
      </w:r>
      <w:r>
        <w:rPr>
          <w:rFonts w:ascii="Arial" w:cs="Arial" w:eastAsia="Arial" w:hAnsi="Arial"/>
          <w:sz w:val="22"/>
          <w:szCs w:val="22"/>
          <w:color w:val="auto"/>
        </w:rPr>
        <w:t>to pay any dividends on our common stock.</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addition to the assumptions used in the Black-Scholes option-pricing model, we must also determine a forfeiture rate to calculate the stock-based compensation for awards. Through December 31, 2017, we recognized compensation for only the portion of options expected to vest using an estimated forfeiture rate that was derived from historical employee termination behavior.</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Determination of the Fair Value of Common Stock</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Prior to our initial public offering, we had periodically determined for financial reporting purposes the estimated per share fair value of our common stock at various dates using contemporaneous valuations performed in accordance with the guidance outlined in the American Institute of Certified Public Accountants Practice Aid, “Valuation of Privately-Held Company Equity Securities Issued as Compensation.” In conducting the contemporaneous valuations, we considered all objective and subjective factors that we believed to be relevant for each valuation conducted, including the following:</w:t>
      </w:r>
    </w:p>
    <w:p>
      <w:pPr>
        <w:spacing w:after="0" w:line="216"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contemporaneous unrelated third-party valuations of our common stock;</w:t>
      </w:r>
    </w:p>
    <w:p>
      <w:pPr>
        <w:spacing w:after="0" w:line="57" w:lineRule="exact"/>
        <w:rPr>
          <w:rFonts w:ascii="Arial" w:cs="Arial" w:eastAsia="Arial" w:hAnsi="Arial"/>
          <w:sz w:val="22"/>
          <w:szCs w:val="22"/>
          <w:color w:val="auto"/>
        </w:rPr>
      </w:pPr>
    </w:p>
    <w:p>
      <w:pPr>
        <w:ind w:left="540" w:hanging="316"/>
        <w:spacing w:after="0"/>
        <w:tabs>
          <w:tab w:leader="none" w:pos="5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rights, preferences and privileges of our redeemable convertible preferred stock relative to those of our common stock;</w:t>
      </w:r>
    </w:p>
    <w:p>
      <w:pPr>
        <w:spacing w:after="0" w:line="92" w:lineRule="exact"/>
        <w:rPr>
          <w:rFonts w:ascii="Arial" w:cs="Arial" w:eastAsia="Arial" w:hAnsi="Arial"/>
          <w:sz w:val="19"/>
          <w:szCs w:val="19"/>
          <w:color w:val="auto"/>
        </w:rPr>
      </w:pPr>
    </w:p>
    <w:p>
      <w:pPr>
        <w:ind w:left="540" w:hanging="316"/>
        <w:spacing w:after="0"/>
        <w:tabs>
          <w:tab w:leader="none" w:pos="5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our results of operations, financial position and capital resources;</w:t>
      </w:r>
    </w:p>
    <w:p>
      <w:pPr>
        <w:spacing w:after="0" w:line="57" w:lineRule="exact"/>
        <w:rPr>
          <w:rFonts w:ascii="Arial" w:cs="Arial" w:eastAsia="Arial" w:hAnsi="Arial"/>
          <w:sz w:val="22"/>
          <w:szCs w:val="22"/>
          <w:color w:val="auto"/>
        </w:rPr>
      </w:pPr>
    </w:p>
    <w:p>
      <w:pPr>
        <w:ind w:left="540" w:hanging="316"/>
        <w:spacing w:after="0"/>
        <w:tabs>
          <w:tab w:leader="none" w:pos="5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current business conditions and projections;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4"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lack of marketability of our common stock;</w:t>
      </w:r>
    </w:p>
    <w:p>
      <w:pPr>
        <w:spacing w:after="0" w:line="57" w:lineRule="exact"/>
        <w:rPr>
          <w:rFonts w:ascii="Arial" w:cs="Arial" w:eastAsia="Arial" w:hAnsi="Arial"/>
          <w:sz w:val="22"/>
          <w:szCs w:val="22"/>
          <w:color w:val="auto"/>
        </w:rPr>
      </w:pPr>
    </w:p>
    <w:p>
      <w:pPr>
        <w:ind w:left="540" w:hanging="316"/>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hiring of key personnel and the experience of our management;</w:t>
      </w:r>
    </w:p>
    <w:p>
      <w:pPr>
        <w:spacing w:after="0" w:line="57" w:lineRule="exact"/>
        <w:rPr>
          <w:rFonts w:ascii="Arial" w:cs="Arial" w:eastAsia="Arial" w:hAnsi="Arial"/>
          <w:sz w:val="22"/>
          <w:szCs w:val="22"/>
          <w:color w:val="auto"/>
        </w:rPr>
      </w:pPr>
    </w:p>
    <w:p>
      <w:pPr>
        <w:ind w:left="540" w:hanging="316"/>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introduction of new products;</w:t>
      </w:r>
    </w:p>
    <w:p>
      <w:pPr>
        <w:spacing w:after="0" w:line="57" w:lineRule="exact"/>
        <w:rPr>
          <w:rFonts w:ascii="Arial" w:cs="Arial" w:eastAsia="Arial" w:hAnsi="Arial"/>
          <w:sz w:val="22"/>
          <w:szCs w:val="22"/>
          <w:color w:val="auto"/>
        </w:rPr>
      </w:pPr>
    </w:p>
    <w:p>
      <w:pPr>
        <w:ind w:left="540" w:hanging="316"/>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risk inherent in the development and expansion of our products;</w:t>
      </w:r>
    </w:p>
    <w:p>
      <w:pPr>
        <w:spacing w:after="0" w:line="57" w:lineRule="exact"/>
        <w:rPr>
          <w:rFonts w:ascii="Arial" w:cs="Arial" w:eastAsia="Arial" w:hAnsi="Arial"/>
          <w:sz w:val="22"/>
          <w:szCs w:val="22"/>
          <w:color w:val="auto"/>
        </w:rPr>
      </w:pPr>
    </w:p>
    <w:p>
      <w:pPr>
        <w:ind w:left="540" w:hanging="316"/>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fact that the option grants involve illiquid securities in a private company;</w:t>
      </w:r>
    </w:p>
    <w:p>
      <w:pPr>
        <w:spacing w:after="0" w:line="57" w:lineRule="exact"/>
        <w:rPr>
          <w:rFonts w:ascii="Arial" w:cs="Arial" w:eastAsia="Arial" w:hAnsi="Arial"/>
          <w:sz w:val="22"/>
          <w:szCs w:val="22"/>
          <w:color w:val="auto"/>
        </w:rPr>
      </w:pPr>
    </w:p>
    <w:p>
      <w:pPr>
        <w:ind w:left="540" w:hanging="316"/>
        <w:spacing w:after="0" w:line="263" w:lineRule="auto"/>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likelihood of achieving a liquidity event, such as an initial public offering or a sale of our company, given the prevailing market conditions;</w:t>
      </w:r>
    </w:p>
    <w:p>
      <w:pPr>
        <w:spacing w:after="0" w:line="12" w:lineRule="exact"/>
        <w:rPr>
          <w:rFonts w:ascii="Arial" w:cs="Arial" w:eastAsia="Arial" w:hAnsi="Arial"/>
          <w:sz w:val="22"/>
          <w:szCs w:val="22"/>
          <w:color w:val="auto"/>
        </w:rPr>
      </w:pPr>
    </w:p>
    <w:p>
      <w:pPr>
        <w:ind w:left="540" w:hanging="316"/>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industry trends and competitive environment; and</w:t>
      </w:r>
    </w:p>
    <w:p>
      <w:pPr>
        <w:spacing w:after="0" w:line="57" w:lineRule="exact"/>
        <w:rPr>
          <w:rFonts w:ascii="Arial" w:cs="Arial" w:eastAsia="Arial" w:hAnsi="Arial"/>
          <w:sz w:val="22"/>
          <w:szCs w:val="22"/>
          <w:color w:val="auto"/>
        </w:rPr>
      </w:pPr>
    </w:p>
    <w:p>
      <w:pPr>
        <w:ind w:left="540" w:hanging="316"/>
        <w:spacing w:after="0"/>
        <w:tabs>
          <w:tab w:leader="none" w:pos="5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overall economic indicators, including gross domestic product, employment, inflation and interest rates.</w:t>
      </w:r>
    </w:p>
    <w:p>
      <w:pPr>
        <w:spacing w:after="0" w:line="1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valuing our common stock, we had historically determined the equity value of our Company using both the income and the market approach valuation methods:</w:t>
      </w:r>
    </w:p>
    <w:p>
      <w:pPr>
        <w:spacing w:after="0" w:line="200" w:lineRule="exact"/>
        <w:rPr>
          <w:sz w:val="20"/>
          <w:szCs w:val="20"/>
          <w:color w:val="auto"/>
        </w:rPr>
      </w:pPr>
    </w:p>
    <w:p>
      <w:pPr>
        <w:spacing w:after="0" w:line="231" w:lineRule="exact"/>
        <w:rPr>
          <w:sz w:val="20"/>
          <w:szCs w:val="20"/>
          <w:color w:val="auto"/>
        </w:rPr>
      </w:pPr>
    </w:p>
    <w:p>
      <w:pPr>
        <w:jc w:val="both"/>
        <w:ind w:left="540" w:hanging="316"/>
        <w:spacing w:after="0" w:line="250" w:lineRule="auto"/>
        <w:tabs>
          <w:tab w:leader="none" w:pos="5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as of each valuation date and is adjusted to reflect the risks inherent in our cash flows.</w:t>
      </w:r>
    </w:p>
    <w:p>
      <w:pPr>
        <w:spacing w:after="0" w:line="26" w:lineRule="exact"/>
        <w:rPr>
          <w:rFonts w:ascii="Arial" w:cs="Arial" w:eastAsia="Arial" w:hAnsi="Arial"/>
          <w:sz w:val="22"/>
          <w:szCs w:val="22"/>
          <w:color w:val="auto"/>
        </w:rPr>
      </w:pPr>
    </w:p>
    <w:p>
      <w:pPr>
        <w:jc w:val="both"/>
        <w:ind w:left="540" w:hanging="316"/>
        <w:spacing w:after="0" w:line="263" w:lineRule="auto"/>
        <w:tabs>
          <w:tab w:leader="none" w:pos="5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market approach estimates value based on a comparison of the subject company to comparable public companies in a similar line of business. From the comparable companies, a representative market value multiple is determined and then applied to the subject. The estimated value for our common stock is then discounted by a non-marketability factor (discount for lack of marketability) due to the fact that stockholders of private companies do not have access to trading markets similar to those enjoyed by stockholders of public companies, which affects liquidity.</w:t>
      </w:r>
    </w:p>
    <w:p>
      <w:pPr>
        <w:spacing w:after="0" w:line="23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As a result of the determination to pursue strategic financing through an initial public offering, in June 2017, we began using the Probability-Weighted Expected Return Method (“PWERM”) in order to estimate the value of our common stock based on various outcomes. Using the PWERM, the value of our common stock was estimated based upon a probability-weighted analysis of varying values for our common stock assuming possible future events for the company, including an initial public offering and a stay private company scenario in which operations continued as a privately held company. Application of this approach involved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dates of our contemporaneous valuations have not always coincided with the dates of our stock-based compensation grants. In such instances, management’s estimates have been based on the most recent contemporaneous valuation of our shares of common stock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our operating and financial performance, current business conditions and the market performance of comparable publicly traded companies.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Following our initial public offering, it was no longer necessary to determine the fair value of our Class A common stock using these valuation techniques as shares of our Class A common stock are traded on the the NASDAQ Global Select Market.</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Goodwill and Intangible Assets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Goodwill</w:t>
      </w:r>
    </w:p>
    <w:p>
      <w:pPr>
        <w:spacing w:after="0" w:line="1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2015, 2016 and 2017 and no impairment charges were recorded. As of December 31, 2017 goodwill was $6.9 million.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Long-Lived Assets</w:t>
      </w:r>
    </w:p>
    <w:p>
      <w:pPr>
        <w:spacing w:after="0" w:line="11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Long-lived assets, including intangible assets with definite lives, are amortized over their estimated useful lives and are reviewed for impairment if indicators of impairment arise.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December 31, 2017, intangible assets, net of accumulated amortization, were $7.6 million, which consists primarily of client relationships and client contracts. As part of our annual evaluation of intangibles, we re-evaluated our marketing and trade name assets and concluded that there was no further benefit to a trade name acquired in the Dash acquisition. As a result, we impaired the intangible asset and recognized a loss of $0.7 million in 2016. No indicators of impairment were identified for the years ended December 31, 2015 and 2017.</w:t>
      </w:r>
    </w:p>
    <w:p>
      <w:pPr>
        <w:spacing w:after="0" w:line="288"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Internal-Use Software Development Costs</w:t>
      </w:r>
    </w:p>
    <w:p>
      <w:pPr>
        <w:spacing w:after="0" w:line="1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 for maintenance and minor upgrades and enhancements. Costs related to preliminary project activities and post-implementation operating activities are expensed as incurred.</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Capitalized costs of platform and other software applications are included in property and equipment. These costs are amortized over the estimated useful life of the software on a straight-line basis over three years, which is recorded in cost of revenue in the statement of operations. We evaluate the useful life of these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assets on an annual basis and test for impairment whenever events or changes in circumstances occur that could impact the recoverability of these assets.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Income Taxes</w:t>
      </w:r>
    </w:p>
    <w:p>
      <w:pPr>
        <w:spacing w:after="0" w:line="1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3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We reduce the measurement of a deferred tax asset, if necessary, by a valuation allowance if it is more likely than not that we will not realize some or all the deferred tax asset. Quarterly, we review the deferred tax assets for recoverability based on historical taxable income, projected future taxable income, the expected timing of the reversals of existing temporary differences, the implementation of prudent and feasible tax planning strategies, and results of recent operations. The evaluation of the recoverability of deferred tax assets requires judgment in assessing future profitability. Should there be a change in the ability to recover deferred tax assets, our income tax provision would increase or decrease in the period in which the assessment is changed.</w:t>
      </w:r>
    </w:p>
    <w:p>
      <w:pPr>
        <w:spacing w:after="0" w:line="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30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Other Contingencies</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We conduct operations in many tax jurisdictions throughout the United States. In many of these jurisdictions, non-income-based taxes and fees, such as sales and use taxes, telecommunications taxes, and regulatory fees including those associated with (or potentially associated with) VoIP telephony services or 911 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$4.6 million, $2.8 million and $3.0 million as of December 31, 2015, 2016 and 2017, respectively. These estimates are based on several key assumptions, including the taxability of our services, the jurisdictions in which we believe we have nexus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and the sourcing of revenue to those jurisdictions. In the event these jurisdictions challenge our assumptions and analysis, our actual exposure could differ materially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Guidance</w:t>
      </w:r>
    </w:p>
    <w:p>
      <w:pPr>
        <w:spacing w:after="0" w:line="25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See Note 2, "Summary of Significant Accounting Policies," to the consolidated financial statements included elsewhere in this Annual Report on Form 10-K, for a summary of recent accounting pronouncements not yet adopted.</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 Accounting Election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are an “emerging growth company,” as defined in the Jumpstart Our Business Startups Act of 2012 (the “JOBS Act”).</w:t>
      </w:r>
    </w:p>
    <w:p>
      <w:pPr>
        <w:spacing w:after="0" w:line="2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use the extended transition period for complying with new or revised accounting standards under Section 102(b)(1) of the JOBS Act. This election allows us to delay the adoption of new or revised accounting standards that have different effective dates for public and private companies until those standards apply to private companies. As a result of this election, our financial statements may not be comparable to companies that comply with public company effective dates.</w:t>
      </w:r>
    </w:p>
    <w:p>
      <w:pPr>
        <w:spacing w:after="0" w:line="22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also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for so long as we are an “emerging growth company.”</w:t>
      </w:r>
    </w:p>
    <w:p>
      <w:pPr>
        <w:spacing w:after="0" w:line="20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will remain an emerging growth company until the earlier of (1) December 31, 2022 (the last day of the fiscal year following the fifth anniversary of our initial public offering), (2) the last day of the fiscal year in which we have total annual gross revenue of at least $1.07 billion, (3) the last day of the fiscal year in which we are deemed to be a “large accelerated filer,” as defined in the Exchange Act, and (4) the date on which we have issued more than $1.0 billion in nonconvertible debt during the prior three-year period. Any reference herein to “emerging growth company” has the meaning ascribed to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7A.Quantitative and Qualitative Disclosures about Market Risk</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primary exposure to market risk relates to interest rate changes. We had cash and cash equivalents totaling $37.6 million as of December 31, 2017, which were held for working capital purposes. Our cash and cash equivalents are comprised primarily of interest bearing checking accounts and money market accounts.</w:t>
      </w:r>
    </w:p>
    <w:p>
      <w:pPr>
        <w:spacing w:after="0" w:line="2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Our debt is comprised of a revolving line of credit account, which had no amount outstanding as of December 31, 2017. The revolving line of credit has an interest rate based on the 1-month LIBOR rate plus 225 basis points as of December 31, 2017. A one-eighth percentage point increase or decrease in the applicable rate for our credit facility (assuming the revolving portion of the credit facility is fully drawn) would have an annual impact of less than $0.1 million on cash interest expense.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Foreign Currency Risk</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customers consume our services primarily in the United States. Our revenue and expenses are denominated in U.S.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dollars and as a result we have no foreign currency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Inflation</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BANDWIDTH INC.</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6"/>
        </w:trPr>
        <w:tc>
          <w:tcPr>
            <w:tcW w:w="5380" w:type="dxa"/>
            <w:vAlign w:val="bottom"/>
            <w:tcBorders>
              <w:bottom w:val="single" w:sz="8" w:color="0000EE"/>
            </w:tcBorders>
            <w:gridSpan w:val="5"/>
          </w:tcPr>
          <w:p>
            <w:pPr>
              <w:spacing w:after="0" w:line="170" w:lineRule="exact"/>
              <w:rPr>
                <w:sz w:val="20"/>
                <w:szCs w:val="20"/>
                <w:color w:val="auto"/>
              </w:rPr>
            </w:pPr>
            <w:r>
              <w:rPr>
                <w:rFonts w:ascii="Arial" w:cs="Arial" w:eastAsia="Arial" w:hAnsi="Arial"/>
                <w:sz w:val="18"/>
                <w:szCs w:val="18"/>
                <w:color w:val="0000EE"/>
              </w:rPr>
              <w:t>Report of Independent Registered Public Accounting Firm</w:t>
            </w:r>
          </w:p>
        </w:tc>
        <w:tc>
          <w:tcPr>
            <w:tcW w:w="49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0000EE"/>
            </w:tcBorders>
          </w:tcPr>
          <w:p>
            <w:pPr>
              <w:jc w:val="center"/>
              <w:spacing w:after="0" w:line="170"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81</w:t>
              </w:r>
            </w:hyperlink>
          </w:p>
        </w:tc>
        <w:tc>
          <w:tcPr>
            <w:tcW w:w="360" w:type="dxa"/>
            <w:vAlign w:val="bottom"/>
          </w:tcPr>
          <w:p>
            <w:pPr>
              <w:spacing w:after="0"/>
              <w:rPr>
                <w:sz w:val="17"/>
                <w:szCs w:val="17"/>
                <w:color w:val="auto"/>
              </w:rPr>
            </w:pPr>
          </w:p>
        </w:tc>
      </w:tr>
      <w:tr>
        <w:trPr>
          <w:trHeight w:val="257"/>
        </w:trPr>
        <w:tc>
          <w:tcPr>
            <w:tcW w:w="10360" w:type="dxa"/>
            <w:vAlign w:val="bottom"/>
            <w:gridSpan w:val="7"/>
          </w:tcPr>
          <w:p>
            <w:pPr>
              <w:spacing w:after="0"/>
              <w:rPr>
                <w:sz w:val="20"/>
                <w:szCs w:val="20"/>
                <w:color w:val="auto"/>
              </w:rPr>
            </w:pPr>
            <w:r>
              <w:rPr>
                <w:rFonts w:ascii="Arial" w:cs="Arial" w:eastAsia="Arial" w:hAnsi="Arial"/>
                <w:sz w:val="18"/>
                <w:szCs w:val="18"/>
                <w:color w:val="0000EE"/>
              </w:rPr>
              <w:t>Consolidated Balance Sheets</w:t>
            </w:r>
          </w:p>
        </w:tc>
        <w:tc>
          <w:tcPr>
            <w:tcW w:w="540" w:type="dxa"/>
            <w:vAlign w:val="bottom"/>
            <w:gridSpan w:val="2"/>
          </w:tcPr>
          <w:p>
            <w:pPr>
              <w:jc w:val="center"/>
              <w:ind w:left="274"/>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360" w:type="dxa"/>
            <w:vAlign w:val="bottom"/>
          </w:tcPr>
          <w:p>
            <w:pPr>
              <w:spacing w:after="0"/>
              <w:rPr>
                <w:sz w:val="22"/>
                <w:szCs w:val="22"/>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53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Operations and Comprehensive (Loss) Income</w:t>
              </w:r>
            </w:hyperlink>
          </w:p>
        </w:tc>
        <w:tc>
          <w:tcPr>
            <w:tcW w:w="498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84</w:t>
              </w:r>
            </w:hyperlink>
          </w:p>
        </w:tc>
        <w:tc>
          <w:tcPr>
            <w:tcW w:w="360" w:type="dxa"/>
            <w:vAlign w:val="bottom"/>
          </w:tcPr>
          <w:p>
            <w:pPr>
              <w:spacing w:after="0"/>
              <w:rPr>
                <w:sz w:val="21"/>
                <w:szCs w:val="21"/>
                <w:color w:val="auto"/>
              </w:rPr>
            </w:pPr>
          </w:p>
        </w:tc>
      </w:tr>
      <w:tr>
        <w:trPr>
          <w:trHeight w:val="250"/>
        </w:trPr>
        <w:tc>
          <w:tcPr>
            <w:tcW w:w="10360" w:type="dxa"/>
            <w:vAlign w:val="bottom"/>
            <w:gridSpan w:val="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Changes in Redeemable Convertible Preferred Stock and Stockholders’ (Deficit) Equity</w:t>
              </w:r>
            </w:hyperlink>
          </w:p>
        </w:tc>
        <w:tc>
          <w:tcPr>
            <w:tcW w:w="540" w:type="dxa"/>
            <w:vAlign w:val="bottom"/>
            <w:gridSpan w:val="2"/>
          </w:tcPr>
          <w:p>
            <w:pPr>
              <w:jc w:val="center"/>
              <w:ind w:left="274"/>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85</w:t>
              </w:r>
            </w:hyperlink>
          </w:p>
        </w:tc>
        <w:tc>
          <w:tcPr>
            <w:tcW w:w="360" w:type="dxa"/>
            <w:vAlign w:val="bottom"/>
          </w:tcPr>
          <w:p>
            <w:pPr>
              <w:spacing w:after="0"/>
              <w:rPr>
                <w:sz w:val="21"/>
                <w:szCs w:val="21"/>
                <w:color w:val="auto"/>
              </w:rPr>
            </w:pPr>
          </w:p>
        </w:tc>
      </w:tr>
      <w:tr>
        <w:trPr>
          <w:trHeight w:val="250"/>
        </w:trPr>
        <w:tc>
          <w:tcPr>
            <w:tcW w:w="836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Consolidated Statements of Cash Flows</w:t>
            </w:r>
          </w:p>
        </w:tc>
        <w:tc>
          <w:tcPr>
            <w:tcW w:w="2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86</w:t>
              </w:r>
            </w:hyperlink>
          </w:p>
        </w:tc>
        <w:tc>
          <w:tcPr>
            <w:tcW w:w="360" w:type="dxa"/>
            <w:vAlign w:val="bottom"/>
          </w:tcPr>
          <w:p>
            <w:pPr>
              <w:spacing w:after="0"/>
              <w:rPr>
                <w:sz w:val="21"/>
                <w:szCs w:val="2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360" w:type="dxa"/>
            <w:vAlign w:val="bottom"/>
            <w:gridSpan w:val="7"/>
          </w:tcPr>
          <w:p>
            <w:pPr>
              <w:spacing w:after="0"/>
              <w:rPr>
                <w:sz w:val="20"/>
                <w:szCs w:val="20"/>
                <w:color w:val="auto"/>
              </w:rPr>
            </w:pPr>
            <w:r>
              <w:rPr>
                <w:rFonts w:ascii="Arial" w:cs="Arial" w:eastAsia="Arial" w:hAnsi="Arial"/>
                <w:sz w:val="18"/>
                <w:szCs w:val="18"/>
                <w:color w:val="0000EE"/>
              </w:rPr>
              <w:t>Notes to Consolidated Financial Statements</w:t>
            </w:r>
          </w:p>
        </w:tc>
        <w:tc>
          <w:tcPr>
            <w:tcW w:w="540" w:type="dxa"/>
            <w:vAlign w:val="bottom"/>
            <w:gridSpan w:val="2"/>
          </w:tcPr>
          <w:p>
            <w:pPr>
              <w:jc w:val="center"/>
              <w:ind w:left="274"/>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87</w:t>
              </w:r>
            </w:hyperlink>
          </w:p>
        </w:tc>
        <w:tc>
          <w:tcPr>
            <w:tcW w:w="360" w:type="dxa"/>
            <w:vAlign w:val="bottom"/>
          </w:tcPr>
          <w:p>
            <w:pPr>
              <w:spacing w:after="0"/>
              <w:rPr>
                <w:sz w:val="21"/>
                <w:szCs w:val="21"/>
                <w:color w:val="auto"/>
              </w:rPr>
            </w:pPr>
          </w:p>
        </w:tc>
      </w:tr>
      <w:tr>
        <w:trPr>
          <w:trHeight w:val="939"/>
        </w:trPr>
        <w:tc>
          <w:tcPr>
            <w:tcW w:w="3140" w:type="dxa"/>
            <w:vAlign w:val="bottom"/>
            <w:tcBorders>
              <w:top w:val="single" w:sz="8" w:color="0000EE"/>
            </w:tcBorders>
            <w:gridSpan w:val="3"/>
          </w:tcPr>
          <w:p>
            <w:pPr>
              <w:spacing w:after="0"/>
              <w:rPr>
                <w:sz w:val="24"/>
                <w:szCs w:val="24"/>
                <w:color w:val="auto"/>
              </w:rPr>
            </w:pPr>
          </w:p>
        </w:tc>
        <w:tc>
          <w:tcPr>
            <w:tcW w:w="5220" w:type="dxa"/>
            <w:vAlign w:val="bottom"/>
            <w:gridSpan w:val="3"/>
          </w:tcPr>
          <w:p>
            <w:pPr>
              <w:jc w:val="right"/>
              <w:ind w:right="2600"/>
              <w:spacing w:after="0"/>
              <w:rPr>
                <w:sz w:val="20"/>
                <w:szCs w:val="20"/>
                <w:color w:val="auto"/>
              </w:rPr>
            </w:pPr>
            <w:r>
              <w:rPr>
                <w:rFonts w:ascii="Arial" w:cs="Arial" w:eastAsia="Arial" w:hAnsi="Arial"/>
                <w:sz w:val="18"/>
                <w:szCs w:val="18"/>
                <w:color w:val="auto"/>
              </w:rPr>
              <w:t>80</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00"/>
          </w:cols>
          <w:pgMar w:left="240" w:top="125" w:right="3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and the Board of Directors of Bandwidth Inc.</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We have audited the accompanying consolidated balance sheets of Bandwidth Inc. (the Company) as of December 31, 2017 and 2016, the related consolidated statements of operations and comprehensive (loss) income, changes in redeemable convertible preferred stock and stockholders' (deficit)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Basis for Opinion</w:t>
      </w:r>
    </w:p>
    <w:p>
      <w:pPr>
        <w:spacing w:after="0" w:line="1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2012.</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Raleigh, North Carolina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net of allowance for doubtful accounts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costs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65,252</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6,526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104,494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deferred revenue and advanced billings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Line of credit,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long-term debt and capital lease obligations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 net of current portion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70,529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27,783</w:t>
            </w:r>
          </w:p>
        </w:tc>
        <w:tc>
          <w:tcPr>
            <w:tcW w:w="0" w:type="dxa"/>
            <w:vAlign w:val="bottom"/>
          </w:tcPr>
          <w:p>
            <w:pPr>
              <w:spacing w:after="0"/>
              <w:rPr>
                <w:sz w:val="1"/>
                <w:szCs w:val="1"/>
                <w:color w:val="auto"/>
              </w:rPr>
            </w:pPr>
          </w:p>
        </w:tc>
      </w:tr>
      <w:tr>
        <w:trPr>
          <w:trHeight w:val="486"/>
        </w:trPr>
        <w:tc>
          <w:tcPr>
            <w:tcW w:w="8800" w:type="dxa"/>
            <w:vAlign w:val="bottom"/>
          </w:tcPr>
          <w:p>
            <w:pPr>
              <w:ind w:left="562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Series A redeemable convertible preferred stock; $0.001 par value; 1,200,000 shares authorized; 710,000 and 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shares issued and outstanding at December 31, 2016 and 2017, respectively</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21,818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(deficit) equity: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Class A voting common stock; $0.001 par value; 0 and 100,000,000 shares authorized as of December 31, 2016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2017, respectively; 0 and 4,197,831 shares issued and outstanding as of December 31, 2016 and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Class B voting common stock, $0.001 par value; 0 and 20,000,000 shares authorized as of December 31, 2016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w w:val="89"/>
              </w:rPr>
              <w:t>2017, respectively; 0 and 13,440,725 shares issued and outstanding as of December 31, 2016 and 2017, respectively</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Old Class A voting common stock; $0.001 par value; 20,000,000 and 0 shares authorized as of December 31, 2016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and 2017, respectively; 11,779,975 and 0 shares issued and outstanding as of December 31, 2016 and 2017,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3"/>
              </w:rPr>
              <w:t>Old Class B non-voting common stock, $0.001 par value; 3,341,275 and 0 shares authorized as of December 31,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8800" w:type="dxa"/>
            <w:vAlign w:val="bottom"/>
          </w:tcPr>
          <w:p>
            <w:pPr>
              <w:ind w:left="380"/>
              <w:spacing w:after="0"/>
              <w:rPr>
                <w:sz w:val="20"/>
                <w:szCs w:val="20"/>
                <w:color w:val="auto"/>
              </w:rPr>
            </w:pPr>
            <w:r>
              <w:rPr>
                <w:rFonts w:ascii="Arial" w:cs="Arial" w:eastAsia="Arial" w:hAnsi="Arial"/>
                <w:sz w:val="18"/>
                <w:szCs w:val="18"/>
                <w:color w:val="auto"/>
                <w:w w:val="95"/>
              </w:rPr>
              <w:t>2016 and 2017, respectively; 18,590 and 0 shares issued and outstanding as of December 31, 2016 and 2017,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Preferred stock; $0.001 par value; 0 and 10,000,000 shares authorized as of December 31, 2016 and 2017,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 0 shares issued and outstanding as of December 31, 2016 and 2017</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102,465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76,711</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104,494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CPaaS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101,502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117,078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131,572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31,383</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Total revenue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137,801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152,135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162,955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CPaaS 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64,760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75,859</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Other cost of revenue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14,482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13,403</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79,242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89,262</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73,693</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8,520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10,789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11,218</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34,602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33,859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37,069</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59,076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14,617</w:t>
            </w:r>
          </w:p>
        </w:tc>
        <w:tc>
          <w:tcPr>
            <w:tcW w:w="0" w:type="dxa"/>
            <w:vAlign w:val="bottom"/>
          </w:tcPr>
          <w:p>
            <w:pPr>
              <w:spacing w:after="0"/>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Total other expense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14,336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12,889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(6,918)</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6,965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25,430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Total comprehensive (loss) income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(6,700)</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22,358</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Earnings (loss) per share:</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Less: income allocated to participating securities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attributable to common stockholders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Less: (loss) income allocated to participating securities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number of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11,497,727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11,678,568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w w:val="94"/>
              </w:rPr>
              <w:t>12,590,221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12,456,540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12,870,632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4"/>
              </w:rPr>
              <w:t>14,543,170</w:t>
            </w:r>
          </w:p>
        </w:tc>
        <w:tc>
          <w:tcPr>
            <w:tcW w:w="0" w:type="dxa"/>
            <w:vAlign w:val="bottom"/>
          </w:tcPr>
          <w:p>
            <w:pPr>
              <w:spacing w:after="0"/>
              <w:rPr>
                <w:sz w:val="1"/>
                <w:szCs w:val="1"/>
                <w:color w:val="auto"/>
              </w:rPr>
            </w:pPr>
          </w:p>
        </w:tc>
      </w:tr>
      <w:tr>
        <w:trPr>
          <w:trHeight w:val="33"/>
        </w:trPr>
        <w:tc>
          <w:tcPr>
            <w:tcW w:w="7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86" w:name="page87"/>
    <w:bookmarkEnd w:id="86"/>
    <w:p>
      <w:pPr>
        <w:spacing w:after="0"/>
        <w:rPr>
          <w:sz w:val="20"/>
          <w:szCs w:val="20"/>
          <w:color w:val="auto"/>
        </w:rPr>
      </w:pPr>
      <w:r>
        <w:rPr>
          <w:rFonts w:ascii="Arial" w:cs="Arial" w:eastAsia="Arial" w:hAnsi="Arial"/>
          <w:sz w:val="16"/>
          <w:szCs w:val="16"/>
          <w:i w:val="1"/>
          <w:iCs w:val="1"/>
          <w:color w:val="auto"/>
        </w:rPr>
        <w:t>See accompanying notes.</w:t>
      </w: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238" w:right="1440"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(Deficit)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Amounts)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5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9"/>
              </w:rPr>
              <w:t>Series A</w:t>
            </w:r>
          </w:p>
        </w:tc>
        <w:tc>
          <w:tcPr>
            <w:tcW w:w="13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Class A voting</w:t>
            </w:r>
          </w:p>
        </w:tc>
        <w:tc>
          <w:tcPr>
            <w:tcW w:w="144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Class B voting</w:t>
            </w:r>
          </w:p>
        </w:tc>
        <w:tc>
          <w:tcPr>
            <w:tcW w:w="15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Old Class A voting</w:t>
            </w: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Old Class B 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580" w:type="dxa"/>
            <w:vAlign w:val="bottom"/>
            <w:tcBorders>
              <w:right w:val="single" w:sz="8" w:color="auto"/>
            </w:tcBorders>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redeemable convertible</w:t>
            </w:r>
          </w:p>
        </w:tc>
        <w:tc>
          <w:tcPr>
            <w:tcW w:w="1320" w:type="dxa"/>
            <w:vAlign w:val="bottom"/>
            <w:gridSpan w:val="4"/>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840" w:type="dxa"/>
            <w:vAlign w:val="bottom"/>
            <w:gridSpan w:val="2"/>
          </w:tcPr>
          <w:p>
            <w:pPr>
              <w:jc w:val="center"/>
              <w:ind w:left="268"/>
              <w:spacing w:after="0" w:line="145" w:lineRule="exact"/>
              <w:rPr>
                <w:sz w:val="20"/>
                <w:szCs w:val="20"/>
                <w:color w:val="auto"/>
              </w:rPr>
            </w:pPr>
            <w:r>
              <w:rPr>
                <w:rFonts w:ascii="Arial" w:cs="Arial" w:eastAsia="Arial" w:hAnsi="Arial"/>
                <w:sz w:val="14"/>
                <w:szCs w:val="14"/>
                <w:b w:val="1"/>
                <w:bCs w:val="1"/>
                <w:color w:val="auto"/>
                <w:w w:val="90"/>
              </w:rPr>
              <w:t>voting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580" w:type="dxa"/>
            <w:vAlign w:val="bottom"/>
            <w:tcBorders>
              <w:right w:val="single" w:sz="8" w:color="auto"/>
            </w:tcBorders>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32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common Stock</w:t>
            </w:r>
          </w:p>
        </w:tc>
        <w:tc>
          <w:tcPr>
            <w:tcW w:w="144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common Stock</w:t>
            </w:r>
          </w:p>
        </w:tc>
        <w:tc>
          <w:tcPr>
            <w:tcW w:w="15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24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ind w:left="20"/>
              <w:spacing w:after="0" w:line="126"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4"/>
                <w:szCs w:val="4"/>
                <w:color w:val="auto"/>
              </w:rPr>
            </w:pPr>
          </w:p>
        </w:tc>
        <w:tc>
          <w:tcPr>
            <w:tcW w:w="720" w:type="dxa"/>
            <w:vAlign w:val="bottom"/>
            <w:vMerge w:val="restart"/>
          </w:tcPr>
          <w:p>
            <w:pPr>
              <w:jc w:val="center"/>
              <w:ind w:right="88"/>
              <w:spacing w:after="0" w:line="126"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52"/>
        </w:trPr>
        <w:tc>
          <w:tcPr>
            <w:tcW w:w="1700" w:type="dxa"/>
            <w:vAlign w:val="bottom"/>
          </w:tcPr>
          <w:p>
            <w:pPr>
              <w:spacing w:after="0"/>
              <w:rPr>
                <w:sz w:val="4"/>
                <w:szCs w:val="4"/>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880" w:type="dxa"/>
            <w:vAlign w:val="bottom"/>
            <w:tcBorders>
              <w:right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80" w:type="dxa"/>
            <w:vAlign w:val="bottom"/>
            <w:tcBorders>
              <w:right w:val="single" w:sz="8" w:color="auto"/>
            </w:tcBorders>
            <w:gridSpan w:val="3"/>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 December 31,</w:t>
            </w: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710,000</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21,818</w:t>
            </w: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11,455,615</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14,060</w:t>
            </w:r>
          </w:p>
        </w:tc>
        <w:tc>
          <w:tcPr>
            <w:tcW w:w="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(16,748)</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w w:val="93"/>
              </w:rPr>
              <w:t>Issuance of Old Class A</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voting common 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69,405</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4,530</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3"/>
              </w:rPr>
              <w:t>Issuance of Old Class B</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non-voting common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w w:val="98"/>
              </w:rPr>
              <w:t>Exercise of warrants to</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w w:val="92"/>
              </w:rPr>
              <w:t>purchase common 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17,138</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4,213</w:t>
            </w:r>
          </w:p>
        </w:tc>
        <w:tc>
          <w:tcPr>
            <w:tcW w:w="0" w:type="dxa"/>
            <w:vAlign w:val="bottom"/>
          </w:tcPr>
          <w:p>
            <w:pPr>
              <w:spacing w:after="0"/>
              <w:rPr>
                <w:sz w:val="1"/>
                <w:szCs w:val="1"/>
                <w:color w:val="auto"/>
              </w:rPr>
            </w:pPr>
          </w:p>
        </w:tc>
      </w:tr>
      <w:tr>
        <w:trPr>
          <w:trHeight w:val="191"/>
        </w:trPr>
        <w:tc>
          <w:tcPr>
            <w:tcW w:w="1700" w:type="dxa"/>
            <w:vAlign w:val="bottom"/>
          </w:tcPr>
          <w:p>
            <w:pPr>
              <w:ind w:left="280"/>
              <w:spacing w:after="0"/>
              <w:rPr>
                <w:sz w:val="20"/>
                <w:szCs w:val="20"/>
                <w:color w:val="auto"/>
              </w:rPr>
            </w:pPr>
            <w:r>
              <w:rPr>
                <w:rFonts w:ascii="Arial" w:cs="Arial" w:eastAsia="Arial" w:hAnsi="Arial"/>
                <w:sz w:val="14"/>
                <w:szCs w:val="14"/>
                <w:color w:val="auto"/>
              </w:rPr>
              <w:t>Net loss</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(6,700)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(6,700)</w:t>
            </w:r>
          </w:p>
        </w:tc>
        <w:tc>
          <w:tcPr>
            <w:tcW w:w="0" w:type="dxa"/>
            <w:vAlign w:val="bottom"/>
          </w:tcPr>
          <w:p>
            <w:pPr>
              <w:spacing w:after="0"/>
              <w:rPr>
                <w:sz w:val="1"/>
                <w:szCs w:val="1"/>
                <w:color w:val="auto"/>
              </w:rPr>
            </w:pPr>
          </w:p>
        </w:tc>
      </w:tr>
      <w:tr>
        <w:trPr>
          <w:trHeight w:val="74"/>
        </w:trPr>
        <w:tc>
          <w:tcPr>
            <w:tcW w:w="1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 December 31,</w:t>
            </w: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2015</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710,000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21,818</w:t>
            </w: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11,542,158</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18,590</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(19,074)</w:t>
            </w:r>
          </w:p>
        </w:tc>
        <w:tc>
          <w:tcPr>
            <w:tcW w:w="0" w:type="dxa"/>
            <w:vAlign w:val="bottom"/>
          </w:tcPr>
          <w:p>
            <w:pPr>
              <w:spacing w:after="0"/>
              <w:rPr>
                <w:sz w:val="1"/>
                <w:szCs w:val="1"/>
                <w:color w:val="auto"/>
              </w:rPr>
            </w:pPr>
          </w:p>
        </w:tc>
      </w:tr>
      <w:tr>
        <w:trPr>
          <w:trHeight w:val="137"/>
        </w:trPr>
        <w:tc>
          <w:tcPr>
            <w:tcW w:w="1700" w:type="dxa"/>
            <w:vAlign w:val="bottom"/>
          </w:tcPr>
          <w:p>
            <w:pPr>
              <w:ind w:left="280"/>
              <w:spacing w:after="0" w:line="137" w:lineRule="exact"/>
              <w:rPr>
                <w:sz w:val="20"/>
                <w:szCs w:val="20"/>
                <w:color w:val="auto"/>
              </w:rPr>
            </w:pPr>
            <w:r>
              <w:rPr>
                <w:rFonts w:ascii="Arial" w:cs="Arial" w:eastAsia="Arial" w:hAnsi="Arial"/>
                <w:sz w:val="14"/>
                <w:szCs w:val="14"/>
                <w:color w:val="auto"/>
                <w:w w:val="93"/>
              </w:rPr>
              <w:t>Issuance of Old Class A</w:t>
            </w: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voting common 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218,345</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8"/>
              </w:rPr>
              <w:t>Exercise of warrants to</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2"/>
              </w:rPr>
              <w:t>purchase common stock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19,472</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rPr>
              <w:t>Distribution of</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Republic</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5"/>
              </w:rPr>
              <w:t>(28,899)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(28,899)</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Shareholders’ anti-</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dilutive arrangement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rPr>
              <w:t>Cumulative effect of</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rPr>
              <w:t>change in accounting</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principle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0" w:type="dxa"/>
            <w:vAlign w:val="bottom"/>
          </w:tcPr>
          <w:p>
            <w:pPr>
              <w:spacing w:after="0"/>
              <w:rPr>
                <w:sz w:val="1"/>
                <w:szCs w:val="1"/>
                <w:color w:val="auto"/>
              </w:rPr>
            </w:pPr>
          </w:p>
        </w:tc>
      </w:tr>
      <w:tr>
        <w:trPr>
          <w:trHeight w:val="191"/>
        </w:trPr>
        <w:tc>
          <w:tcPr>
            <w:tcW w:w="17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22,358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22,358</w:t>
            </w:r>
          </w:p>
        </w:tc>
        <w:tc>
          <w:tcPr>
            <w:tcW w:w="0" w:type="dxa"/>
            <w:vAlign w:val="bottom"/>
          </w:tcPr>
          <w:p>
            <w:pPr>
              <w:spacing w:after="0"/>
              <w:rPr>
                <w:sz w:val="1"/>
                <w:szCs w:val="1"/>
                <w:color w:val="auto"/>
              </w:rPr>
            </w:pPr>
          </w:p>
        </w:tc>
      </w:tr>
      <w:tr>
        <w:trPr>
          <w:trHeight w:val="74"/>
        </w:trPr>
        <w:tc>
          <w:tcPr>
            <w:tcW w:w="1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70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 December 31,</w:t>
            </w: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710,000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21,818</w:t>
            </w: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11,779,975</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18,590</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(22,374)</w:t>
            </w:r>
          </w:p>
        </w:tc>
        <w:tc>
          <w:tcPr>
            <w:tcW w:w="0" w:type="dxa"/>
            <w:vAlign w:val="bottom"/>
          </w:tcPr>
          <w:p>
            <w:pPr>
              <w:spacing w:after="0"/>
              <w:rPr>
                <w:sz w:val="1"/>
                <w:szCs w:val="1"/>
                <w:color w:val="auto"/>
              </w:rPr>
            </w:pPr>
          </w:p>
        </w:tc>
      </w:tr>
      <w:tr>
        <w:trPr>
          <w:trHeight w:val="137"/>
        </w:trPr>
        <w:tc>
          <w:tcPr>
            <w:tcW w:w="1700" w:type="dxa"/>
            <w:vAlign w:val="bottom"/>
          </w:tcPr>
          <w:p>
            <w:pPr>
              <w:ind w:left="280"/>
              <w:spacing w:after="0" w:line="137" w:lineRule="exact"/>
              <w:rPr>
                <w:sz w:val="20"/>
                <w:szCs w:val="20"/>
                <w:color w:val="auto"/>
              </w:rPr>
            </w:pPr>
            <w:r>
              <w:rPr>
                <w:rFonts w:ascii="Arial" w:cs="Arial" w:eastAsia="Arial" w:hAnsi="Arial"/>
                <w:sz w:val="14"/>
                <w:szCs w:val="14"/>
                <w:color w:val="auto"/>
                <w:w w:val="93"/>
              </w:rPr>
              <w:t>Issuance of Old Class A</w:t>
            </w: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voting common 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31,510</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3"/>
              </w:rPr>
              <w:t>Issuance of Old Class B</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non-voting common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16,250</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w w:val="98"/>
              </w:rPr>
              <w:t>Exercise of warrants to</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w w:val="92"/>
              </w:rPr>
              <w:t>purchase common 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17,260</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rPr>
              <w:t>Purchase of common</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7"/>
              </w:rPr>
              <w:t>Conversion of Series A</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preferred stock to Old</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Class A voting</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5"/>
              </w:rPr>
              <w:t>(21,818)</w:t>
            </w:r>
          </w:p>
        </w:tc>
        <w:tc>
          <w:tcPr>
            <w:tcW w:w="12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1,775,000</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21,818</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rPr>
              <w:t>Conversion of Old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rPr>
              <w:t>Class A voting</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w w:val="96"/>
              </w:rPr>
              <w:t>common stock to Class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w w:val="96"/>
              </w:rPr>
              <w:t>B voting common 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w w:val="94"/>
              </w:rPr>
              <w:t>13,586,485</w:t>
            </w:r>
          </w:p>
        </w:tc>
        <w:tc>
          <w:tcPr>
            <w:tcW w:w="220" w:type="dxa"/>
            <w:vAlign w:val="bottom"/>
          </w:tcPr>
          <w:p>
            <w:pPr>
              <w:spacing w:after="0"/>
              <w:rPr>
                <w:sz w:val="16"/>
                <w:szCs w:val="16"/>
                <w:color w:val="auto"/>
              </w:rPr>
            </w:pPr>
          </w:p>
        </w:tc>
        <w:tc>
          <w:tcPr>
            <w:tcW w:w="360" w:type="dxa"/>
            <w:vAlign w:val="bottom"/>
          </w:tcPr>
          <w:p>
            <w:pPr>
              <w:ind w:left="10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95"/>
              </w:rPr>
              <w:t>(13,586,485)</w:t>
            </w:r>
          </w:p>
        </w:tc>
        <w:tc>
          <w:tcPr>
            <w:tcW w:w="2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Conversion of Old</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Class B non-voting</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6"/>
              </w:rPr>
              <w:t>common stock to Class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6"/>
              </w:rPr>
              <w:t>A voting common stock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34,840</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(34,840)</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rPr>
              <w:t>stock in connection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rPr>
              <w:t>with initial public</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rPr>
              <w:t>offering, net of</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underwriting discounts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3"/>
              </w:rPr>
              <w:t>4,000,000</w:t>
            </w:r>
          </w:p>
        </w:tc>
        <w:tc>
          <w:tcPr>
            <w:tcW w:w="220" w:type="dxa"/>
            <w:vAlign w:val="bottom"/>
          </w:tcPr>
          <w:p>
            <w:pPr>
              <w:spacing w:after="0"/>
              <w:rPr>
                <w:sz w:val="16"/>
                <w:szCs w:val="16"/>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74,396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74,400</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Costs in connection</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with initial public</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offering</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(5,385)</w:t>
            </w:r>
          </w:p>
        </w:tc>
        <w:tc>
          <w:tcPr>
            <w:tcW w:w="0" w:type="dxa"/>
            <w:vAlign w:val="bottom"/>
          </w:tcPr>
          <w:p>
            <w:pPr>
              <w:spacing w:after="0"/>
              <w:rPr>
                <w:sz w:val="1"/>
                <w:szCs w:val="1"/>
                <w:color w:val="auto"/>
              </w:rPr>
            </w:pPr>
          </w:p>
        </w:tc>
      </w:tr>
      <w:tr>
        <w:trPr>
          <w:trHeight w:val="157"/>
        </w:trPr>
        <w:tc>
          <w:tcPr>
            <w:tcW w:w="1700" w:type="dxa"/>
            <w:vAlign w:val="bottom"/>
          </w:tcPr>
          <w:p>
            <w:pPr>
              <w:ind w:left="280"/>
              <w:spacing w:after="0" w:line="157" w:lineRule="exact"/>
              <w:rPr>
                <w:sz w:val="20"/>
                <w:szCs w:val="20"/>
                <w:color w:val="auto"/>
              </w:rPr>
            </w:pPr>
            <w:r>
              <w:rPr>
                <w:rFonts w:ascii="Arial" w:cs="Arial" w:eastAsia="Arial" w:hAnsi="Arial"/>
                <w:sz w:val="14"/>
                <w:szCs w:val="14"/>
                <w:color w:val="auto"/>
              </w:rPr>
              <w:t>Conversion of Class B</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rPr>
              <w:t>voting common stock</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80"/>
              <w:spacing w:after="0" w:line="149" w:lineRule="exact"/>
              <w:rPr>
                <w:sz w:val="20"/>
                <w:szCs w:val="20"/>
                <w:color w:val="auto"/>
              </w:rPr>
            </w:pPr>
            <w:r>
              <w:rPr>
                <w:rFonts w:ascii="Arial" w:cs="Arial" w:eastAsia="Arial" w:hAnsi="Arial"/>
                <w:sz w:val="14"/>
                <w:szCs w:val="14"/>
                <w:color w:val="auto"/>
              </w:rPr>
              <w:t>to Class A voting</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162,991</w:t>
            </w:r>
          </w:p>
        </w:tc>
        <w:tc>
          <w:tcPr>
            <w:tcW w:w="22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(162,991)</w:t>
            </w:r>
          </w:p>
        </w:tc>
        <w:tc>
          <w:tcPr>
            <w:tcW w:w="220" w:type="dxa"/>
            <w:vAlign w:val="bottom"/>
          </w:tcPr>
          <w:p>
            <w:pPr>
              <w:spacing w:after="0"/>
              <w:rPr>
                <w:sz w:val="16"/>
                <w:szCs w:val="16"/>
                <w:color w:val="auto"/>
              </w:rPr>
            </w:pP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Termination of</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Shareholders’ anti-</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dilutive arrangement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61"/>
        </w:trPr>
        <w:tc>
          <w:tcPr>
            <w:tcW w:w="17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vMerge w:val="restart"/>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36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5,971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5,971</w:t>
            </w:r>
          </w:p>
        </w:tc>
        <w:tc>
          <w:tcPr>
            <w:tcW w:w="0" w:type="dxa"/>
            <w:vAlign w:val="bottom"/>
          </w:tcPr>
          <w:p>
            <w:pPr>
              <w:spacing w:after="0"/>
              <w:rPr>
                <w:sz w:val="1"/>
                <w:szCs w:val="1"/>
                <w:color w:val="auto"/>
              </w:rPr>
            </w:pPr>
          </w:p>
        </w:tc>
      </w:tr>
      <w:tr>
        <w:trPr>
          <w:trHeight w:val="74"/>
        </w:trPr>
        <w:tc>
          <w:tcPr>
            <w:tcW w:w="170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right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70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Balance at December 31,</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4,197,831</w:t>
            </w: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4"/>
              </w:rPr>
              <w:t>13,440,725</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6"/>
              </w:rPr>
              <w:t>102,465</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(25,771)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76,711</w:t>
            </w: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2017</w:t>
            </w:r>
          </w:p>
        </w:tc>
        <w:tc>
          <w:tcPr>
            <w:tcW w:w="700" w:type="dxa"/>
            <w:vAlign w:val="bottom"/>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20" w:type="dxa"/>
            <w:vAlign w:val="bottom"/>
            <w:tcBorders>
              <w:right w:val="single" w:sz="8" w:color="auto"/>
            </w:tcBorders>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1" w:right="239" w:bottom="7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784"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BANDWIDTH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7"/>
          </w:tcPr>
          <w:p>
            <w:pPr>
              <w:jc w:val="right"/>
              <w:ind w:right="47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(6,700)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22,358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5,971</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460" w:type="dxa"/>
            <w:vAlign w:val="bottom"/>
          </w:tcPr>
          <w:p>
            <w:pPr>
              <w:ind w:left="40"/>
              <w:spacing w:after="0"/>
              <w:rPr>
                <w:sz w:val="20"/>
                <w:szCs w:val="20"/>
                <w:color w:val="auto"/>
              </w:rPr>
            </w:pPr>
            <w:r>
              <w:rPr>
                <w:rFonts w:ascii="Arial" w:cs="Arial" w:eastAsia="Arial" w:hAnsi="Arial"/>
                <w:sz w:val="16"/>
                <w:szCs w:val="16"/>
                <w:color w:val="auto"/>
              </w:rPr>
              <w:t>Adjustments to reconcile net (loss) income to net cash provided by (used in) operating activities: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5,712</w:t>
            </w:r>
          </w:p>
        </w:tc>
        <w:tc>
          <w:tcPr>
            <w:tcW w:w="0" w:type="dxa"/>
            <w:vAlign w:val="bottom"/>
          </w:tcPr>
          <w:p>
            <w:pPr>
              <w:spacing w:after="0"/>
              <w:rPr>
                <w:sz w:val="1"/>
                <w:szCs w:val="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6,168</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Impairment of intangible asset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(4,387)</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6"/>
                <w:szCs w:val="16"/>
                <w:color w:val="auto"/>
              </w:rPr>
              <w:t>Deferred costs</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0" w:type="dxa"/>
            <w:vAlign w:val="bottom"/>
          </w:tcPr>
          <w:p>
            <w:pPr>
              <w:spacing w:after="0"/>
              <w:rPr>
                <w:sz w:val="1"/>
                <w:szCs w:val="1"/>
                <w:color w:val="auto"/>
              </w:rPr>
            </w:pPr>
          </w:p>
        </w:tc>
      </w:tr>
      <w:tr>
        <w:trPr>
          <w:trHeight w:val="237"/>
        </w:trPr>
        <w:tc>
          <w:tcPr>
            <w:tcW w:w="8460" w:type="dxa"/>
            <w:vAlign w:val="bottom"/>
          </w:tcPr>
          <w:p>
            <w:pPr>
              <w:ind w:left="7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revenue and advanced billings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2,573</w:t>
            </w:r>
          </w:p>
        </w:tc>
        <w:tc>
          <w:tcPr>
            <w:tcW w:w="0" w:type="dxa"/>
            <w:vAlign w:val="bottom"/>
          </w:tcPr>
          <w:p>
            <w:pPr>
              <w:spacing w:after="0"/>
              <w:rPr>
                <w:sz w:val="1"/>
                <w:szCs w:val="1"/>
                <w:color w:val="auto"/>
              </w:rPr>
            </w:pP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18,651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16,942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14,623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14,623</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(5,021)</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development costs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0" w:type="dxa"/>
            <w:vAlign w:val="bottom"/>
          </w:tcPr>
          <w:p>
            <w:pPr>
              <w:spacing w:after="0"/>
              <w:rPr>
                <w:sz w:val="1"/>
                <w:szCs w:val="1"/>
                <w:color w:val="auto"/>
              </w:rPr>
            </w:pP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Net cash used in investing activities from continuing operations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(6,061)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Borrowings on line of credit</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43,500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56,950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on 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Payments on capital leases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on term loan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Repayments on term loan</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Payment of costs related to the initial public offering</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(5,385)</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the initial public offering, net of underwriting discounts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74,400</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Proceeds from issuances of common stock</w:t>
            </w:r>
          </w:p>
        </w:tc>
        <w:tc>
          <w:tcPr>
            <w:tcW w:w="20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exercises of warrants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Cash distribution to Republic</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(increase) in restricted cash</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11,038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24,179</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30,839</w:t>
            </w:r>
          </w:p>
        </w:tc>
        <w:tc>
          <w:tcPr>
            <w:tcW w:w="0" w:type="dxa"/>
            <w:vAlign w:val="bottom"/>
          </w:tcPr>
          <w:p>
            <w:pPr>
              <w:spacing w:after="0"/>
              <w:rPr>
                <w:sz w:val="1"/>
                <w:szCs w:val="1"/>
                <w:color w:val="auto"/>
              </w:rPr>
            </w:pP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8,792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10,059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6,788</w:t>
            </w:r>
          </w:p>
        </w:tc>
        <w:tc>
          <w:tcPr>
            <w:tcW w:w="0" w:type="dxa"/>
            <w:vAlign w:val="bottom"/>
          </w:tcPr>
          <w:p>
            <w:pPr>
              <w:spacing w:after="0"/>
              <w:rPr>
                <w:sz w:val="1"/>
                <w:szCs w:val="1"/>
                <w:color w:val="auto"/>
              </w:rPr>
            </w:pPr>
          </w:p>
        </w:tc>
      </w:tr>
      <w:tr>
        <w:trPr>
          <w:trHeight w:val="33"/>
        </w:trPr>
        <w:tc>
          <w:tcPr>
            <w:tcW w:w="8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year for interest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Cash paid for taxes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6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 of noncash financing activities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4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8460" w:type="dxa"/>
            <w:vAlign w:val="bottom"/>
          </w:tcPr>
          <w:p>
            <w:pPr>
              <w:ind w:left="40"/>
              <w:spacing w:after="0"/>
              <w:rPr>
                <w:sz w:val="20"/>
                <w:szCs w:val="20"/>
                <w:color w:val="auto"/>
              </w:rPr>
            </w:pPr>
            <w:r>
              <w:rPr>
                <w:rFonts w:ascii="Arial" w:cs="Arial" w:eastAsia="Arial" w:hAnsi="Arial"/>
                <w:sz w:val="16"/>
                <w:szCs w:val="16"/>
                <w:color w:val="auto"/>
              </w:rPr>
              <w:t>Non-cash distribution of net liabilities to Spin-Off</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8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equipment through capital leases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3"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w:t>
      </w:r>
    </w:p>
    <w:p>
      <w:pPr>
        <w:sectPr>
          <w:pgSz w:w="11900" w:h="16838" w:orient="portrait"/>
          <w:cols w:equalWidth="0" w:num="1">
            <w:col w:w="11420"/>
          </w:cols>
          <w:pgMar w:left="240" w:top="121" w:right="239" w:bottom="13"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019"/>
          </w:cols>
          <w:pgMar w:left="1440" w:top="125"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25"/>
          <w:szCs w:val="25"/>
          <w:color w:val="auto"/>
        </w:rPr>
        <w:t>Bandwidth Inc.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Notes to Consolidated Financial Statements</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22"/>
          <w:szCs w:val="22"/>
          <w:i w:val="1"/>
          <w:iCs w:val="1"/>
          <w:color w:val="auto"/>
        </w:rPr>
        <w:t>(In Thousands Except Share and per Share Amounts)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Description of Business</w:t>
      </w:r>
    </w:p>
    <w:p>
      <w:pPr>
        <w:spacing w:after="0" w:line="17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Bandwidth Inc. (together with its subsidiaries, “Bandwidth” or the “Company”) was founded in July 2000 and incorporated in Delaware on March 29, 2001. The Company’s headquarters are located in Raleigh, North Carolina. The Company is a cloud-based, software-powered communications platform-as-a-service (“CPaaS”) provider that enables enterprises to create, scale and operate voice or text communications services across any mobile application or connected device.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Initial Public Offering</w:t>
      </w:r>
    </w:p>
    <w:p>
      <w:pPr>
        <w:spacing w:after="0" w:line="2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On November 9, 2017, the Company's Registration Statement on Form S-1 relating to the initial public offering (“IPO”) of its Class A common stock was declared effective by the SEC. Immediately prior to the closing of the IPO, the Company’s certificate of incorporation was amended such that (i) each share of the Company’s then-outstanding Class A voting common stock (“Old Class A common stock”) was reclassified as one share of Class B voting common stock (“Class B common stock”), which has ten votes per share, (ii) each share of the Company’s then-outstanding Class B non-voting common stock (“Old Class B common stock”) was reclassified as one share of Class A voting common stock ("Class A common stock"), which has one vote per share and (iii) options and warrants exercisable into the Company’s Old Class A common stock and Old Class B common stock became exercisable into Class B common stock and Class A common stock, respectively. In addition, immediately prior to pricing of the IPO, all shares of the Company’s then-outstanding Series A redeemable convertible preferred stock were converted into Old Class A common stock, which then converted into Class B common stock. In connection with the Company’s IPO, 4,000,000 shares of the Company's Class A common stock were sold at an initial public offering price of $20.00 per share for proceeds of approximately $74,400, net of underwriting discounts and commissions of $5,600. On November 14, 2017, the outstanding term loan of $38,500 was paid in full with proceeds from the IPO.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6"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Basis of Presentation</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consolidated financial statements and accompanying notes were prepared in accordance with accounting principles generally accepted in the United States of America (“U.S. GAAP”). The Company had no components of other comprehensive income (loss) during any of the periods presented, as such, a consolidated statement of comprehensive income (loss) is not presented.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Reclassification</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Principles of Consolidation</w:t>
      </w:r>
    </w:p>
    <w:p>
      <w:pPr>
        <w:spacing w:after="0" w:line="25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consolidated financial statements include the accounts of Bandwidth Inc. and its wholly owned subsidiaries. All intercompany accounts and transactions have been eliminated in consolidation.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Use of Estimates</w:t>
      </w:r>
    </w:p>
    <w:p>
      <w:pPr>
        <w:spacing w:after="0" w:line="2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preparation of the Company’s consolidated financial statements in conformity with U.S.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recoverability of long lived and intangible assets, customer relationship period, valuation allowances on tax assets, certain accrued expenses, and contingencies.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Revenue Recognition</w:t>
      </w:r>
    </w:p>
    <w:p>
      <w:pPr>
        <w:spacing w:after="0" w:line="25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Revenue consists primarily of the sale of communications services offered through API software solutions to large enterprise, as well as small and medium-sized business, customers and are generally derived from usage and monthly service fees for both the CPaaS and Other segments. Usage revenue includes voice communication (primarily driven by inbound minutes, outbound minutes, toll-free minutes) and messaging communication (driven by the number of messages) that traverse the platform and network. Revenue for these services is recognized in the period the usage occurs. Monthly service fees include the provision and management of phone numbers and emergency services access, which is recognized as the service is provided. In addition, the Company earns Carrier Access Billings ("CABS") revenue by allowing interconnected telecommunication carriers to pass traffic through its network and, as such the Company is the principal in delivering communication services to such carriers. Due to the lack of timeliness of payments and the frequency of carrier disputes, the Company recognizes revenue related to this service only when collectability is probable.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Revenue recognition commences when all of the following criteria are met (i) persuasive evidence of an arrangement exists;</w:t>
      </w:r>
    </w:p>
    <w:p>
      <w:pPr>
        <w:spacing w:after="0" w:line="56" w:lineRule="exact"/>
        <w:rPr>
          <w:sz w:val="20"/>
          <w:szCs w:val="20"/>
          <w:color w:val="auto"/>
        </w:rPr>
      </w:pPr>
    </w:p>
    <w:p>
      <w:pPr>
        <w:ind w:firstLine="8"/>
        <w:spacing w:after="0" w:line="246" w:lineRule="auto"/>
        <w:tabs>
          <w:tab w:leader="none" w:pos="348" w:val="left"/>
        </w:tabs>
        <w:numPr>
          <w:ilvl w:val="0"/>
          <w:numId w:val="37"/>
        </w:numPr>
        <w:rPr>
          <w:rFonts w:ascii="Arial" w:cs="Arial" w:eastAsia="Arial" w:hAnsi="Arial"/>
          <w:sz w:val="22"/>
          <w:szCs w:val="22"/>
          <w:color w:val="auto"/>
        </w:rPr>
      </w:pPr>
      <w:r>
        <w:rPr>
          <w:rFonts w:ascii="Arial" w:cs="Arial" w:eastAsia="Arial" w:hAnsi="Arial"/>
          <w:sz w:val="22"/>
          <w:szCs w:val="22"/>
          <w:color w:val="auto"/>
        </w:rPr>
        <w:t>delivery has occurred; (iii) the fee is fixed or determinable; and (iv) collection is probable. Customers generally enter into arrangements that are typically two to three years in length.</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Cost of Revenue</w:t>
      </w:r>
    </w:p>
    <w:p>
      <w:pPr>
        <w:spacing w:after="0" w:line="2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the communications network, customer support, as well as, third party support agreements, and depreciation are also recorded as cost of revenue.</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Operating Expenses</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Research and Development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Research and development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Sales and Marketing</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General and Administrative</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General and administrative expenses consist primarily of personnel costs for support personnel and executives in accounting, finance, legal, information services, human resources and administrative functions. General and administrative expenses also include costs related to product management and reporting, data services, customer billing and collection functions, and other professional services fees, credit card processing fees, rent associated with the Company’s headquarters in Raleigh, North Carolina, depreciation and amortization.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Cash and Cash Equivalents</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considers all highly liquid investments with an original or remaining maturity of three months or less at the date of purchase, as well as overnight repurchase investments, to be cash equivalents.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Restricted Cash</w:t>
      </w:r>
    </w:p>
    <w:p>
      <w:pPr>
        <w:spacing w:after="0" w:line="25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classifies any cash and cash equivalents that are currently restricted from use as restricted cash. As of December 31, 2016 and 2017, restricted cash is used to secure letters of credit issued in order to operate the CLEC, for Automated Clearing House availability, customer deposits and for credit card security. As of December 31, 2016 and 2017, restricted cash was $240 and $243, respectively. The Company has classified this asset as a long-term asset in order to match the expected period of restriction and is included in Other long-term assets in the consolidated balance sheets.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Accounts Receivable and Allowance for Doubtful Accounts</w:t>
      </w:r>
    </w:p>
    <w:p>
      <w:pPr>
        <w:spacing w:after="0" w:line="2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Accounts receivable are stated at realizable value, net of an allowance for doubtful accounts. The allowance for doubtful accounts is based on management’s assessment of the collectability of its customer accounts.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$22,571 and $32,463 for uncollectible accounts and customer balances that are disputed were required as of December 31, 2016 and 2017, respectively. The allowance for doubtful accounts primarily relates to billings for CABS services where collectability was deemed not probable. Refer to Note 5, "Financial Statement Components," for a rollforward of the components of the allowance for doubtful accounts as of December 31, 2016 and 2017. Refer also to Note 17, "Subsequent Events," for discussion of the settlement agreement that was entered into subsequent to year-end that resolved the ongoing dispute and litigation with MCI Communications Services, Inc. d/b/a Verizon Business and Verizon Select Services, Inc. (collectively, “Verizon”), which is a CABS customer of the Company.</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2016 and 2017, unbilled receivables were $7,368 and $8,653, respectively.</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Concentration of Credit Risk</w:t>
      </w:r>
    </w:p>
    <w:p>
      <w:pPr>
        <w:spacing w:after="0" w:line="2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Financial instruments that are exposed to concentration of credit risk consist primarily of cash and cash equivalents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No individual customer represented more than 10 percent of accounts receivable, net of allowance for doubtful accounts as of December 31, 2016. As of December 31, 2017, one customer represented approximately 13% of the Company's accounts receivable, net of allowance for doubtful accounts.</w:t>
      </w:r>
    </w:p>
    <w:p>
      <w:pPr>
        <w:spacing w:after="0" w:line="20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For the years ended December 31, 2015, 2016 and 2017, no individual customer represented more than 10 percent of the Company’s total revenue.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Property and Equipment, ne</w:t>
      </w:r>
      <w:r>
        <w:rPr>
          <w:rFonts w:ascii="Arial" w:cs="Arial" w:eastAsia="Arial" w:hAnsi="Arial"/>
          <w:sz w:val="22"/>
          <w:szCs w:val="22"/>
          <w:color w:val="auto"/>
        </w:rPr>
        <w:t>t</w:t>
      </w:r>
    </w:p>
    <w:p>
      <w:pPr>
        <w:spacing w:after="0" w:line="25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Property and equipment, net is stated at cost, less accumulated depreciation and amortization. Depreciation and amortization is calculated on a straight-line basis over the estimated useful lives of those assets as follows:</w:t>
      </w:r>
    </w:p>
    <w:p>
      <w:pPr>
        <w:sectPr>
          <w:pgSz w:w="11900" w:h="16838" w:orient="portrait"/>
          <w:cols w:equalWidth="0" w:num="1">
            <w:col w:w="11420"/>
          </w:cols>
          <w:pgMar w:left="240" w:top="121" w:right="239" w:bottom="1440" w:gutter="0" w:footer="0" w:header="0"/>
        </w:sect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Computer hardware and software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2 to 5 years</w:t>
      </w:r>
    </w:p>
    <w:p>
      <w:pPr>
        <w:spacing w:after="0" w:line="79" w:lineRule="exact"/>
        <w:rPr>
          <w:sz w:val="20"/>
          <w:szCs w:val="20"/>
          <w:color w:val="auto"/>
        </w:rPr>
      </w:pPr>
    </w:p>
    <w:p>
      <w:pPr>
        <w:sectPr>
          <w:pgSz w:w="11900" w:h="16838" w:orient="portrait"/>
          <w:cols w:equalWidth="0" w:num="2">
            <w:col w:w="4600" w:space="720"/>
            <w:col w:w="61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Internal-use software development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 years</w:t>
      </w:r>
    </w:p>
    <w:p>
      <w:pPr>
        <w:spacing w:after="0" w:line="90" w:lineRule="exact"/>
        <w:rPr>
          <w:sz w:val="20"/>
          <w:szCs w:val="20"/>
          <w:color w:val="auto"/>
        </w:rPr>
      </w:pPr>
    </w:p>
    <w:p>
      <w:pPr>
        <w:sectPr>
          <w:pgSz w:w="11900" w:h="16838" w:orient="portrait"/>
          <w:cols w:equalWidth="0" w:num="2">
            <w:col w:w="4600" w:space="720"/>
            <w:col w:w="61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 to 7 years</w:t>
      </w:r>
    </w:p>
    <w:p>
      <w:pPr>
        <w:spacing w:after="0" w:line="79" w:lineRule="exact"/>
        <w:rPr>
          <w:sz w:val="20"/>
          <w:szCs w:val="20"/>
          <w:color w:val="auto"/>
        </w:rPr>
      </w:pPr>
    </w:p>
    <w:p>
      <w:pPr>
        <w:sectPr>
          <w:pgSz w:w="11900" w:h="16838" w:orient="portrait"/>
          <w:cols w:equalWidth="0" w:num="2">
            <w:col w:w="4600" w:space="720"/>
            <w:col w:w="61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Shorter of the estimated lease term or useful life</w:t>
      </w:r>
    </w:p>
    <w:p>
      <w:pPr>
        <w:spacing w:after="0" w:line="200" w:lineRule="exact"/>
        <w:rPr>
          <w:sz w:val="20"/>
          <w:szCs w:val="20"/>
          <w:color w:val="auto"/>
        </w:rPr>
      </w:pPr>
    </w:p>
    <w:p>
      <w:pPr>
        <w:sectPr>
          <w:pgSz w:w="11900" w:h="16838" w:orient="portrait"/>
          <w:cols w:equalWidth="0" w:num="2">
            <w:col w:w="4600" w:space="720"/>
            <w:col w:w="6100"/>
          </w:cols>
          <w:pgMar w:left="240" w:top="121" w:right="239" w:bottom="1440" w:gutter="0" w:footer="0" w:header="0"/>
          <w:type w:val="continuous"/>
        </w:sectPr>
      </w:pPr>
    </w:p>
    <w:p>
      <w:pPr>
        <w:spacing w:after="0" w:line="1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Maintenance and repairs are charged to expense as incurred.</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Deferred Costs</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contracts or the estimated customer life, which is approximately three years.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Software Development Costs</w:t>
      </w:r>
    </w:p>
    <w:p>
      <w:pPr>
        <w:spacing w:after="0" w:line="2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Debt Issuance Costs</w:t>
      </w:r>
    </w:p>
    <w:p>
      <w:pPr>
        <w:spacing w:after="0" w:line="25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The Company incurred debt issuance costs associated with obtaining and entering into a five-year Credit and Security Agreement in November 2016, which includes a revolving credit facility and a term loan. These costs include non-refundable structuring fees, commitment fees, up-front fees and syndication expenses, which have been deferred and are being amortized based on the effective interest method over the term of the Credit and Security Agreement. The debt issuance costs associated with the revolving credit facility are recorded as a deferred cost in the accompanying consolidated balance sheets. The unamortized debt issuance costs, which are included in prepaid expenses and other current assets in the accompanying consolidated balance sheets, were $200 and $175 as of December 31, 2016 and 2017, respectively. Debt issuance costs associated with the term loan were recognized as an adjustment of the yield of the loan and were reflected as a reduction of the long-term debt balance. As of December 31, 2016 and 2017, unamortized debt issuance costs were $326 and $0, respectively. On November 14, 2017, the term loan was paid in full and $260 of unamortized debt issuance costs were recorded as interest expense.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Goodwill</w:t>
      </w:r>
    </w:p>
    <w:p>
      <w:pPr>
        <w:spacing w:after="0" w:line="2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has determined that it has two-reporting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net book value exceeds its fair value, then the Company would perform the second step of the goodwill impairment test to determine the amount of the impairment loss. The impairment loss would be calculated by comparing the implied fair value of the goodwill to its net book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19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 As of December 31, 2016 and 2017, the Company has recorded goodwill of $6,867. No goodwill impairment charges were recorded for the years ended December 31, 2015, 2016 and 2017.</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Impairment of Long-Lived Assets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Advertising Costs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expenses advertising costs as incurred. Advertising costs totaled $329, $197 and $464 for the years ended December 31, 2015, 2016 and 2017, respectively, which are included in sales and marketing expenses in the accompanying consolidated statements of operations.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Commissions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Commissions consist of variable compensation earned by sales personnel and third-party resellers. Sales commissions associated with the acquisition of a new customer contract are recognized as sales and marketing expense at the time the customer has entered into a binding agreement.</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Stock-Based Compensation</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accounts for stock-based compensation expense related to stock-based awards based on the fair value of the award on the grant date. Stock-based compensation expense is recognized on a straight-line basis over the requisite service period, which is generally four years. The Company uses the Black-Scholes option pricing model, net of estimated forfeitures, to measure the fair value of its stock options.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Black-Scholes option pricing model requires the use of objective and subjective assumptions, which determine the fair-value of stock-based awards. These assumptions include:</w:t>
      </w:r>
    </w:p>
    <w:p>
      <w:pPr>
        <w:spacing w:after="0" w:line="215" w:lineRule="exact"/>
        <w:rPr>
          <w:sz w:val="20"/>
          <w:szCs w:val="20"/>
          <w:color w:val="auto"/>
        </w:rPr>
      </w:pPr>
    </w:p>
    <w:p>
      <w:pPr>
        <w:jc w:val="both"/>
        <w:ind w:left="660" w:hanging="328"/>
        <w:spacing w:after="0" w:line="287" w:lineRule="auto"/>
        <w:tabs>
          <w:tab w:leader="none" w:pos="66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Fair value of our common stock. </w:t>
      </w:r>
      <w:r>
        <w:rPr>
          <w:rFonts w:ascii="Arial" w:cs="Arial" w:eastAsia="Arial" w:hAnsi="Arial"/>
          <w:sz w:val="19"/>
          <w:szCs w:val="19"/>
          <w:color w:val="auto"/>
        </w:rPr>
        <w:t>Prior to the Company's IPO, the fair value of the shares of the Company's common stock</w:t>
      </w:r>
      <w:r>
        <w:rPr>
          <w:rFonts w:ascii="Arial" w:cs="Arial" w:eastAsia="Arial" w:hAnsi="Arial"/>
          <w:sz w:val="19"/>
          <w:szCs w:val="19"/>
          <w:i w:val="1"/>
          <w:iCs w:val="1"/>
          <w:color w:val="auto"/>
        </w:rPr>
        <w:t xml:space="preserve"> </w:t>
      </w:r>
      <w:r>
        <w:rPr>
          <w:rFonts w:ascii="Arial" w:cs="Arial" w:eastAsia="Arial" w:hAnsi="Arial"/>
          <w:sz w:val="19"/>
          <w:szCs w:val="19"/>
          <w:color w:val="auto"/>
        </w:rPr>
        <w:t>underlying stock options has historically been established by the board of directors. Numerous objective and subjective factors that were considered included, but were not limited to, the following: i) contemporaneous independent, third-party valuations of the Company's common stock; ii) the rights, preferences and privileges of the Company's redeemable convertible preferred stock relative to those of the Company's common stock; iii) the Company's results of operations, financial position and capital resources; iv) current business conditions and projections; v) the lack of marketability of the Company's common stock; vi) the hiring of key personnel and the experience of the Company's management; vi) the introduction of new products; vii) the risk inherent in the development and expansion of the Company's products; viii) the fact that the option grants involve illiquid securities in a private company; ix) the likelihood of achieving a liquidity event, such as an initial public offering or a sale of the Company, given the prevailing market conditions; x) industry trends and competitive environment; and xi) overall economic indicators, including gross domestic product, employment, inflation and interest rates. After the IPO, the Company uses the market closing price of its Class A common stock as reported on the NASDAQ Global Select Market for the fair value.</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ind w:left="660" w:hanging="328"/>
        <w:spacing w:after="0" w:line="287" w:lineRule="auto"/>
        <w:tabs>
          <w:tab w:leader="none" w:pos="660" w:val="left"/>
        </w:tabs>
        <w:numPr>
          <w:ilvl w:val="0"/>
          <w:numId w:val="38"/>
        </w:numPr>
        <w:rPr>
          <w:rFonts w:ascii="Arial" w:cs="Arial" w:eastAsia="Arial" w:hAnsi="Arial"/>
          <w:sz w:val="21"/>
          <w:szCs w:val="21"/>
          <w:color w:val="auto"/>
        </w:rPr>
      </w:pPr>
      <w:r>
        <w:rPr>
          <w:rFonts w:ascii="Arial" w:cs="Arial" w:eastAsia="Arial" w:hAnsi="Arial"/>
          <w:sz w:val="21"/>
          <w:szCs w:val="21"/>
          <w:i w:val="1"/>
          <w:iCs w:val="1"/>
          <w:color w:val="auto"/>
        </w:rPr>
        <w:t xml:space="preserve">Expected term. </w:t>
      </w:r>
      <w:r>
        <w:rPr>
          <w:rFonts w:ascii="Arial" w:cs="Arial" w:eastAsia="Arial" w:hAnsi="Arial"/>
          <w:sz w:val="21"/>
          <w:szCs w:val="21"/>
          <w:color w:val="auto"/>
        </w:rPr>
        <w:t>The expected term was estimated using the simplified method allowed under SEC guidance as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does not have sufficient historical data to use any other method to estimate the expected term.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00" w:lineRule="exact"/>
        <w:rPr>
          <w:sz w:val="20"/>
          <w:szCs w:val="20"/>
          <w:color w:val="auto"/>
        </w:rPr>
      </w:pPr>
    </w:p>
    <w:p>
      <w:pPr>
        <w:jc w:val="both"/>
        <w:ind w:left="660" w:hanging="328"/>
        <w:spacing w:after="0" w:line="250"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 xml:space="preserve">Expected volatility. </w:t>
      </w:r>
      <w:r>
        <w:rPr>
          <w:rFonts w:ascii="Arial" w:cs="Arial" w:eastAsia="Arial" w:hAnsi="Arial"/>
          <w:sz w:val="22"/>
          <w:szCs w:val="22"/>
          <w:color w:val="auto"/>
        </w:rPr>
        <w:t>The expected volatility is derived from an average of the historical volatilities of the common stock of</w:t>
      </w:r>
      <w:r>
        <w:rPr>
          <w:rFonts w:ascii="Arial" w:cs="Arial" w:eastAsia="Arial" w:hAnsi="Arial"/>
          <w:sz w:val="22"/>
          <w:szCs w:val="22"/>
          <w:i w:val="1"/>
          <w:iCs w:val="1"/>
          <w:color w:val="auto"/>
        </w:rPr>
        <w:t xml:space="preserve"> </w:t>
      </w:r>
      <w:r>
        <w:rPr>
          <w:rFonts w:ascii="Arial" w:cs="Arial" w:eastAsia="Arial" w:hAnsi="Arial"/>
          <w:sz w:val="22"/>
          <w:szCs w:val="22"/>
          <w:color w:val="auto"/>
        </w:rPr>
        <w:t>several entities with characteristics similar to those of the Company, such as the size, and operational and economic similarities to its principle business operations. The Company uses this method because it has limited information on the volatility of its common stock.</w:t>
      </w:r>
    </w:p>
    <w:p>
      <w:pPr>
        <w:spacing w:after="0" w:line="228"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 xml:space="preserve">Risk-free interest rate. </w:t>
      </w:r>
      <w:r>
        <w:rPr>
          <w:rFonts w:ascii="Arial" w:cs="Arial" w:eastAsia="Arial" w:hAnsi="Arial"/>
          <w:sz w:val="22"/>
          <w:szCs w:val="22"/>
          <w:color w:val="auto"/>
        </w:rPr>
        <w:t>The risk-free interest rate is based on the yields of U.S. Treasury securities with maturities similar to</w:t>
      </w:r>
      <w:r>
        <w:rPr>
          <w:rFonts w:ascii="Arial" w:cs="Arial" w:eastAsia="Arial" w:hAnsi="Arial"/>
          <w:sz w:val="22"/>
          <w:szCs w:val="22"/>
          <w:i w:val="1"/>
          <w:iCs w:val="1"/>
          <w:color w:val="auto"/>
        </w:rPr>
        <w:t xml:space="preserve"> </w:t>
      </w:r>
      <w:r>
        <w:rPr>
          <w:rFonts w:ascii="Arial" w:cs="Arial" w:eastAsia="Arial" w:hAnsi="Arial"/>
          <w:sz w:val="22"/>
          <w:szCs w:val="22"/>
          <w:color w:val="auto"/>
        </w:rPr>
        <w:t>the expected term of the options for each option group as of the grant date.</w:t>
      </w:r>
    </w:p>
    <w:p>
      <w:pPr>
        <w:spacing w:after="0" w:line="215"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 xml:space="preserve">Expected dividends. </w:t>
      </w:r>
      <w:r>
        <w:rPr>
          <w:rFonts w:ascii="Arial" w:cs="Arial" w:eastAsia="Arial" w:hAnsi="Arial"/>
          <w:sz w:val="22"/>
          <w:szCs w:val="22"/>
          <w:color w:val="auto"/>
        </w:rPr>
        <w:t>The expected dividend is assumed to be zero as the Company has never paid dividends and has no</w:t>
      </w:r>
      <w:r>
        <w:rPr>
          <w:rFonts w:ascii="Arial" w:cs="Arial" w:eastAsia="Arial" w:hAnsi="Arial"/>
          <w:sz w:val="22"/>
          <w:szCs w:val="22"/>
          <w:i w:val="1"/>
          <w:iCs w:val="1"/>
          <w:color w:val="auto"/>
        </w:rPr>
        <w:t xml:space="preserve"> </w:t>
      </w:r>
      <w:r>
        <w:rPr>
          <w:rFonts w:ascii="Arial" w:cs="Arial" w:eastAsia="Arial" w:hAnsi="Arial"/>
          <w:sz w:val="22"/>
          <w:szCs w:val="22"/>
          <w:color w:val="auto"/>
        </w:rPr>
        <w:t>current plans to pay any dividends on its common stock.</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addition to the assumptions used in the Black-Scholes option pricing model, the Company must also determine a forfeiture rate to calculate the stock-based compensation for awards. Through December 31, 2017, the Company recognized compensation for only the portion of options expected to vest using an estimated forfeiture rate that was derived from historical employee termination behavior. If any of the assumptions used in the Black-Scholes option pricing model change, stock-based compensation for future options may differ materially compared to that associated with previous grants.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Income Taxes</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expense.</w:t>
      </w:r>
    </w:p>
    <w:p>
      <w:pPr>
        <w:spacing w:after="0" w:line="200" w:lineRule="exact"/>
        <w:rPr>
          <w:sz w:val="20"/>
          <w:szCs w:val="20"/>
          <w:color w:val="auto"/>
        </w:rPr>
      </w:pPr>
    </w:p>
    <w:p>
      <w:pPr>
        <w:spacing w:after="0" w:line="321"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Operating Segments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operating segments, CPaaS and Other, which are deemed to be reportable segments. The Company’s CODM is its Chief Executive Officer. The CODM evaluates the performance of the Company’s operating segments primarily based on revenue and gross profit. The Company does not analyze discrete segment balance sheet information related to long-term assets, all of which are located in the United States. All other financial information is presented on a consolidated basis.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Earnings (Loss) per Share</w:t>
      </w:r>
    </w:p>
    <w:p>
      <w:pPr>
        <w:spacing w:after="0" w:line="253"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Basic earnings (loss) per share attributable to common stockholders is calculated by dividing the net income (loss) attributable to common stockholders by the weighted-average number of shares of common stock outstanding for the period.</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Diluted net income (loss)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Company has issued securities other than common stock that participate in dividends (“Participating Securities”), and therefore utilizes the two-class method to calculate net income (loss) per share. These Participating Securities include the Series A redeemable convertible preferred stock. The two-class method requires a portion of net income (loss) to be allocated to the Participating Securities to determine the net income (loss) attributable to common stockholders. Net income (loss) attributable to the common stockholders is equal to the net income (loss) less dividends paid on preferred stock with any remaining earnings allocated in accordance with the bylaws between the outstanding common and redeemable convertible preferred stock as of the end of each period. On November 9, 2017, the Participating Securities were converted into shares of Old Class A common stock, which converted to Class B common stock immediately prior to the IPO.</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Emerging Growth Company Status</w:t>
      </w:r>
    </w:p>
    <w:p>
      <w:pPr>
        <w:spacing w:after="0" w:line="2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Company is an “emerging growth company” as defined in the Jumpstart Our Business Startups Act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it will not adopt new or revised accounting standards on the relevant dates on which adoption of such standards is required for other public companies.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Recently Adopted Accounting Pronouncements</w:t>
      </w:r>
    </w:p>
    <w:p>
      <w:pPr>
        <w:spacing w:after="0" w:line="2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In March 2016, the Financial Accounting Standards Board ("FASB") issued Accounting Standards Update ("ASU") 2016-09, </w:t>
      </w:r>
      <w:r>
        <w:rPr>
          <w:rFonts w:ascii="Arial" w:cs="Arial" w:eastAsia="Arial" w:hAnsi="Arial"/>
          <w:sz w:val="19"/>
          <w:szCs w:val="19"/>
          <w:i w:val="1"/>
          <w:iCs w:val="1"/>
          <w:color w:val="auto"/>
        </w:rPr>
        <w:t>Compensation—Stock Compensation (Topic 718): Improvements to Employee Share-Based Payment Accounting</w:t>
      </w:r>
      <w:r>
        <w:rPr>
          <w:rFonts w:ascii="Arial" w:cs="Arial" w:eastAsia="Arial" w:hAnsi="Arial"/>
          <w:sz w:val="19"/>
          <w:szCs w:val="19"/>
          <w:color w:val="auto"/>
        </w:rPr>
        <w:t>. The effective date of ASU 2016-09 for private business entities is for fiscal years beginning after December 15, 2017. Early adoption is permitted and the Company adopted the amendments in ASU 2016-09 effective January 1, 2016. This standard simplifies several aspects of the accounting for equity-based payment awards, including the income tax consequences and classification on the statement of cash flows. Certain changes implemented by this standard are required to be applied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retrospectively, while other changes are required to be applied prospectively. The Company elected to continue to estimate forfeitures when recording stock-based compensation expense.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excess tax benefits and tax deficiencies related to the year ended December 31, 2016 were recognized in income tax expense. Prior to the adoption of this standard, this amount would have been recorded as additional paid-in capital. This change could create future volatility in the Company’s effective tax rate depending upon the amount of exercise or vesting activity from stock based awards.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recognition of previously unrecognized excess tax benefits of $420 was recognized as a cumulative effect adjustment on a modified retrospective basis during the year ended December 31, 2016. The Company recorded a deferred tax asset for previously unrecognized excess tax benefits outstanding as of the January 1, 2016, with an offsetting adjustment to accumulated deficit.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addition, cash flows related to excess tax benefits will no longer be classified as a financing activity apart from other income tax cash flows. The Company has adopted the change in presentation of excess tax benefits in the statements of cash flows on a prospective basis beginning in 2016.</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In November 2015, the FASB issued ASU 2015-17, </w:t>
      </w:r>
      <w:r>
        <w:rPr>
          <w:rFonts w:ascii="Arial" w:cs="Arial" w:eastAsia="Arial" w:hAnsi="Arial"/>
          <w:sz w:val="19"/>
          <w:szCs w:val="19"/>
          <w:i w:val="1"/>
          <w:iCs w:val="1"/>
          <w:color w:val="auto"/>
        </w:rPr>
        <w:t>Balance Sheet Classification of Deferred Taxes (Topic 740)</w:t>
      </w:r>
      <w:r>
        <w:rPr>
          <w:rFonts w:ascii="Arial" w:cs="Arial" w:eastAsia="Arial" w:hAnsi="Arial"/>
          <w:sz w:val="19"/>
          <w:szCs w:val="19"/>
          <w:color w:val="auto"/>
        </w:rPr>
        <w:t>, which requires that all deferred tax assets and liabilities, including any related valuation allowance, be classified as noncurrent on the balance sheet. ASU 2015-17 was effective for fiscal years beginning after December 15, 2016 for public entities, and early adoption is permitted. The Company elected to early adopt ASU 2015-17 beginning with the year ended December 31, 2015.</w:t>
      </w:r>
    </w:p>
    <w:p>
      <w:pPr>
        <w:spacing w:after="0" w:line="1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In April 2015, the FASB issued ASU 2015-05, </w:t>
      </w:r>
      <w:r>
        <w:rPr>
          <w:rFonts w:ascii="Arial" w:cs="Arial" w:eastAsia="Arial" w:hAnsi="Arial"/>
          <w:sz w:val="21"/>
          <w:szCs w:val="21"/>
          <w:i w:val="1"/>
          <w:iCs w:val="1"/>
          <w:color w:val="auto"/>
        </w:rPr>
        <w:t>Customer’s Accounting for Fees Paid in a Cloud Computing Arrangement</w:t>
      </w:r>
      <w:r>
        <w:rPr>
          <w:rFonts w:ascii="Arial" w:cs="Arial" w:eastAsia="Arial" w:hAnsi="Arial"/>
          <w:sz w:val="21"/>
          <w:szCs w:val="21"/>
          <w:color w:val="auto"/>
        </w:rPr>
        <w:t>. This new standard, which provides guidance to customers about whether a cloud computing arrangement includes a software license, was effective January 1, 2016.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adopted this standard on January 1, 2016. The adoption of this standard did not have a material impact on its consolidated financial statements.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In April 2015, the FASB issued ASU 2015-03, </w:t>
      </w:r>
      <w:r>
        <w:rPr>
          <w:rFonts w:ascii="Arial" w:cs="Arial" w:eastAsia="Arial" w:hAnsi="Arial"/>
          <w:sz w:val="22"/>
          <w:szCs w:val="22"/>
          <w:i w:val="1"/>
          <w:iCs w:val="1"/>
          <w:color w:val="auto"/>
        </w:rPr>
        <w:t>Simplifying the Presentation of Debt Issuance Costs,</w:t>
      </w:r>
      <w:r>
        <w:rPr>
          <w:rFonts w:ascii="Arial" w:cs="Arial" w:eastAsia="Arial" w:hAnsi="Arial"/>
          <w:sz w:val="22"/>
          <w:szCs w:val="22"/>
          <w:color w:val="auto"/>
        </w:rPr>
        <w:t xml:space="preserve"> which simplifies the presentation of debt issuance costs by requiring that such costs be presented in the consolidated balance sheets as a direct deduction from the carrying value of the associated debt instrument, consistent with debt discounts. Subsequent to the issuance of ASU 2015-03, the SEC staff announced that the presentation of debt issuance costs associated with line-of-credit arrangements may be presented as an asset. This announcement was codified by the FASB in ASU 2015-15. These ASUs were effective for the year ended December 31, 2016, and the adoption did not have a material impact on the Company’s financial condition, results of operations or cash flows.</w:t>
      </w:r>
    </w:p>
    <w:p>
      <w:pPr>
        <w:spacing w:after="0" w:line="2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In August 2014, the FASB issued ASU 2014-15, </w:t>
      </w:r>
      <w:r>
        <w:rPr>
          <w:rFonts w:ascii="Arial" w:cs="Arial" w:eastAsia="Arial" w:hAnsi="Arial"/>
          <w:sz w:val="22"/>
          <w:szCs w:val="22"/>
          <w:i w:val="1"/>
          <w:iCs w:val="1"/>
          <w:color w:val="auto"/>
        </w:rPr>
        <w:t>Disclosure of Uncertainties about an Entity’s Ability to Continue as a</w:t>
      </w:r>
      <w:r>
        <w:rPr>
          <w:rFonts w:ascii="Arial" w:cs="Arial" w:eastAsia="Arial" w:hAnsi="Arial"/>
          <w:sz w:val="22"/>
          <w:szCs w:val="22"/>
          <w:color w:val="auto"/>
        </w:rPr>
        <w:t xml:space="preserve"> </w:t>
      </w:r>
      <w:r>
        <w:rPr>
          <w:rFonts w:ascii="Arial" w:cs="Arial" w:eastAsia="Arial" w:hAnsi="Arial"/>
          <w:sz w:val="22"/>
          <w:szCs w:val="22"/>
          <w:i w:val="1"/>
          <w:iCs w:val="1"/>
          <w:color w:val="auto"/>
        </w:rPr>
        <w:t>Going Concern</w:t>
      </w:r>
      <w:r>
        <w:rPr>
          <w:rFonts w:ascii="Arial" w:cs="Arial" w:eastAsia="Arial" w:hAnsi="Arial"/>
          <w:sz w:val="22"/>
          <w:szCs w:val="22"/>
          <w:color w:val="auto"/>
        </w:rPr>
        <w:t>, which provides guidance about management’s responsibility to evaluate whether there is substantial doubt about</w:t>
      </w:r>
      <w:r>
        <w:rPr>
          <w:rFonts w:ascii="Arial" w:cs="Arial" w:eastAsia="Arial" w:hAnsi="Arial"/>
          <w:sz w:val="22"/>
          <w:szCs w:val="22"/>
          <w:i w:val="1"/>
          <w:iCs w:val="1"/>
          <w:color w:val="auto"/>
        </w:rPr>
        <w:t xml:space="preserve"> </w:t>
      </w:r>
      <w:r>
        <w:rPr>
          <w:rFonts w:ascii="Arial" w:cs="Arial" w:eastAsia="Arial" w:hAnsi="Arial"/>
          <w:sz w:val="22"/>
          <w:szCs w:val="22"/>
          <w:color w:val="auto"/>
        </w:rPr>
        <w:t>an entity’s ability to continue as a going concern and to provide related disclosures. ASU 2014-15 was effective for the year ended December 31, 2016, and its adoption did not have a material impact on the Company’s financial condition, results of operations or cash flows.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auto"/>
        </w:rPr>
        <w:t>Recent Accounting Pronouncements Not Yet Adopted</w:t>
      </w:r>
    </w:p>
    <w:p>
      <w:pPr>
        <w:spacing w:after="0" w:line="25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231F20"/>
        </w:rPr>
        <w:t xml:space="preserve">In May 2017, the FASB issued ASU 2017-09, </w:t>
      </w:r>
      <w:r>
        <w:rPr>
          <w:rFonts w:ascii="Arial" w:cs="Arial" w:eastAsia="Arial" w:hAnsi="Arial"/>
          <w:sz w:val="19"/>
          <w:szCs w:val="19"/>
          <w:i w:val="1"/>
          <w:iCs w:val="1"/>
          <w:color w:val="231F20"/>
        </w:rPr>
        <w:t>Compensation-Stock Compensation (Topic 718), Scope of Modification</w:t>
      </w:r>
      <w:r>
        <w:rPr>
          <w:rFonts w:ascii="Arial" w:cs="Arial" w:eastAsia="Arial" w:hAnsi="Arial"/>
          <w:sz w:val="19"/>
          <w:szCs w:val="19"/>
          <w:color w:val="231F20"/>
        </w:rPr>
        <w:t xml:space="preserve"> </w:t>
      </w:r>
      <w:r>
        <w:rPr>
          <w:rFonts w:ascii="Arial" w:cs="Arial" w:eastAsia="Arial" w:hAnsi="Arial"/>
          <w:sz w:val="19"/>
          <w:szCs w:val="19"/>
          <w:i w:val="1"/>
          <w:iCs w:val="1"/>
          <w:color w:val="231F20"/>
        </w:rPr>
        <w:t>Accounting</w:t>
      </w:r>
      <w:r>
        <w:rPr>
          <w:rFonts w:ascii="Arial" w:cs="Arial" w:eastAsia="Arial" w:hAnsi="Arial"/>
          <w:sz w:val="19"/>
          <w:szCs w:val="19"/>
          <w:color w:val="231F20"/>
        </w:rPr>
        <w:t>, which amends the scope of modification accounting for share-based payment arrangements. The ASU provides</w:t>
      </w:r>
      <w:r>
        <w:rPr>
          <w:rFonts w:ascii="Arial" w:cs="Arial" w:eastAsia="Arial" w:hAnsi="Arial"/>
          <w:sz w:val="19"/>
          <w:szCs w:val="19"/>
          <w:i w:val="1"/>
          <w:iCs w:val="1"/>
          <w:color w:val="231F20"/>
        </w:rPr>
        <w:t xml:space="preserve"> </w:t>
      </w:r>
      <w:r>
        <w:rPr>
          <w:rFonts w:ascii="Arial" w:cs="Arial" w:eastAsia="Arial" w:hAnsi="Arial"/>
          <w:sz w:val="19"/>
          <w:szCs w:val="19"/>
          <w:color w:val="231F20"/>
        </w:rPr>
        <w:t>guidance on the types of changes to terms or conditions of share-based payment awards to which an entity would be required to apply modification accounting under ASC 718, Compensation-Stock Compensation. ASU 2017-09 is effective for fiscal years and interim periods within those years beginning after December 15, 2017, and early adoption is permitted. The Company is evaluating the impact of this guidance on its consolidated financial statements and related disclosures.</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231F20"/>
        </w:rPr>
        <w:t xml:space="preserve">In January 2017, the FASB issued ASU 2017-04, </w:t>
      </w:r>
      <w:r>
        <w:rPr>
          <w:rFonts w:ascii="Arial" w:cs="Arial" w:eastAsia="Arial" w:hAnsi="Arial"/>
          <w:sz w:val="21"/>
          <w:szCs w:val="21"/>
          <w:i w:val="1"/>
          <w:iCs w:val="1"/>
          <w:color w:val="231F20"/>
        </w:rPr>
        <w:t>Simplifying the Test for Goodwill Impairment</w:t>
      </w:r>
      <w:r>
        <w:rPr>
          <w:rFonts w:ascii="Arial" w:cs="Arial" w:eastAsia="Arial" w:hAnsi="Arial"/>
          <w:sz w:val="21"/>
          <w:szCs w:val="21"/>
          <w:color w:val="231F20"/>
        </w:rPr>
        <w:t>, which simplifies the accounting for goodwill impairment. The ASU requires impairment charges to be based on the first step in today’s two-step impairment test. ASU 2017-04 is effective for annual and interim impairment tests performed in periods beginning after December 15, 2021, and early adoption is permitted. Management does not expect the adoption of this guidance to have any impact on the Company's financial position, results of operations, or cash flows.</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231F20"/>
        </w:rPr>
        <w:t xml:space="preserve">In January 2017, the FASB issued ASU 2017-01, </w:t>
      </w:r>
      <w:r>
        <w:rPr>
          <w:rFonts w:ascii="Arial" w:cs="Arial" w:eastAsia="Arial" w:hAnsi="Arial"/>
          <w:sz w:val="19"/>
          <w:szCs w:val="19"/>
          <w:i w:val="1"/>
          <w:iCs w:val="1"/>
          <w:color w:val="231F20"/>
        </w:rPr>
        <w:t>Business Combinations (Topic 805) Clarifying the Definition of a</w:t>
      </w:r>
      <w:r>
        <w:rPr>
          <w:rFonts w:ascii="Arial" w:cs="Arial" w:eastAsia="Arial" w:hAnsi="Arial"/>
          <w:sz w:val="19"/>
          <w:szCs w:val="19"/>
          <w:color w:val="231F20"/>
        </w:rPr>
        <w:t xml:space="preserve"> </w:t>
      </w:r>
      <w:r>
        <w:rPr>
          <w:rFonts w:ascii="Arial" w:cs="Arial" w:eastAsia="Arial" w:hAnsi="Arial"/>
          <w:sz w:val="19"/>
          <w:szCs w:val="19"/>
          <w:i w:val="1"/>
          <w:iCs w:val="1"/>
          <w:color w:val="231F20"/>
        </w:rPr>
        <w:t>Business</w:t>
      </w:r>
      <w:r>
        <w:rPr>
          <w:rFonts w:ascii="Arial" w:cs="Arial" w:eastAsia="Arial" w:hAnsi="Arial"/>
          <w:sz w:val="19"/>
          <w:szCs w:val="19"/>
          <w:color w:val="231F20"/>
        </w:rPr>
        <w:t>, which amends the guidance of FASB Accounting Standards Codification Topic 805, “Business Combinations”, adding</w:t>
      </w:r>
      <w:r>
        <w:rPr>
          <w:rFonts w:ascii="Arial" w:cs="Arial" w:eastAsia="Arial" w:hAnsi="Arial"/>
          <w:sz w:val="19"/>
          <w:szCs w:val="19"/>
          <w:i w:val="1"/>
          <w:iCs w:val="1"/>
          <w:color w:val="231F20"/>
        </w:rPr>
        <w:t xml:space="preserve"> </w:t>
      </w:r>
      <w:r>
        <w:rPr>
          <w:rFonts w:ascii="Arial" w:cs="Arial" w:eastAsia="Arial" w:hAnsi="Arial"/>
          <w:sz w:val="19"/>
          <w:szCs w:val="19"/>
          <w:color w:val="231F20"/>
        </w:rPr>
        <w:t>guidance to assist entities with evaluating whether transactions should be accounted for as acquisitions or disposals of assets or businesses. The definition of a business affects many areas of accounting including acquisitions, disposals, goodwill, and consolidation. This guidance is effective for annual and interim periods beginning after December 15, 2017, and early adoption is permitted under certain circumstances. The impact from the adoption of this standard is dependent upon future transactions.</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231F20"/>
        </w:rPr>
        <w:t xml:space="preserve">In August 2016, the FASB issued ASU 2016-15, </w:t>
      </w:r>
      <w:r>
        <w:rPr>
          <w:rFonts w:ascii="Arial" w:cs="Arial" w:eastAsia="Arial" w:hAnsi="Arial"/>
          <w:sz w:val="22"/>
          <w:szCs w:val="22"/>
          <w:i w:val="1"/>
          <w:iCs w:val="1"/>
          <w:color w:val="231F20"/>
        </w:rPr>
        <w:t>Statement of Cash Flows (Topic 230), Classification of Certain Cash</w:t>
      </w:r>
      <w:r>
        <w:rPr>
          <w:rFonts w:ascii="Arial" w:cs="Arial" w:eastAsia="Arial" w:hAnsi="Arial"/>
          <w:sz w:val="22"/>
          <w:szCs w:val="22"/>
          <w:color w:val="231F20"/>
        </w:rPr>
        <w:t xml:space="preserve"> </w:t>
      </w:r>
      <w:r>
        <w:rPr>
          <w:rFonts w:ascii="Arial" w:cs="Arial" w:eastAsia="Arial" w:hAnsi="Arial"/>
          <w:sz w:val="22"/>
          <w:szCs w:val="22"/>
          <w:i w:val="1"/>
          <w:iCs w:val="1"/>
          <w:color w:val="231F20"/>
        </w:rPr>
        <w:t xml:space="preserve">Receipts and Cash Payments, </w:t>
      </w:r>
      <w:r>
        <w:rPr>
          <w:rFonts w:ascii="Arial" w:cs="Arial" w:eastAsia="Arial" w:hAnsi="Arial"/>
          <w:sz w:val="22"/>
          <w:szCs w:val="22"/>
          <w:color w:val="231F20"/>
        </w:rPr>
        <w:t>which clarifies how entities should classify certain cash receipts and cash payments on the statement</w:t>
      </w:r>
      <w:r>
        <w:rPr>
          <w:rFonts w:ascii="Arial" w:cs="Arial" w:eastAsia="Arial" w:hAnsi="Arial"/>
          <w:sz w:val="22"/>
          <w:szCs w:val="22"/>
          <w:i w:val="1"/>
          <w:iCs w:val="1"/>
          <w:color w:val="231F20"/>
        </w:rPr>
        <w:t xml:space="preserve"> </w:t>
      </w:r>
      <w:r>
        <w:rPr>
          <w:rFonts w:ascii="Arial" w:cs="Arial" w:eastAsia="Arial" w:hAnsi="Arial"/>
          <w:sz w:val="22"/>
          <w:szCs w:val="22"/>
          <w:color w:val="231F20"/>
        </w:rPr>
        <w:t>of cash flows. The guidance also clarifies how the predominance principle should be applied when cash receipts and cash payments have aspects of more than one class of cash flows. ASU 2016-15 is effective for fiscal years beginning after December 15, 2018, and interim periods within fiscal years beginning after December 15, 2019, and early adoption is permitted. Entities will have to apply the guidance retrospectively, but if it is impracticable to do so for an issue, the amendments related to that issue would be applied prospectively. The Company is evaluating the impact of this guidance on its consolidated financial statements and related disclosures.</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231F20"/>
        </w:rPr>
        <w:t xml:space="preserve">In February 2016, the FASB issued ASU 2016-02, </w:t>
      </w:r>
      <w:r>
        <w:rPr>
          <w:rFonts w:ascii="Arial" w:cs="Arial" w:eastAsia="Arial" w:hAnsi="Arial"/>
          <w:sz w:val="19"/>
          <w:szCs w:val="19"/>
          <w:i w:val="1"/>
          <w:iCs w:val="1"/>
          <w:color w:val="231F20"/>
        </w:rPr>
        <w:t>Leases.</w:t>
      </w:r>
      <w:r>
        <w:rPr>
          <w:rFonts w:ascii="Arial" w:cs="Arial" w:eastAsia="Arial" w:hAnsi="Arial"/>
          <w:sz w:val="19"/>
          <w:szCs w:val="19"/>
          <w:color w:val="231F20"/>
        </w:rPr>
        <w:t xml:space="preserve"> The standard will affect all entities that lease assets and will require lessees to recognize a lease liability and a right-of-use asset for all leases (except for short- term leases that have a duration of less than one year) as of the date on which the lessor makes the underlying asset available to the lessee. For lessors, accounting for leases is substantially the same as in prior periods. ASU 2016-02 is effective for fiscal years beginning after December 15, 2019, and interim periods within annual periods beginning after December 15, 2020,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May 2014, the FASB issued ASU 2014-09,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This new guidance will replace most existing GAAP guidance on this topic. The new revenue recognition standard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provides a unified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In August 2015, the FASB issued ASU 2015-14 “</w:t>
      </w:r>
      <w:r>
        <w:rPr>
          <w:rFonts w:ascii="Arial" w:cs="Arial" w:eastAsia="Arial" w:hAnsi="Arial"/>
          <w:sz w:val="19"/>
          <w:szCs w:val="19"/>
          <w:i w:val="1"/>
          <w:iCs w:val="1"/>
          <w:color w:val="auto"/>
        </w:rPr>
        <w:t>Revenue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from Contracts with Customers: Deferral of the effective date,” </w:t>
      </w:r>
      <w:r>
        <w:rPr>
          <w:rFonts w:ascii="Arial" w:cs="Arial" w:eastAsia="Arial" w:hAnsi="Arial"/>
          <w:sz w:val="19"/>
          <w:szCs w:val="19"/>
          <w:color w:val="auto"/>
        </w:rPr>
        <w:t>which deferred by one year the effective date for the new revenue</w:t>
      </w:r>
      <w:r>
        <w:rPr>
          <w:rFonts w:ascii="Arial" w:cs="Arial" w:eastAsia="Arial" w:hAnsi="Arial"/>
          <w:sz w:val="19"/>
          <w:szCs w:val="19"/>
          <w:i w:val="1"/>
          <w:iCs w:val="1"/>
          <w:color w:val="auto"/>
        </w:rPr>
        <w:t xml:space="preserve"> </w:t>
      </w:r>
      <w:r>
        <w:rPr>
          <w:rFonts w:ascii="Arial" w:cs="Arial" w:eastAsia="Arial" w:hAnsi="Arial"/>
          <w:sz w:val="19"/>
          <w:szCs w:val="19"/>
          <w:color w:val="auto"/>
        </w:rPr>
        <w:t>reporting standard for entities reporting under GAAP. In accordance with the deferral, this guidance will be effective for the Company beginning in the year ended December 31, 2019. This guidance can be applied either retrospectively to each period presented or as a cumulative effect adjustment as of the date of adoption. In December 2016, the FASB issued ASU 2016-20, “Revenue from Contracts with Customers, Technical Corrections and Improvements to Topic 606,” which made 12 additional technical corrections and improvements to the new revenue standard. In March 2016, the FASB issued ASU 2016-08, “</w:t>
      </w:r>
      <w:r>
        <w:rPr>
          <w:rFonts w:ascii="Arial" w:cs="Arial" w:eastAsia="Arial" w:hAnsi="Arial"/>
          <w:sz w:val="19"/>
          <w:szCs w:val="19"/>
          <w:i w:val="1"/>
          <w:iCs w:val="1"/>
          <w:color w:val="auto"/>
        </w:rPr>
        <w:t>Revenue</w:t>
      </w:r>
      <w:r>
        <w:rPr>
          <w:rFonts w:ascii="Arial" w:cs="Arial" w:eastAsia="Arial" w:hAnsi="Arial"/>
          <w:sz w:val="19"/>
          <w:szCs w:val="19"/>
          <w:color w:val="auto"/>
        </w:rPr>
        <w:t xml:space="preserve"> </w:t>
      </w:r>
      <w:r>
        <w:rPr>
          <w:rFonts w:ascii="Arial" w:cs="Arial" w:eastAsia="Arial" w:hAnsi="Arial"/>
          <w:sz w:val="19"/>
          <w:szCs w:val="19"/>
          <w:i w:val="1"/>
          <w:iCs w:val="1"/>
          <w:color w:val="auto"/>
        </w:rPr>
        <w:t>from Contracts with Customers, Principal versus Agent Considerations (Reporting Revenue Gross versus Net)</w:t>
      </w:r>
      <w:r>
        <w:rPr>
          <w:rFonts w:ascii="Arial" w:cs="Arial" w:eastAsia="Arial" w:hAnsi="Arial"/>
          <w:sz w:val="19"/>
          <w:szCs w:val="19"/>
          <w:color w:val="auto"/>
        </w:rPr>
        <w:t>” clarifying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implementation guidance on principal versus 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In April 2016, the FASB issued ASU 2016-10,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w:t>
      </w:r>
      <w:r>
        <w:rPr>
          <w:rFonts w:ascii="Arial" w:cs="Arial" w:eastAsia="Arial" w:hAnsi="Arial"/>
          <w:sz w:val="19"/>
          <w:szCs w:val="19"/>
          <w:i w:val="1"/>
          <w:iCs w:val="1"/>
          <w:color w:val="auto"/>
        </w:rPr>
        <w:t>Identifying Performance Obligations and Licensing”</w:t>
      </w:r>
      <w:r>
        <w:rPr>
          <w:rFonts w:ascii="Arial" w:cs="Arial" w:eastAsia="Arial" w:hAnsi="Arial"/>
          <w:sz w:val="19"/>
          <w:szCs w:val="19"/>
          <w:color w:val="auto"/>
        </w:rPr>
        <w:t>, clarifying the implementation guidance on identifying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obligations and licensing. Specifically, the amendments reduce the cost and complexity of identifying promised goods or services and improve the guidance for determining whether promises are separately identifiable. The amendments also provide implementation guidance on accounting for an entity’s promise to grant a license. In May 2016, the FASB issued ASU 2016-12, </w:t>
      </w:r>
      <w:r>
        <w:rPr>
          <w:rFonts w:ascii="Arial" w:cs="Arial" w:eastAsia="Arial" w:hAnsi="Arial"/>
          <w:sz w:val="19"/>
          <w:szCs w:val="19"/>
          <w:i w:val="1"/>
          <w:iCs w:val="1"/>
          <w:color w:val="auto"/>
        </w:rPr>
        <w:t>“Revenue from Contracts with Customers, Narrow-Scope Improvements and Practical Expedients,”</w:t>
      </w:r>
      <w:r>
        <w:rPr>
          <w:rFonts w:ascii="Arial" w:cs="Arial" w:eastAsia="Arial" w:hAnsi="Arial"/>
          <w:sz w:val="19"/>
          <w:szCs w:val="19"/>
          <w:color w:val="auto"/>
        </w:rPr>
        <w:t xml:space="preserve"> clarifying guidance on assessing collectability, presentation of sales taxes, noncash consideration, completed contracts and contract modifications. The effective date and transition requirements for ASU 2016-20, ASU 2016-08 and ASU 2016-10 are the same as the effective date and transition requirements for ASU 2014-09, which will be effective for the Company beginning January 1, 2019.</w:t>
      </w:r>
    </w:p>
    <w:p>
      <w:pPr>
        <w:spacing w:after="0" w:line="20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Company is still assessing all potential impacts of the new standard on its consolidated financial statements. Given the comprehensive nature of the standard, the Company has already taken steps to identify the impact on its consolidated financial results. The Company has completed a diagnostic which highlighted potential differences between current accounting policies and the new standard. Additionally, the Company has engaged a third-party service provider to assist in its evaluation of customer contracts to identify the attributes that could result in a different accounting treatment under ASU 2014-09. From an information technology perspective, the Company identified the preliminary business requirements and functionality of a new technology solution and have selected a software provider. The Company has not yet reached a conclusion as to whether the quantitative effect of the adoption of the new standard on its revenue will be material. The Company will continue to monitor and assess the impact of the changes of the new standard and the related interpretations of its application as they become available.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3. Discontinued Operations</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231F20"/>
        </w:rPr>
        <w:t>On April 20, 2015, the Company created a wholly owned subsidiary, Republic Wireless, Inc. (“Republic”), which was incorporated in Delaware. On November 30, 2016, the Company completed a pro-rata distribution of the common stock of Republic to its stockholders of record as of the close of business (the “Spin-Off”). Each of its stockholders received one share of Republic common stock for each share of Bandwidth common or redeemable convertible preferred stock held as of the close of business 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21"/>
          <w:szCs w:val="21"/>
          <w:color w:val="231F20"/>
        </w:rPr>
        <w:t>November 30, 2016. Accordingly, the results of operations, financial condition and cash flows of Republic have been presented as discontinued operations for all periods presented in the accompanying consolidated financial statements.</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231F20"/>
        </w:rPr>
        <w:t>The distribution was recorded at the carrying amount of Republic’s net liabilities of $1,101 as of November 30,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 of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1,199</w:t>
            </w:r>
          </w:p>
        </w:tc>
      </w:tr>
      <w:tr>
        <w:trPr>
          <w:trHeight w:val="270"/>
        </w:trPr>
        <w:tc>
          <w:tcPr>
            <w:tcW w:w="7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7,305</w:t>
            </w:r>
          </w:p>
        </w:tc>
      </w:tr>
      <w:tr>
        <w:trPr>
          <w:trHeight w:val="270"/>
        </w:trPr>
        <w:tc>
          <w:tcPr>
            <w:tcW w:w="7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2,540</w:t>
            </w:r>
          </w:p>
        </w:tc>
      </w:tr>
      <w:tr>
        <w:trPr>
          <w:trHeight w:val="27"/>
        </w:trPr>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11,044</w:t>
            </w:r>
          </w:p>
        </w:tc>
      </w:tr>
      <w:tr>
        <w:trPr>
          <w:trHeight w:val="270"/>
        </w:trPr>
        <w:tc>
          <w:tcPr>
            <w:tcW w:w="7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1,898</w:t>
            </w:r>
          </w:p>
        </w:tc>
      </w:tr>
      <w:tr>
        <w:trPr>
          <w:trHeight w:val="270"/>
        </w:trPr>
        <w:tc>
          <w:tcPr>
            <w:tcW w:w="7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7"/>
        </w:trPr>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13,138</w:t>
            </w:r>
          </w:p>
        </w:tc>
      </w:tr>
      <w:tr>
        <w:trPr>
          <w:trHeight w:val="27"/>
        </w:trPr>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17" w:lineRule="exact"/>
        <w:rPr>
          <w:sz w:val="20"/>
          <w:szCs w:val="20"/>
          <w:color w:val="auto"/>
        </w:rPr>
      </w:pPr>
    </w:p>
    <w:p>
      <w:pPr>
        <w:sectPr>
          <w:pgSz w:w="11900" w:h="16838" w:orient="portrait"/>
          <w:cols w:equalWidth="0" w:num="2">
            <w:col w:w="8640" w:space="720"/>
            <w:col w:w="2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14,239</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liabilities of Republic</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360" w:type="dxa"/>
            <w:vAlign w:val="bottom"/>
            <w:vMerge w:val="continue"/>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In addition, the Company distributed $30,000 in cash to Republic in connection with the Spin-Off. Accordingly, the net assets distributed to the stockholders in connection with the Spin-Off was $28,899. Bandwidth has not otherwise provided nor does it intend to provide financial support to Republic.</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231F20"/>
        </w:rPr>
        <w:t>Given the nature of the Spin-Off transaction, the equity holders of Bandwidth are comprised of substantially the same individuals and entities that are the equity owners of Republic. The Company determined the equity owners of Republic are related parties of Bandwidth. As described in Note 15, the Company has certain involvement with Republic via ongoing services arrangements, with these ongoing services arrangements creating a variable interest in Republic. The Company assessed the relationship with Republic under guidance for variable interest entities, and because investors in Republic have disproportionate voting rights, the Company concluded that Republic is a variable interest entity (“VIE”).</w:t>
      </w:r>
    </w:p>
    <w:p>
      <w:pPr>
        <w:spacing w:after="0" w:line="2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231F20"/>
        </w:rPr>
        <w:t>Republic is a provider of Wi-Fi centric mobile services directly to retail consumers. Bandwidth determined it is not the primary beneficiary of Republic, as Bandwidth and its related parties do not individually have power to direct the activities that most significantly impact Republic’s economic performance and power is not shared. Bandwidth’s involvement with Republic involves providing certain support services through the Transition Services Agreement, which does not give it power over key activities. Key activities are directed by the Board of Directors Republic, which require majority approval. Bandwidth does not have direct representation on the Board of Republic and is not able to exert power over its key activities. Bandwidth does not have an implicit variable interest in Republic. Republic is financed primarily through the cash distribution in connection with the Spin-off and its own ongoing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Company’s maximum exposure to loss relating to this variable interest entity is limited to amounts due under the service agreements between Bandwidth and Republic as described in Notes 12, "Commitments and Contingencies" and 15, "Related Parties".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231F20"/>
        </w:rPr>
        <w:t>The Spin-Off represented a strategic shift to Bandwidth’s business. The Company believes that for US Federal income tax purposes, the Spin-Off will qualify as tax-free for Republic, Bandwidth and its stockholders. The Company entered into a tax sharing agreement with Republic that governs rights and obligations after the Spin-Off regarding income taxes and other taxes, including tax liabilities and benefits, attributes, returns and contests.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231F20"/>
        </w:rPr>
        <w:t>The table below provides the operating results of the discontinued operations through the date of the Spin-Off for the years ended December 31, 2016:</w:t>
      </w:r>
    </w:p>
    <w:p>
      <w:pPr>
        <w:spacing w:after="0" w:line="115"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6"/>
        </w:trPr>
        <w:tc>
          <w:tcPr>
            <w:tcW w:w="79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83,156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Direct costs of network services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(78,922)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(61,582)</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(24,692)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interest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(13,665)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w:t>
            </w:r>
          </w:p>
        </w:tc>
      </w:tr>
      <w:tr>
        <w:trPr>
          <w:trHeight w:val="27"/>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Fair Value of Financial Instruments</w:t>
      </w:r>
    </w:p>
    <w:p>
      <w:pPr>
        <w:spacing w:after="0" w:line="25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carrying amounts of cash and cash equivalents, accounts receivable, accounts payable and accrued expenses approximate fair value as of December 31, 2016 and 2017 because of the relatively short duration of these instruments. The carrying value of long-term debt at December 31, 2016 approximates fair value given interest rates are based on market rates. The rates are subject to change monthly, quarterly, semi-annually or annually at the Company’s election.</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209" w:lineRule="exact"/>
        <w:rPr>
          <w:sz w:val="20"/>
          <w:szCs w:val="20"/>
          <w:color w:val="auto"/>
        </w:rPr>
      </w:pPr>
    </w:p>
    <w:p>
      <w:pPr>
        <w:ind w:left="540" w:hanging="316"/>
        <w:spacing w:after="0"/>
        <w:tabs>
          <w:tab w:leader="none" w:pos="540" w:val="left"/>
        </w:tabs>
        <w:numPr>
          <w:ilvl w:val="0"/>
          <w:numId w:val="40"/>
        </w:numPr>
        <w:rPr>
          <w:rFonts w:ascii="Arial" w:cs="Arial" w:eastAsia="Arial" w:hAnsi="Arial"/>
          <w:sz w:val="21"/>
          <w:szCs w:val="21"/>
          <w:color w:val="auto"/>
        </w:rPr>
      </w:pPr>
      <w:r>
        <w:rPr>
          <w:rFonts w:ascii="Arial" w:cs="Arial" w:eastAsia="Arial" w:hAnsi="Arial"/>
          <w:sz w:val="21"/>
          <w:szCs w:val="21"/>
          <w:b w:val="1"/>
          <w:bCs w:val="1"/>
          <w:color w:val="auto"/>
        </w:rPr>
        <w:t xml:space="preserve">Level 1. </w:t>
      </w:r>
      <w:r>
        <w:rPr>
          <w:rFonts w:ascii="Arial" w:cs="Arial" w:eastAsia="Arial" w:hAnsi="Arial"/>
          <w:sz w:val="21"/>
          <w:szCs w:val="21"/>
          <w:color w:val="auto"/>
        </w:rPr>
        <w:t>Observable inputs based on unadjusted quoted prices in active markets for identical assets or liabilities;</w:t>
      </w:r>
    </w:p>
    <w:p>
      <w:pPr>
        <w:spacing w:after="0" w:line="39" w:lineRule="exact"/>
        <w:rPr>
          <w:rFonts w:ascii="Arial" w:cs="Arial" w:eastAsia="Arial" w:hAnsi="Arial"/>
          <w:sz w:val="21"/>
          <w:szCs w:val="21"/>
          <w:color w:val="auto"/>
        </w:rPr>
      </w:pPr>
    </w:p>
    <w:p>
      <w:pPr>
        <w:ind w:left="540" w:hanging="316"/>
        <w:spacing w:after="0"/>
        <w:tabs>
          <w:tab w:leader="none" w:pos="54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Inputs, other than quoted prices in active markets, that are observable either directly or indirectly; and</w:t>
      </w:r>
    </w:p>
    <w:p>
      <w:pPr>
        <w:spacing w:after="0" w:line="3" w:lineRule="exact"/>
        <w:rPr>
          <w:rFonts w:ascii="Arial" w:cs="Arial" w:eastAsia="Arial" w:hAnsi="Arial"/>
          <w:sz w:val="22"/>
          <w:szCs w:val="22"/>
          <w:color w:val="auto"/>
        </w:rPr>
      </w:pPr>
    </w:p>
    <w:p>
      <w:pPr>
        <w:ind w:left="540" w:hanging="316"/>
        <w:spacing w:after="0" w:line="246" w:lineRule="auto"/>
        <w:tabs>
          <w:tab w:leader="none" w:pos="54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Level 3. </w:t>
      </w:r>
      <w:r>
        <w:rPr>
          <w:rFonts w:ascii="Arial" w:cs="Arial" w:eastAsia="Arial" w:hAnsi="Arial"/>
          <w:sz w:val="22"/>
          <w:szCs w:val="22"/>
          <w:color w:val="auto"/>
        </w:rPr>
        <w:t>Unobservable inputs for which there is little or no market data, which requires the Company to develop its own</w:t>
      </w:r>
      <w:r>
        <w:rPr>
          <w:rFonts w:ascii="Arial" w:cs="Arial" w:eastAsia="Arial" w:hAnsi="Arial"/>
          <w:sz w:val="22"/>
          <w:szCs w:val="22"/>
          <w:b w:val="1"/>
          <w:bCs w:val="1"/>
          <w:color w:val="auto"/>
        </w:rPr>
        <w:t xml:space="preserve"> </w:t>
      </w:r>
      <w:r>
        <w:rPr>
          <w:rFonts w:ascii="Arial" w:cs="Arial" w:eastAsia="Arial" w:hAnsi="Arial"/>
          <w:sz w:val="22"/>
          <w:szCs w:val="22"/>
          <w:color w:val="auto"/>
        </w:rPr>
        <w:t>assumptions.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evaluated its financial assets and liabilities subject to fair value measurements on a recurring basis to determine the appropriate level in which to classify them for each reporting period. The following table summarizes the assets measured at fair value as of December 31, 2016 and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40" w:type="dxa"/>
            <w:vAlign w:val="bottom"/>
            <w:gridSpan w:val="15"/>
          </w:tcPr>
          <w:p>
            <w:pPr>
              <w:jc w:val="center"/>
              <w:ind w:left="790"/>
              <w:spacing w:after="0"/>
              <w:rPr>
                <w:sz w:val="20"/>
                <w:szCs w:val="20"/>
                <w:color w:val="auto"/>
              </w:rPr>
            </w:pPr>
            <w:r>
              <w:rPr>
                <w:rFonts w:ascii="Arial" w:cs="Arial" w:eastAsia="Arial" w:hAnsi="Arial"/>
                <w:sz w:val="18"/>
                <w:szCs w:val="18"/>
                <w:b w:val="1"/>
                <w:bCs w:val="1"/>
                <w:color w:val="auto"/>
                <w:w w:val="90"/>
              </w:rPr>
              <w:t>Fair Value Measurements on a Recurring Basis</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8"/>
              </w:rPr>
              <w:t>December 31, 2016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7"/>
        </w:trPr>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anti-dilutive arrangement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color w:val="auto"/>
                <w:w w:val="86"/>
              </w:rPr>
              <w:t>184</w:t>
            </w: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37"/>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center"/>
              <w:ind w:left="650"/>
              <w:spacing w:after="0"/>
              <w:rPr>
                <w:sz w:val="20"/>
                <w:szCs w:val="20"/>
                <w:color w:val="auto"/>
              </w:rPr>
            </w:pPr>
            <w:r>
              <w:rPr>
                <w:rFonts w:ascii="Arial" w:cs="Arial" w:eastAsia="Arial" w:hAnsi="Arial"/>
                <w:sz w:val="18"/>
                <w:szCs w:val="18"/>
                <w:color w:val="auto"/>
                <w:w w:val="86"/>
              </w:rPr>
              <w:t>184</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0" w:type="dxa"/>
            <w:vAlign w:val="bottom"/>
            <w:tcBorders>
              <w:top w:val="single" w:sz="8" w:color="auto"/>
            </w:tcBorders>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583"/>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15"/>
          </w:tcPr>
          <w:p>
            <w:pPr>
              <w:jc w:val="center"/>
              <w:ind w:left="750"/>
              <w:spacing w:after="0"/>
              <w:rPr>
                <w:sz w:val="20"/>
                <w:szCs w:val="20"/>
                <w:color w:val="auto"/>
              </w:rPr>
            </w:pPr>
            <w:r>
              <w:rPr>
                <w:rFonts w:ascii="Arial" w:cs="Arial" w:eastAsia="Arial" w:hAnsi="Arial"/>
                <w:sz w:val="18"/>
                <w:szCs w:val="18"/>
                <w:b w:val="1"/>
                <w:bCs w:val="1"/>
                <w:color w:val="auto"/>
                <w:w w:val="90"/>
              </w:rPr>
              <w:t>Fair Value Measurements on a Recurring Basis</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8"/>
              </w:rPr>
              <w:t>December 31, 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7"/>
        </w:trPr>
        <w:tc>
          <w:tcPr>
            <w:tcW w:w="5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w:t>
            </w: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28,015</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28,015</w:t>
            </w:r>
          </w:p>
        </w:tc>
        <w:tc>
          <w:tcPr>
            <w:tcW w:w="40" w:type="dxa"/>
            <w:vAlign w:val="bottom"/>
          </w:tcPr>
          <w:p>
            <w:pPr>
              <w:spacing w:after="0"/>
              <w:rPr>
                <w:sz w:val="22"/>
                <w:szCs w:val="2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28,015</w:t>
            </w:r>
          </w:p>
        </w:tc>
        <w:tc>
          <w:tcPr>
            <w:tcW w:w="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2016 and 2017.</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money market account is included in cash and cash equivalents in the consolidated balance sheets as of December 31, 2016 and 2017.</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On February 22, 2011, the Company entered into an anti-dilutive arrangement with the Principal Non-Founder Stockholders (“Principal Stockholders”). Under the terms of the agreement, the Principal Stockholders received the right (“shareholders’ anti-dilutive arrangement”) to purchase a pro-rata number of shares based on their ownership percentage of outstanding shares, when certain option holders exercise his or her stock option. The price at which the Principal Stockholders may purchase their pro-rata shares matches the exercise price of the option exercised. The Principal Stockholders have 90 days from the date of receipt of notice to inform the Company of their intention to purchase stock under the terms of the agreement. On a quarterly basis, the Company adjusts this liability to fair value.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agreement terminates by one of the following events:</w:t>
      </w:r>
    </w:p>
    <w:p>
      <w:pPr>
        <w:spacing w:after="0" w:line="247" w:lineRule="exact"/>
        <w:rPr>
          <w:sz w:val="20"/>
          <w:szCs w:val="20"/>
          <w:color w:val="auto"/>
        </w:rPr>
      </w:pPr>
    </w:p>
    <w:p>
      <w:pPr>
        <w:ind w:left="540" w:hanging="316"/>
        <w:spacing w:after="0" w:line="251" w:lineRule="auto"/>
        <w:tabs>
          <w:tab w:leader="none" w:pos="5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closing of a “Qualified Public Offering,” which is defined as one resulting in aggregate net proceeds to the Company equal to or greater than $20 million, or</w:t>
      </w:r>
    </w:p>
    <w:p>
      <w:pPr>
        <w:spacing w:after="0" w:line="2" w:lineRule="exact"/>
        <w:rPr>
          <w:rFonts w:ascii="Arial" w:cs="Arial" w:eastAsia="Arial" w:hAnsi="Arial"/>
          <w:sz w:val="22"/>
          <w:szCs w:val="22"/>
          <w:color w:val="auto"/>
        </w:rPr>
      </w:pPr>
    </w:p>
    <w:p>
      <w:pPr>
        <w:ind w:left="540" w:hanging="316"/>
        <w:spacing w:after="0"/>
        <w:tabs>
          <w:tab w:leader="none" w:pos="5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“true sale” as defined in the Investors’ Rights Agreement.</w:t>
      </w: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shareholders’ anti-dilutive arrangement is included in other liabilities in the consolidated balance sheets as of December 31, 2016, and as a result of the Company's IPO, the agreement terminated on November 9, 2017.</w:t>
      </w:r>
    </w:p>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Prior to the termination date, the fair value of the shareholders’ anti-dilutive arrangement was estimated using the Black-Scholes-Merton option pricing model. The significant unobservable inputs used in the fair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value measurement of the shareholders’ anti-dilutive arrangement were the fair value of the Company’s stock and the expected term of the options. The expected term was calculated as a weighted average of the estimated time to IPO as of the measurement date and the historical average term of options subject to the agreement which were vested and expired or were exercised. Volatility was based on the historical volatility of certain public entities that are similar to the Company as the Company did not have sufficient historical transactions of its own shares on which to base expected volatility.</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Financial Statement Components</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Accounts receivable, net of allowance for doubtful accounts consist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Unbilled accounts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8,653</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accounts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21,225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Components of allowance for doubtful accounts are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beginning of period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Charged to 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Deductions(1)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end of period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 Write off of uncollectible accounts after all collection efforts have been exhausted.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34290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480"/>
        <w:spacing w:after="0"/>
        <w:tabs>
          <w:tab w:leader="none" w:pos="194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2017</w:t>
      </w:r>
    </w:p>
    <w:p>
      <w:pPr>
        <w:spacing w:after="0" w:line="81" w:lineRule="exact"/>
        <w:rPr>
          <w:sz w:val="20"/>
          <w:szCs w:val="20"/>
          <w:color w:val="auto"/>
        </w:rPr>
      </w:pPr>
    </w:p>
    <w:p>
      <w:pPr>
        <w:spacing w:after="0"/>
        <w:tabs>
          <w:tab w:leader="none" w:pos="960" w:val="left"/>
          <w:tab w:leader="none" w:pos="146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238</w:t>
        <w:tab/>
        <w:t>$</w:t>
      </w:r>
      <w:r>
        <w:rPr>
          <w:sz w:val="20"/>
          <w:szCs w:val="20"/>
          <w:color w:val="auto"/>
        </w:rPr>
        <w:tab/>
      </w:r>
      <w:r>
        <w:rPr>
          <w:rFonts w:ascii="Arial" w:cs="Arial" w:eastAsia="Arial" w:hAnsi="Arial"/>
          <w:sz w:val="16"/>
          <w:szCs w:val="16"/>
          <w:color w:val="auto"/>
        </w:rPr>
        <w:t>255</w:t>
      </w:r>
    </w:p>
    <w:p>
      <w:pPr>
        <w:spacing w:after="0" w:line="63" w:lineRule="exact"/>
        <w:rPr>
          <w:sz w:val="20"/>
          <w:szCs w:val="20"/>
          <w:color w:val="auto"/>
        </w:rPr>
      </w:pPr>
    </w:p>
    <w:p>
      <w:pPr>
        <w:ind w:left="980"/>
        <w:spacing w:after="0"/>
        <w:tabs>
          <w:tab w:leader="none" w:pos="242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8"/>
          <w:szCs w:val="18"/>
          <w:color w:val="auto"/>
        </w:rPr>
        <w:t>176</w:t>
      </w:r>
    </w:p>
    <w:p>
      <w:pPr>
        <w:spacing w:after="0" w:line="63" w:lineRule="exact"/>
        <w:rPr>
          <w:sz w:val="20"/>
          <w:szCs w:val="20"/>
          <w:color w:val="auto"/>
        </w:rPr>
      </w:pPr>
    </w:p>
    <w:p>
      <w:pPr>
        <w:ind w:left="2380" w:hanging="1470"/>
        <w:spacing w:after="0"/>
        <w:tabs>
          <w:tab w:leader="none" w:pos="2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39370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8" w:lineRule="exact"/>
        <w:rPr>
          <w:sz w:val="20"/>
          <w:szCs w:val="20"/>
          <w:color w:val="auto"/>
        </w:rPr>
      </w:pPr>
    </w:p>
    <w:p>
      <w:pPr>
        <w:spacing w:after="0"/>
        <w:tabs>
          <w:tab w:leader="none" w:pos="960" w:val="left"/>
          <w:tab w:leader="none" w:pos="146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255</w:t>
        <w:tab/>
        <w:t>$</w:t>
      </w:r>
      <w:r>
        <w:rPr>
          <w:sz w:val="20"/>
          <w:szCs w:val="20"/>
          <w:color w:val="auto"/>
        </w:rPr>
        <w:tab/>
      </w: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Year Ended December 31,</w:t>
      </w:r>
    </w:p>
    <w:p>
      <w:pPr>
        <w:spacing w:after="0" w:line="34" w:lineRule="exact"/>
        <w:rPr>
          <w:sz w:val="20"/>
          <w:szCs w:val="20"/>
          <w:color w:val="auto"/>
        </w:rPr>
      </w:pPr>
    </w:p>
    <w:p>
      <w:pPr>
        <w:sectPr>
          <w:pgSz w:w="11900" w:h="16838" w:orient="portrait"/>
          <w:cols w:equalWidth="0" w:num="2">
            <w:col w:w="7880" w:space="720"/>
            <w:col w:w="2820"/>
          </w:cols>
          <w:pgMar w:left="240" w:top="121" w:right="239" w:bottom="1440" w:gutter="0" w:footer="0" w:header="0"/>
          <w:type w:val="continuous"/>
        </w:sectPr>
      </w:pPr>
    </w:p>
    <w:tbl>
      <w:tblPr>
        <w:tblLayout w:type="fixed"/>
        <w:tblInd w:w="60" w:type="dxa"/>
        <w:tblCellMar>
          <w:top w:w="0" w:type="dxa"/>
          <w:left w:w="0" w:type="dxa"/>
          <w:bottom w:w="0" w:type="dxa"/>
          <w:right w:w="0" w:type="dxa"/>
        </w:tblCellMar>
      </w:tblPr>
      <w:tr>
        <w:trPr>
          <w:trHeight w:val="257"/>
        </w:trPr>
        <w:tc>
          <w:tcPr>
            <w:tcW w:w="85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Allowance for CABS revenue:</w:t>
            </w: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22,316</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Billings deemed not probable of collection(1)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10,024</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Deductions(2)</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22,316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17145</wp:posOffset>
            </wp:positionV>
            <wp:extent cx="1800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-95885</wp:posOffset>
            </wp:positionV>
            <wp:extent cx="18008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 w:lineRule="exact"/>
        <w:rPr>
          <w:sz w:val="20"/>
          <w:szCs w:val="20"/>
          <w:color w:val="auto"/>
        </w:rPr>
      </w:pPr>
    </w:p>
    <w:p>
      <w:pPr>
        <w:jc w:val="both"/>
        <w:ind w:left="60" w:firstLine="488"/>
        <w:spacing w:after="0" w:line="250" w:lineRule="auto"/>
        <w:tabs>
          <w:tab w:leader="none" w:pos="8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customers collection experience. Amounts were charged to a contra-revenue account. Refer also to Note 17, Subsequent Events," for discussion of the settlement agreement that was entered into subsequent to year-end that resolved the ongoing dispute and litigation with Verizon, which is a CABS customer of the Company and represented the majority of the outstanding CABS receivables and related allowance.</w:t>
      </w:r>
    </w:p>
    <w:p>
      <w:pPr>
        <w:ind w:left="800" w:hanging="252"/>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Write off of uncollectible accounts after all collection efforts have been exhausted.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CABS revenue:</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19,147</w:t>
            </w: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9,123</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deemed not probable of collection(1)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0"/>
        </w:trPr>
        <w:tc>
          <w:tcPr>
            <w:tcW w:w="70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-95885</wp:posOffset>
            </wp:positionV>
            <wp:extent cx="2727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firstLine="494"/>
        <w:spacing w:after="0" w:line="324" w:lineRule="auto"/>
        <w:tabs>
          <w:tab w:leader="none" w:pos="7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amounts billed but where collectibility is not probable based on customers collection experience. Amounts were charged to a contra-revenue account.</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Accrued expenses and other current liabilities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5,237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use, and telecom related taxes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14,649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Property and Equipment</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Property and equipment, net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and office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7,545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Telecommunications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Automobile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(29,427)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three years. Costs incurred prior to the application development stage, maintenance activities or minor upgrades are expensed in the period incurred. Unamortized software development costs were approximately $4,056 and $3,795 as of December 31, 2016 and 2017,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Amortization expense related to capitalized software development costs were $2,842</w:t>
      </w:r>
      <w:r>
        <w:rPr>
          <w:rFonts w:ascii="Arial" w:cs="Arial" w:eastAsia="Arial" w:hAnsi="Arial"/>
          <w:sz w:val="18"/>
          <w:szCs w:val="18"/>
          <w:color w:val="auto"/>
        </w:rPr>
        <w:t>,</w:t>
      </w:r>
      <w:r>
        <w:rPr>
          <w:rFonts w:ascii="Arial" w:cs="Arial" w:eastAsia="Arial" w:hAnsi="Arial"/>
          <w:sz w:val="22"/>
          <w:szCs w:val="22"/>
          <w:color w:val="auto"/>
        </w:rPr>
        <w:t xml:space="preserve"> $2,820 and $2,133 for the years ended December 31, 2015, 2016 and 2017, respectively.</w:t>
      </w:r>
    </w:p>
    <w:p>
      <w:pPr>
        <w:spacing w:after="0" w:line="188"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The Company recognized an impairment of $71</w:t>
      </w:r>
      <w:r>
        <w:rPr>
          <w:rFonts w:ascii="Arial" w:cs="Arial" w:eastAsia="Arial" w:hAnsi="Arial"/>
          <w:sz w:val="16"/>
          <w:szCs w:val="16"/>
          <w:color w:val="auto"/>
        </w:rPr>
        <w:t>,</w:t>
      </w:r>
      <w:r>
        <w:rPr>
          <w:rFonts w:ascii="Arial" w:cs="Arial" w:eastAsia="Arial" w:hAnsi="Arial"/>
          <w:sz w:val="19"/>
          <w:szCs w:val="19"/>
          <w:color w:val="auto"/>
        </w:rPr>
        <w:t xml:space="preserve"> $91 and $81 during the years ended December 31, 2015, 2016 and 2017, respectively, related to capitalized software development costs that provided no future benefit and therefore were impaired. This expense is reflected within cost of revenue in the accompanying consolidated statements of operations.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Company capitalized $3,011</w:t>
      </w:r>
      <w:r>
        <w:rPr>
          <w:rFonts w:ascii="Arial" w:cs="Arial" w:eastAsia="Arial" w:hAnsi="Arial"/>
          <w:sz w:val="18"/>
          <w:szCs w:val="18"/>
          <w:color w:val="auto"/>
        </w:rPr>
        <w:t>,</w:t>
      </w:r>
      <w:r>
        <w:rPr>
          <w:rFonts w:ascii="Arial" w:cs="Arial" w:eastAsia="Arial" w:hAnsi="Arial"/>
          <w:sz w:val="22"/>
          <w:szCs w:val="22"/>
          <w:color w:val="auto"/>
        </w:rPr>
        <w:t xml:space="preserve"> $2,230 and $2,942 of software development costs during the years ended December 31, 2015, 2016 and 2017, respectively.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recognized depreciation expense, which includes amortization of capitalized software development costs,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depreciation expense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6,167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Intangible Assets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Intangible assets consisted of the following as of December 31, 2016: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Intangible assets consisted of the following as of December 31,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6,844</w:t>
            </w:r>
          </w:p>
        </w:tc>
        <w:tc>
          <w:tcPr>
            <w:tcW w:w="17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Domain name and related trademarks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amortizable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2–5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Licenses, indefinite lived</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Amortization expense for definite lived intangible assets was $908, $891 and $839 for the years ended December 31, 2015, 2016 and 2017, respectively. The weighted average amortization period for all definite lived intangible assets is 19 years.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Future estimated amortization expense for definite lived intangible assets subsequent to December 31, 2017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80" w:type="dxa"/>
            <w:vAlign w:val="bottom"/>
          </w:tcPr>
          <w:p>
            <w:pPr>
              <w:jc w:val="right"/>
              <w:ind w:right="541"/>
              <w:spacing w:after="0"/>
              <w:rPr>
                <w:sz w:val="20"/>
                <w:szCs w:val="20"/>
                <w:color w:val="auto"/>
              </w:rPr>
            </w:pPr>
            <w:r>
              <w:rPr>
                <w:rFonts w:ascii="Arial" w:cs="Arial" w:eastAsia="Arial" w:hAnsi="Arial"/>
                <w:sz w:val="20"/>
                <w:szCs w:val="20"/>
                <w:b w:val="1"/>
                <w:bCs w:val="1"/>
                <w:color w:val="auto"/>
              </w:rPr>
              <w:t>Amount</w:t>
            </w:r>
          </w:p>
        </w:tc>
        <w:tc>
          <w:tcPr>
            <w:tcW w:w="0" w:type="dxa"/>
            <w:vAlign w:val="bottom"/>
          </w:tcPr>
          <w:p>
            <w:pPr>
              <w:spacing w:after="0"/>
              <w:rPr>
                <w:sz w:val="1"/>
                <w:szCs w:val="1"/>
                <w:color w:val="auto"/>
              </w:rPr>
            </w:pPr>
          </w:p>
        </w:tc>
      </w:tr>
      <w:tr>
        <w:trPr>
          <w:trHeight w:val="23"/>
        </w:trPr>
        <w:tc>
          <w:tcPr>
            <w:tcW w:w="9440" w:type="dxa"/>
            <w:vAlign w:val="bottom"/>
            <w:vMerge w:val="restart"/>
          </w:tcPr>
          <w:p>
            <w:pPr>
              <w:ind w:left="40"/>
              <w:spacing w:after="0"/>
              <w:rPr>
                <w:sz w:val="20"/>
                <w:szCs w:val="20"/>
                <w:color w:val="auto"/>
              </w:rPr>
            </w:pPr>
            <w:r>
              <w:rPr>
                <w:rFonts w:ascii="Arial" w:cs="Arial" w:eastAsia="Arial" w:hAnsi="Arial"/>
                <w:sz w:val="20"/>
                <w:szCs w:val="20"/>
                <w:color w:val="auto"/>
              </w:rPr>
              <w:t>2018</w:t>
            </w: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9440" w:type="dxa"/>
            <w:vAlign w:val="bottom"/>
            <w:vMerge w:val="continue"/>
          </w:tcPr>
          <w:p>
            <w:pPr>
              <w:spacing w:after="0"/>
              <w:rPr>
                <w:sz w:val="22"/>
                <w:szCs w:val="22"/>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555</w:t>
            </w:r>
          </w:p>
        </w:tc>
        <w:tc>
          <w:tcPr>
            <w:tcW w:w="0" w:type="dxa"/>
            <w:vAlign w:val="bottom"/>
          </w:tcPr>
          <w:p>
            <w:pPr>
              <w:spacing w:after="0"/>
              <w:rPr>
                <w:sz w:val="1"/>
                <w:szCs w:val="1"/>
                <w:color w:val="auto"/>
              </w:rPr>
            </w:pPr>
          </w:p>
        </w:tc>
      </w:tr>
      <w:tr>
        <w:trPr>
          <w:trHeight w:val="23"/>
        </w:trPr>
        <w:tc>
          <w:tcPr>
            <w:tcW w:w="9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2019</w:t>
            </w: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520</w:t>
            </w:r>
          </w:p>
        </w:tc>
        <w:tc>
          <w:tcPr>
            <w:tcW w:w="0" w:type="dxa"/>
            <w:vAlign w:val="bottom"/>
          </w:tcPr>
          <w:p>
            <w:pPr>
              <w:spacing w:after="0"/>
              <w:rPr>
                <w:sz w:val="1"/>
                <w:szCs w:val="1"/>
                <w:color w:val="auto"/>
              </w:rPr>
            </w:pPr>
          </w:p>
        </w:tc>
      </w:tr>
      <w:tr>
        <w:trPr>
          <w:trHeight w:val="261"/>
        </w:trPr>
        <w:tc>
          <w:tcPr>
            <w:tcW w:w="9440" w:type="dxa"/>
            <w:vAlign w:val="bottom"/>
          </w:tcPr>
          <w:p>
            <w:pPr>
              <w:ind w:left="40"/>
              <w:spacing w:after="0"/>
              <w:rPr>
                <w:sz w:val="20"/>
                <w:szCs w:val="20"/>
                <w:color w:val="auto"/>
              </w:rPr>
            </w:pPr>
            <w:r>
              <w:rPr>
                <w:rFonts w:ascii="Arial" w:cs="Arial" w:eastAsia="Arial" w:hAnsi="Arial"/>
                <w:sz w:val="20"/>
                <w:szCs w:val="20"/>
                <w:color w:val="auto"/>
              </w:rPr>
              <w:t>2020</w:t>
            </w:r>
          </w:p>
        </w:tc>
        <w:tc>
          <w:tcPr>
            <w:tcW w:w="38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520</w:t>
            </w:r>
          </w:p>
        </w:tc>
        <w:tc>
          <w:tcPr>
            <w:tcW w:w="0" w:type="dxa"/>
            <w:vAlign w:val="bottom"/>
          </w:tcPr>
          <w:p>
            <w:pPr>
              <w:spacing w:after="0"/>
              <w:rPr>
                <w:sz w:val="1"/>
                <w:szCs w:val="1"/>
                <w:color w:val="auto"/>
              </w:rPr>
            </w:pPr>
          </w:p>
        </w:tc>
      </w:tr>
      <w:tr>
        <w:trPr>
          <w:trHeight w:val="23"/>
        </w:trPr>
        <w:tc>
          <w:tcPr>
            <w:tcW w:w="9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2021</w:t>
            </w: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520</w:t>
            </w:r>
          </w:p>
        </w:tc>
        <w:tc>
          <w:tcPr>
            <w:tcW w:w="0" w:type="dxa"/>
            <w:vAlign w:val="bottom"/>
          </w:tcPr>
          <w:p>
            <w:pPr>
              <w:spacing w:after="0"/>
              <w:rPr>
                <w:sz w:val="1"/>
                <w:szCs w:val="1"/>
                <w:color w:val="auto"/>
              </w:rPr>
            </w:pPr>
          </w:p>
        </w:tc>
      </w:tr>
      <w:tr>
        <w:trPr>
          <w:trHeight w:val="261"/>
        </w:trPr>
        <w:tc>
          <w:tcPr>
            <w:tcW w:w="9440" w:type="dxa"/>
            <w:vAlign w:val="bottom"/>
          </w:tcPr>
          <w:p>
            <w:pPr>
              <w:ind w:left="40"/>
              <w:spacing w:after="0"/>
              <w:rPr>
                <w:sz w:val="20"/>
                <w:szCs w:val="20"/>
                <w:color w:val="auto"/>
              </w:rPr>
            </w:pPr>
            <w:r>
              <w:rPr>
                <w:rFonts w:ascii="Arial" w:cs="Arial" w:eastAsia="Arial" w:hAnsi="Arial"/>
                <w:sz w:val="20"/>
                <w:szCs w:val="20"/>
                <w:color w:val="auto"/>
              </w:rPr>
              <w:t>2022</w:t>
            </w:r>
          </w:p>
        </w:tc>
        <w:tc>
          <w:tcPr>
            <w:tcW w:w="38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20"/>
                <w:szCs w:val="20"/>
                <w:color w:val="auto"/>
              </w:rPr>
              <w:t>520</w:t>
            </w:r>
          </w:p>
        </w:tc>
        <w:tc>
          <w:tcPr>
            <w:tcW w:w="0" w:type="dxa"/>
            <w:vAlign w:val="bottom"/>
          </w:tcPr>
          <w:p>
            <w:pPr>
              <w:spacing w:after="0"/>
              <w:rPr>
                <w:sz w:val="1"/>
                <w:szCs w:val="1"/>
                <w:color w:val="auto"/>
              </w:rPr>
            </w:pPr>
          </w:p>
        </w:tc>
      </w:tr>
      <w:tr>
        <w:trPr>
          <w:trHeight w:val="23"/>
        </w:trPr>
        <w:tc>
          <w:tcPr>
            <w:tcW w:w="9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Thereafter</w:t>
            </w:r>
          </w:p>
        </w:tc>
        <w:tc>
          <w:tcPr>
            <w:tcW w:w="3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4,244</w:t>
            </w: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2"/>
                <w:szCs w:val="22"/>
                <w:color w:val="auto"/>
              </w:rPr>
            </w:pPr>
          </w:p>
        </w:tc>
        <w:tc>
          <w:tcPr>
            <w:tcW w:w="380" w:type="dxa"/>
            <w:vAlign w:val="bottom"/>
            <w:tcBorders>
              <w:top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6,879</w:t>
            </w:r>
          </w:p>
        </w:tc>
        <w:tc>
          <w:tcPr>
            <w:tcW w:w="0" w:type="dxa"/>
            <w:vAlign w:val="bottom"/>
          </w:tcPr>
          <w:p>
            <w:pPr>
              <w:spacing w:after="0"/>
              <w:rPr>
                <w:sz w:val="1"/>
                <w:szCs w:val="1"/>
                <w:color w:val="auto"/>
              </w:rPr>
            </w:pPr>
          </w:p>
        </w:tc>
      </w:tr>
      <w:tr>
        <w:trPr>
          <w:trHeight w:val="23"/>
        </w:trPr>
        <w:tc>
          <w:tcPr>
            <w:tcW w:w="9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Costs associated with the acquisition and transfer of the CLEC perpetual licenses from other entities have been capitalized and have an indefinite life. The Company evaluates these indefinite lived intangible assets on an annual basis to assess if any impairment exists. The Company performed its annual assessment on December 31, 2016 and 2017 and concluded no impairment exists.</w:t>
      </w:r>
    </w:p>
    <w:p>
      <w:pPr>
        <w:spacing w:after="0" w:line="21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During the year ended December 31, 2016, the Company re-evaluated its marketing and branding usage of the trade name assets acquired in the Dash acquisition as part of its annual evaluation of its intangible assets, and concluded there was no further benefit from the use of the trade name. The Company impaired the asset and recognized a loss of $695, which is reflected within general and administrative expenses in the accompanying consolidated statements of operations and comprehensive income for the year ended December 31, 2016.</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Debt</w:t>
      </w:r>
    </w:p>
    <w:p>
      <w:pPr>
        <w:spacing w:after="0" w:line="253"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22"/>
          <w:szCs w:val="22"/>
          <w:color w:val="auto"/>
        </w:rPr>
        <w:t>In September 2008, the Company entered into a Loan and Security Agreement which included a revolving line of credit with a bank. Substantially all assets of the Company were pledged as a Security to the Loan and Security Agreement. This agreement was amended several times to increase the Company’s borrowing limit and extend the maturity date. On December 14, 2015, the Loan and Security Agreement was amended to increase the Company’s borrowing limit to $25,000 and to extend the maturity through December 14, 2017.</w:t>
      </w:r>
    </w:p>
    <w:p>
      <w:pPr>
        <w:spacing w:after="0" w:line="219"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22"/>
          <w:szCs w:val="22"/>
          <w:color w:val="auto"/>
        </w:rPr>
        <w:t>On February 24, 2016, the Loan and Security Agreement was amended to add the ability to include an outstanding letter of credit as an advance on the revolving line of credit. On March 28, 2016 the Loan and Security Agreement was further amended to update certain covenants for 2016 performance metrics. On December 1, 2016, the Company paid the Loan and Security Agreement in full.</w:t>
      </w:r>
    </w:p>
    <w:p>
      <w:pPr>
        <w:spacing w:after="0" w:line="21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On November 4, 2016, the Company entered into a Credit and Security Agreement with a syndication of four banks. The agreement includes a $40,000 term loan, and a $25,000 revolving loan, which includes a swing line of up to $1,000 and limits letters of credit commitments to a maximum of $2,500. Substantially all assets of the Company are pledged as security to the Credit and Security Agreement. The term of the Credit and Security Agreement is five years and matures on November 3, 2021. The interest rate used for the debt is based, at the Company’s election, on either the Federal Funds Effective Rate or LIBOR plus 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stated margin, as defined in the Credit and Security Agreement. Once the Company repays any portion of the term loan, it cannot be re-borrowed. The Company is entitled to borrow and repay and borrow under the revolving loan at any time during the term of the Credit and Security Agreement. This agreement requires the Company to meet a certain leverage ratio and minimum debt service coverage ratio each quarter on a trailing 12-month basis.</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On November 14, 2017, the term loan was paid in full with proceeds from the IPO. As of December 31, 2016 and 2017, the Company had $40,000 and $0, respectively, outstanding on the term loan and $5,000 and $0, respectively, on the revolving loan and was in compliance with all financial and non-financial covenants for all periods presented. The available borrowing capacity under the Credit and Security Agreement revolving loan was $25,000 as of December 31, 2017.</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Capital Leases</w:t>
      </w:r>
    </w:p>
    <w:p>
      <w:pPr>
        <w:spacing w:after="0" w:line="2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Company leases various equipment under leases accounted for as capital leases with expiration dates ranging from March 2016 through October 2018. As of December 31, 2016, cost and accumulated depreciation of the assets under capital leases recorded by the Company were $1,951 and $1,807, respectively. As of December 31, 2017, cost and accumulated depreciation of the assets under capital leases recorded by the Company were $1,951 and $1,855,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Remaining payments due on the Company’s capital lease obligations as of December 31, 2017,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4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92"/>
              <w:spacing w:after="0"/>
              <w:rPr>
                <w:sz w:val="20"/>
                <w:szCs w:val="20"/>
                <w:color w:val="auto"/>
              </w:rPr>
            </w:pPr>
            <w:r>
              <w:rPr>
                <w:rFonts w:ascii="Arial" w:cs="Arial" w:eastAsia="Arial" w:hAnsi="Arial"/>
                <w:sz w:val="22"/>
                <w:szCs w:val="22"/>
                <w:b w:val="1"/>
                <w:bCs w:val="1"/>
                <w:color w:val="auto"/>
              </w:rPr>
              <w:t>Amount</w:t>
            </w:r>
          </w:p>
        </w:tc>
        <w:tc>
          <w:tcPr>
            <w:tcW w:w="0" w:type="dxa"/>
            <w:vAlign w:val="bottom"/>
          </w:tcPr>
          <w:p>
            <w:pPr>
              <w:spacing w:after="0"/>
              <w:rPr>
                <w:sz w:val="1"/>
                <w:szCs w:val="1"/>
                <w:color w:val="auto"/>
              </w:rPr>
            </w:pPr>
          </w:p>
        </w:tc>
      </w:tr>
      <w:tr>
        <w:trPr>
          <w:trHeight w:val="297"/>
        </w:trPr>
        <w:tc>
          <w:tcPr>
            <w:tcW w:w="9480" w:type="dxa"/>
            <w:vAlign w:val="bottom"/>
            <w:shd w:val="clear" w:color="auto" w:fill="CCEEFF"/>
          </w:tcPr>
          <w:p>
            <w:pPr>
              <w:ind w:left="40"/>
              <w:spacing w:after="0"/>
              <w:rPr>
                <w:sz w:val="20"/>
                <w:szCs w:val="20"/>
                <w:color w:val="auto"/>
              </w:rPr>
            </w:pPr>
            <w:r>
              <w:rPr>
                <w:rFonts w:ascii="Arial" w:cs="Arial" w:eastAsia="Arial" w:hAnsi="Arial"/>
                <w:sz w:val="22"/>
                <w:szCs w:val="22"/>
                <w:color w:val="auto"/>
              </w:rPr>
              <w:t>2018</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91"/>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Less amount representing interest</w:t>
            </w: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97"/>
        </w:trPr>
        <w:tc>
          <w:tcPr>
            <w:tcW w:w="94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91"/>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22"/>
                <w:szCs w:val="22"/>
                <w:color w:val="auto"/>
              </w:rPr>
              <w:t>Less current maturities</w:t>
            </w: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91"/>
        </w:trPr>
        <w:tc>
          <w:tcPr>
            <w:tcW w:w="94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22"/>
                <w:szCs w:val="22"/>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22"/>
                <w:szCs w:val="22"/>
                <w:b w:val="1"/>
                <w:bCs w:val="1"/>
                <w:color w:val="auto"/>
              </w:rPr>
              <w:t>9. Segment and Geographic Information</w:t>
            </w: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9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CODM does not evaluate the Company’s operating segments using discrete asset information. The segments share the majority of the Company’s assets. Therefore, no segment asset information is reported.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58"/>
        </w:trPr>
        <w:tc>
          <w:tcPr>
            <w:tcW w:w="1280" w:type="dxa"/>
            <w:vAlign w:val="bottom"/>
            <w:tcBorders>
              <w:top w:val="single" w:sz="8" w:color="0000EE"/>
            </w:tcBorders>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CPaaS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101,502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117,078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131,572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75,859</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55,713</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Other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31,383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17,980</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Consolidated</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137,801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152,135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162,955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89,262</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58,559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73,693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All assets were held in the United States as of December 31, 2016 and 2017.</w:t>
      </w:r>
    </w:p>
    <w:p>
      <w:pPr>
        <w:spacing w:after="0" w:line="2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22"/>
          <w:szCs w:val="22"/>
          <w:color w:val="auto"/>
        </w:rPr>
        <w:t>The Company generates its revenue primarily in the United States. Revenue by geographical area is detailed in the table below (which is determined based on the customer billing address):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Redeemable Convertible Preferred Stock and Stockholders’ (Deficit) Equity</w:t>
      </w:r>
    </w:p>
    <w:p>
      <w:pPr>
        <w:spacing w:after="0" w:line="25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Prior to the IPO, the Company had three classes of stock: 1) Series A redeemable convertible preferred stock ("Series A preferred stock"), 2) Old Class A common stock, and 3) Old Class B common stock.</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On October 19, 2017, the Company’s Board of Directors approved, and on October 23, 2017 the Company effected, a 2.5-to-1 split of its common stock. In connection with the common stock split, each share of outstanding common stock, option to purchase common stock and warrant to purchase common stock was increased to 2.5 shares of common stock and the exercise price of each outstanding option or warrant to purchase common stock was proportionately decreased. The stock split has been reflected retrospectively in these consolidated financial statements. In connection with the stock split, the conversion ratio of each share of outstanding Series A preferred stock was also adjusted such that each share of outstanding Series A preferred stock converted into 2.5 shares of Old Class A common stock after the 2.5-to-1 split.</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Redeemable Convertible Preferred Stock</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of January 1, 2010, the Company had authorized 5,000,000 shares of Series A preferred stock. On February 22, 2011, the Company amended and restated its Certificate of Incorporation such that the Company authorized 1,200,000 shares of preferred stock, all of which have been designated as Series A preferred stock.</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08"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February 22, 2011, the Company completed the issuance of 663,907 shares of Series A preferred stock at $30.8358 per preferred share. On March 24, 2011, the Company completed the final closing of 46,093 shares of Series A preferred stock at $30.8358 per preferred share.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Pursuant to the Spin-Off, each holder of Series A preferred stock received a share of Republic Class A voting common stock for each share of Series A preferred stock held by such holder equal to the number of shares of Class A common stock into which such share of Series A preferred stock is then convertible.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of December 31, 2016, the Company had 710,000 issued and outstanding shares of Series A preferred stock.</w:t>
      </w:r>
    </w:p>
    <w:p>
      <w:pPr>
        <w:spacing w:after="0" w:line="23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On November 9, 2017, each share of Series A preferred stock converted into 2.5 shares of Old Class A common stock at the stockholders' option resulting in the issuance of 1,775,000 shares of Old Class A common stock.</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Conversion</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share of Series A preferred stock was convertible, at the option of the shareholder, into such number of fully paid and non-assessable shares of common stock as is determined by dividing the Series A original issue price by the Series A conversion price in effect at the time of the conversion. The Series A conversion price was initially equal to $30.8358 and is subject to adjustment related to dilutive transactions. As a result of the stock split, the conversion ratio of each share of outstanding preferred stock also was adjusted, such that each share of outstanding preferred stock converts into 2.5 shares of Old Class A common stock at a conversion price of $12.3343.</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Liquidation Preference</w:t>
      </w:r>
    </w:p>
    <w:p>
      <w:pPr>
        <w:spacing w:after="0" w:line="11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In the event of any Liquidation Event or Deemed Liquidation Event, the holders of Series A, preferred stock were entitled to receive, in preference to any distribution of the proceeds to the holders of common stock, an amount per share equal to the greater of (1) an amount equal to the original issue price for Series A preferred stock plus declared but unpaid dividends on such share, plus the product of (a) the number of days elapsed since issuance divided by 365, multiplied by (b) 0.08 multiplied by (c) the Series A original issue price, or (2) such amount as would have been payable had all shares of Series A preferred stock had been converted to common stock immediately prior to such Liquidation or Deemed Liquidation Event. If the proceeds thus distributed among the holders of the Series A preferred stock are insufficient to permit payment to such holders of the full preferential amounts, then the entire proceeds available for distribution shall be distributed ratably. Upon completion of the distribution referred to above, all of the remaining proceeds available for distribution shall be distributed to the holders of the Company’s common stock pro rata based on the number of common stock held by each. As of December 31, 2016, the liquidation preference totaled $32,148.</w:t>
      </w:r>
    </w:p>
    <w:p>
      <w:pPr>
        <w:spacing w:after="0" w:line="309"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Redemption</w:t>
      </w:r>
    </w:p>
    <w:p>
      <w:pPr>
        <w:spacing w:after="0" w:line="35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Shares of Series A preferred stock were redeemable by the Company out of funds lawfully available at a price equal to the Series A original issue price per share, plus all declared but unpaid dividends thereon, in three annual installments commencing not more than 60 days after receipt by the Company at any time on or after December 31, 2020, from the holders of a majority of the then-outstanding shares of Series A preferred stock. At each redemption date, shares of Series A Preferred stock were redeemable, on a pro-rata basis in accordance with the number of shares of Series A preferred stock owned by each holder, that number of outstanding shares of Series A preferred stock determined by dividing the total number of shares of Series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preferred stock outstanding by the number of remaining redemption dates (including the redemption date to which such calculation applies).</w:t>
      </w:r>
    </w:p>
    <w:p>
      <w:pPr>
        <w:spacing w:after="0" w:line="32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Voting Rights</w:t>
      </w:r>
    </w:p>
    <w:p>
      <w:pPr>
        <w:spacing w:after="0" w:line="35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holders of Series A preferred stock were entitled to cast the number of votes equal to the number of whole shares of common stock into which the shares of Series A preferred stock are convertible as of the record date for determining stockholders entitled to vote on such matter. Holders of Series A preferred stock shall vote together with the holders of Old Class A common stock as a single class. The holders of record of the shares of Series A preferred stock, exclusively and as a separate class, were entitled to elect one director of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could not, without the approval of the holders of record of a majority of the shares of Series A preferred stock, as a separate class, undertake certain actions as specified in the Certificate of Incorporation, as amended and restated as of February 22, 2011 and as subsequently amended.</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Dividends</w:t>
      </w:r>
    </w:p>
    <w:p>
      <w:pPr>
        <w:spacing w:after="0" w:line="1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amount of any dividend on an outstanding share of Series A preferred stock is determinable based upon the number of shares of common stock into which such Series A preferred stock is then convertible based upon the original issuance price of a share of Series A preferred stock of $30.8358 per share, subject to appropriate adjustment in the event of any stock dividend, stock split, combination or other similar recapitalization with respect to the Series A preferred stock. During the years ended December 31, 2016 and 2017, no dividends were declared.</w:t>
      </w:r>
    </w:p>
    <w:p>
      <w:pPr>
        <w:spacing w:after="0" w:line="341"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Preferred Stock</w:t>
      </w:r>
    </w:p>
    <w:p>
      <w:pPr>
        <w:spacing w:after="0" w:line="247" w:lineRule="exact"/>
        <w:rPr>
          <w:sz w:val="20"/>
          <w:szCs w:val="20"/>
          <w:color w:val="auto"/>
        </w:rPr>
      </w:pPr>
    </w:p>
    <w:p>
      <w:pPr>
        <w:ind w:right="580" w:firstLine="648"/>
        <w:spacing w:after="0" w:line="253" w:lineRule="auto"/>
        <w:rPr>
          <w:sz w:val="20"/>
          <w:szCs w:val="20"/>
          <w:color w:val="auto"/>
        </w:rPr>
      </w:pPr>
      <w:r>
        <w:rPr>
          <w:rFonts w:ascii="Arial" w:cs="Arial" w:eastAsia="Arial" w:hAnsi="Arial"/>
          <w:sz w:val="22"/>
          <w:szCs w:val="22"/>
          <w:color w:val="auto"/>
        </w:rPr>
        <w:t>On November 9, 2017, the Company filed its second amended and restated certificate of incorporation and authorized 10,000,000 shares of undesignated preferred stock, par value $0.001, of which no shares were issued and outstanding as of December 31, 2017.</w:t>
      </w:r>
    </w:p>
    <w:p>
      <w:pPr>
        <w:spacing w:after="0" w:line="334"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Common Stock</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As of December 31, 2016, the Company had two classes of common stock: (1) Old Class A common stock and (2) Old Class B common stock. The Old Class A common stock had one vote per share and the Old Class B common stock had no voting rights.</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December 31, 2016, there were 11,779,975 shares of Old Class A common stock issued and outstanding at $0.001 par value per share.</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As of December 31, 2016, there were 18,590 shares of Old Class B common stock issued and outstanding at $0.001 par value per share.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i) each share of Old Class A common stock was reclassified as one share of Class B common stock with ten votes per share, ii) each share of Old Class B common stock was reclassified as one share of Class A common stock with one vote per share. Consequently, the Series A preferred stock, that had previously converted into 2.5 shares of the Old Class A common stock, at the option of the holder, was converted into 1,775,000 shares of Class B common stock.</w:t>
      </w:r>
    </w:p>
    <w:p>
      <w:pPr>
        <w:spacing w:after="0" w:line="190" w:lineRule="exact"/>
        <w:rPr>
          <w:sz w:val="20"/>
          <w:szCs w:val="20"/>
          <w:color w:val="auto"/>
        </w:rPr>
      </w:pPr>
    </w:p>
    <w:p>
      <w:pPr>
        <w:ind w:right="100" w:firstLine="648"/>
        <w:spacing w:after="0" w:line="247" w:lineRule="auto"/>
        <w:rPr>
          <w:sz w:val="20"/>
          <w:szCs w:val="20"/>
          <w:color w:val="auto"/>
        </w:rPr>
      </w:pPr>
      <w:r>
        <w:rPr>
          <w:rFonts w:ascii="Arial" w:cs="Arial" w:eastAsia="Arial" w:hAnsi="Arial"/>
          <w:sz w:val="22"/>
          <w:szCs w:val="22"/>
          <w:color w:val="auto"/>
        </w:rPr>
        <w:t>Subsequent to the effectiveness of the Company’s second amended and restated certificate of incorporation, the Company’s common stock consists of 120,000,000 authorized shares, par value $0.001 per share, of which the authorized Class A common stock consists of 100,000,000 shares and the authorized Class B common stock consists of 20,000,000 shares as of December 31, 2017.</w:t>
      </w:r>
    </w:p>
    <w:p>
      <w:pPr>
        <w:spacing w:after="0" w:line="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As of December 31, 2017, there were 4,197,831 shares of Class A common stock issued and outstanding at $0.001 par value per share.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As of December 31, 2017, there were 13,440,725 shares of Class B common stock issued and outstanding at $0.001 par value per share.</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Voting Rights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holders of Class A common stock and Class B common stock have identical rights, except that holders of Class A voting common stock are entitled to one vote per share of Class A common stock and holder of Class B common stock are entitled to ten votes per share of Class B common stock.</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Dividends</w:t>
      </w:r>
    </w:p>
    <w:p>
      <w:pPr>
        <w:spacing w:after="0" w:line="24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Any dividends or distributions paid or payable to the holders of shares of Class A common stock and Class B common stock shall be paid pro rata, on an equal priority. During the year ended December 31, 2017, no dividends were declared.</w:t>
      </w:r>
    </w:p>
    <w:p>
      <w:pPr>
        <w:spacing w:after="0" w:line="1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Dividend payments are subject to a restriction by the Company’s Loan and Security Agreement prohibiting the Company to pay any dividends or any other distribution or payment on account of or in redemption, retirement or purchase of any capital stock through the term of the agreement.</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Option to Purchase Additional Shares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November 28, 2017, the Underwriters exercised their option to purchase 162,991 of Class B common stock held by certain selling shareholders. Immediately upon transfer, the shares converted into Class A common stock in accordance with the Company's second amendment and restated certificate of incorporation.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Stock Purchase Warrants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connection with four notes payable issued December 20, 2010, the Company granted stock purchase warrants to the previous debt holders. The warrants were exercisable for 30,470 shares of the Company’s Old Class A common stock at an exercise price of $5.80 per share. Warrants outstanding at December 31, 2016 and 2017, were 15,844 and 0, respectively.</w:t>
      </w:r>
    </w:p>
    <w:p>
      <w:pPr>
        <w:spacing w:after="0" w:line="16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granted other stock purchase warrants in 2011 that were exercisable for 43,847 shares of the Company’s Old Class A common stock at an exercise price of $0.001 per share. Warrants outstanding to purchase shares of the Company’s Old Class A common stock were 39,000 at December 31, 2016 and 2017, and expire on March 25, 2018.</w:t>
      </w:r>
    </w:p>
    <w:p>
      <w:pPr>
        <w:spacing w:after="0" w:line="16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Additional warrants to purchase 9,846 shares of the Company’s Old Class A common stock were granted in 2011 at an exercise price of $5.80 per share, which expire on February 22, 2018.</w:t>
      </w:r>
    </w:p>
    <w:p>
      <w:pPr>
        <w:spacing w:after="0" w:line="20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Warrants to purchase 4,531 shares of the Company's Old Class A common stock were granted in 2017 at an exercise price of $6.57 per share. Warrants outstanding at December 31, 2017 were 2,504, which expire on January 19, 2018.</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Pursuant to the Spin-Off, each holder of a warrant to purchase common stock was issued a warrant to purchase shares of Republic Class A voting common stock with equivalent economic terms. A total of 64,691 and 51,350 shares of common stock were reserved for the issuance of stock purchase warrants at December 31, 2016 and 2017, respectively.</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warrants exercisable for shares of Old Class A common stock became exercisable into shares of Class B common stock.</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Spin-Off</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Pursuant to the Spin-Off, (i) each holder of Old Class A common stock received one share of Republic Class A common stock for each share of Old Class A common stock held by such holder, (ii) each holder of Old Class B common stock received one share of Republic Class B non-voting common stock for each share of Old Class B non-voting common stock held by such holder and (iii) each holder of Series A preferred stock received a number of shares of Republic Class A voting common stock for each share of Series A preferred stock held by such holder equal to the number of shares of Old Class A common stock into which such share of Series A preferred stock is then convertible.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Stock Based Compensation</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2001 and 2010 Stock Option Plans</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During 2001, the Company adopted the Bandwidth Inc. Stock Option Plan (the "2001 Plan"). As of July 26, 2010, the Company adopted the 2010 Equity Compensation Plan (the "2010 Plan"). On August 24, 2017, the 2010 Plan was amended to provide for a total of 3,466,275 shares of common stock reserved for issuance under the 2010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Eligible plan participants include employees, directors and consultants. The 2001 Plan and the 2010 Plan each permit the granting of incentive stock options and non-qualified stock options.</w:t>
      </w:r>
    </w:p>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Following the effectiveness of the 2010 Plan, the Company did not make any further grants under the 2001 Plan. However, the 2001 Plan continues to govern the terms and conditions of the outstanding awards granted under it. On November 9, 2017, the 2010 Plan was terminated in connection with the Company's IPO. Accordingly, no shares are available for future issuance under the 2010 Plan. However, the 2010 Plan will continue to govern the terms and conditions of the outstanding awards granted thereunder.</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options exercisable into shares of Old Class A common stock and Old Class B common stock became exercisable into shares of Class B common stock and Class A common stock,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2017 Incentive Award Plan</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terms of the stock option grants are determined by the Company’s Board of Directors. The Company’s stock options vest based on terms in the stock option agreements, which is generally over four years. The stock options have a contractual life of ten years.</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Stock options</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fair value, adjusted for the stock split, of options granted is estimated on the date of grant using the Black-Scholes option pricing model based on the assumptions in the table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26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2015</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26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0%</w:t>
            </w:r>
          </w:p>
        </w:tc>
        <w:tc>
          <w:tcPr>
            <w:tcW w:w="1840" w:type="dxa"/>
            <w:vAlign w:val="bottom"/>
            <w:tcBorders>
              <w:bottom w:val="single" w:sz="8" w:color="CCEEFF"/>
            </w:tcBorders>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1260" w:type="dxa"/>
            <w:vAlign w:val="bottom"/>
          </w:tcPr>
          <w:p>
            <w:pPr>
              <w:jc w:val="center"/>
              <w:ind w:left="150"/>
              <w:spacing w:after="0"/>
              <w:rPr>
                <w:sz w:val="20"/>
                <w:szCs w:val="20"/>
                <w:color w:val="auto"/>
              </w:rPr>
            </w:pPr>
            <w:r>
              <w:rPr>
                <w:rFonts w:ascii="Arial" w:cs="Arial" w:eastAsia="Arial" w:hAnsi="Arial"/>
                <w:sz w:val="18"/>
                <w:szCs w:val="18"/>
                <w:color w:val="auto"/>
                <w:w w:val="94"/>
              </w:rPr>
              <w:t>44%</w:t>
            </w:r>
          </w:p>
        </w:tc>
        <w:tc>
          <w:tcPr>
            <w:tcW w:w="1840" w:type="dxa"/>
            <w:vAlign w:val="bottom"/>
            <w:gridSpan w:val="3"/>
          </w:tcPr>
          <w:p>
            <w:pPr>
              <w:jc w:val="center"/>
              <w:ind w:left="270"/>
              <w:spacing w:after="0"/>
              <w:rPr>
                <w:sz w:val="20"/>
                <w:szCs w:val="20"/>
                <w:color w:val="auto"/>
              </w:rPr>
            </w:pPr>
            <w:r>
              <w:rPr>
                <w:rFonts w:ascii="Arial" w:cs="Arial" w:eastAsia="Arial" w:hAnsi="Arial"/>
                <w:sz w:val="18"/>
                <w:szCs w:val="18"/>
                <w:color w:val="auto"/>
                <w:w w:val="88"/>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44%-49%</w:t>
            </w:r>
          </w:p>
        </w:tc>
      </w:tr>
      <w:tr>
        <w:trPr>
          <w:trHeight w:val="27"/>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risk-free interest rate</w:t>
            </w:r>
          </w:p>
        </w:tc>
        <w:tc>
          <w:tcPr>
            <w:tcW w:w="126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3"/>
              </w:rPr>
              <w:t>1.5%-1.9%</w:t>
            </w:r>
          </w:p>
        </w:tc>
        <w:tc>
          <w:tcPr>
            <w:tcW w:w="1840" w:type="dxa"/>
            <w:vAlign w:val="bottom"/>
            <w:tcBorders>
              <w:bottom w:val="single" w:sz="8" w:color="CCEEFF"/>
            </w:tcBorders>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0"/>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0"/>
              </w:rPr>
              <w:t>1.9%-2.3%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260" w:type="dxa"/>
            <w:vAlign w:val="bottom"/>
          </w:tcPr>
          <w:p>
            <w:pPr>
              <w:ind w:left="420"/>
              <w:spacing w:after="0"/>
              <w:rPr>
                <w:sz w:val="20"/>
                <w:szCs w:val="20"/>
                <w:color w:val="auto"/>
              </w:rPr>
            </w:pPr>
            <w:r>
              <w:rPr>
                <w:rFonts w:ascii="Arial" w:cs="Arial" w:eastAsia="Arial" w:hAnsi="Arial"/>
                <w:sz w:val="18"/>
                <w:szCs w:val="18"/>
                <w:color w:val="auto"/>
              </w:rPr>
              <w:t>6.2 years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6.2 years</w:t>
            </w:r>
          </w:p>
        </w:tc>
        <w:tc>
          <w:tcPr>
            <w:tcW w:w="1280" w:type="dxa"/>
            <w:vAlign w:val="bottom"/>
          </w:tcPr>
          <w:p>
            <w:pPr>
              <w:ind w:left="220"/>
              <w:spacing w:after="0"/>
              <w:rPr>
                <w:sz w:val="20"/>
                <w:szCs w:val="20"/>
                <w:color w:val="auto"/>
              </w:rPr>
            </w:pPr>
            <w:r>
              <w:rPr>
                <w:rFonts w:ascii="Arial" w:cs="Arial" w:eastAsia="Arial" w:hAnsi="Arial"/>
                <w:sz w:val="18"/>
                <w:szCs w:val="18"/>
                <w:color w:val="auto"/>
              </w:rPr>
              <w:t>6.2 years</w:t>
            </w:r>
          </w:p>
        </w:tc>
      </w:tr>
      <w:tr>
        <w:trPr>
          <w:trHeight w:val="27"/>
        </w:trPr>
        <w:tc>
          <w:tcPr>
            <w:tcW w:w="6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common stock</w:t>
            </w:r>
          </w:p>
        </w:tc>
        <w:tc>
          <w:tcPr>
            <w:tcW w:w="12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$9.43-$9.57</w:t>
            </w:r>
          </w:p>
        </w:tc>
        <w:tc>
          <w:tcPr>
            <w:tcW w:w="184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1"/>
              </w:rPr>
              <w:t>$9.57-$9.60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$9.60-$20.83</w:t>
            </w:r>
          </w:p>
        </w:tc>
      </w:tr>
      <w:tr>
        <w:trPr>
          <w:trHeight w:val="27"/>
        </w:trPr>
        <w:tc>
          <w:tcPr>
            <w:tcW w:w="67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summarizes the stock option activity for the periods presented: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8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 Life</w:t>
            </w:r>
          </w:p>
        </w:tc>
        <w:tc>
          <w:tcPr>
            <w:tcW w:w="140" w:type="dxa"/>
            <w:vAlign w:val="bottom"/>
          </w:tcPr>
          <w:p>
            <w:pPr>
              <w:spacing w:after="0"/>
              <w:rPr>
                <w:sz w:val="12"/>
                <w:szCs w:val="12"/>
                <w:color w:val="auto"/>
              </w:rPr>
            </w:pPr>
          </w:p>
        </w:tc>
        <w:tc>
          <w:tcPr>
            <w:tcW w:w="8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4"/>
              </w:rPr>
              <w:t>value (in</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(per share)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2016</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3,582,241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11,049</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Grants</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179,922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6"/>
                <w:szCs w:val="16"/>
                <w:color w:val="auto"/>
              </w:rPr>
              <w:t>Forfeited or cancelled</w:t>
            </w:r>
          </w:p>
        </w:tc>
        <w:tc>
          <w:tcPr>
            <w:tcW w:w="1140" w:type="dxa"/>
            <w:vAlign w:val="bottom"/>
          </w:tcPr>
          <w:p>
            <w:pPr>
              <w:jc w:val="right"/>
              <w:spacing w:after="0"/>
              <w:rPr>
                <w:sz w:val="20"/>
                <w:szCs w:val="20"/>
                <w:color w:val="auto"/>
              </w:rPr>
            </w:pPr>
            <w:r>
              <w:rPr>
                <w:rFonts w:ascii="Arial" w:cs="Arial" w:eastAsia="Arial" w:hAnsi="Arial"/>
                <w:sz w:val="16"/>
                <w:szCs w:val="16"/>
                <w:color w:val="auto"/>
              </w:rPr>
              <w:t>(44,210)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2017</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3,659,791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59,436</w:t>
            </w:r>
          </w:p>
        </w:tc>
        <w:tc>
          <w:tcPr>
            <w:tcW w:w="0" w:type="dxa"/>
            <w:vAlign w:val="bottom"/>
          </w:tcPr>
          <w:p>
            <w:pPr>
              <w:spacing w:after="0"/>
              <w:rPr>
                <w:sz w:val="1"/>
                <w:szCs w:val="1"/>
                <w:color w:val="auto"/>
              </w:rPr>
            </w:pPr>
          </w:p>
        </w:tc>
      </w:tr>
      <w:tr>
        <w:trPr>
          <w:trHeight w:val="291"/>
        </w:trPr>
        <w:tc>
          <w:tcPr>
            <w:tcW w:w="64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and exercisable at December 31, 2017</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3,209,890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54,051</w:t>
            </w:r>
          </w:p>
        </w:tc>
        <w:tc>
          <w:tcPr>
            <w:tcW w:w="0" w:type="dxa"/>
            <w:vAlign w:val="bottom"/>
          </w:tcPr>
          <w:p>
            <w:pPr>
              <w:spacing w:after="0"/>
              <w:rPr>
                <w:sz w:val="1"/>
                <w:szCs w:val="1"/>
                <w:color w:val="auto"/>
              </w:rPr>
            </w:pPr>
          </w:p>
        </w:tc>
      </w:tr>
      <w:tr>
        <w:trPr>
          <w:trHeight w:val="291"/>
        </w:trPr>
        <w:tc>
          <w:tcPr>
            <w:tcW w:w="64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vested and expected to vest as of December 31, 2017</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3,641,078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59,230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Aggregate intrinsic value represents the total pre-tax intrinsic value, which is computed based on the difference between the option exercise price and the estimated fair value of the Company’s common stock. This amount changes based on the fair value of the Company’s stock.</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weighted average grant-date fair value of stock options granted was $4.24 , $4.06 and $7.72 for the years ended December 31, 2015, 2016 and 2017, respectively.</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total estimated grant date fair value of options vested was $2,107, $2,082 and $1,299 for the years ended December 31, 2015, 2016 and 2017, respectively.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total stock-based compensation expense in continuing operations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 (1)</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3,493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________________________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firstLine="656"/>
        <w:spacing w:after="0" w:line="277" w:lineRule="auto"/>
        <w:tabs>
          <w:tab w:leader="none" w:pos="903" w:val="left"/>
        </w:tabs>
        <w:numPr>
          <w:ilvl w:val="0"/>
          <w:numId w:val="45"/>
        </w:numPr>
        <w:rPr>
          <w:rFonts w:ascii="Arial" w:cs="Arial" w:eastAsia="Arial" w:hAnsi="Arial"/>
          <w:sz w:val="17"/>
          <w:szCs w:val="17"/>
          <w:color w:val="auto"/>
        </w:rPr>
      </w:pPr>
      <w:r>
        <w:rPr>
          <w:rFonts w:ascii="Arial" w:cs="Arial" w:eastAsia="Arial" w:hAnsi="Arial"/>
          <w:sz w:val="17"/>
          <w:szCs w:val="17"/>
          <w:color w:val="auto"/>
        </w:rPr>
        <w:t>On September 1, 2017, the Company reached a separation agreement with one of its executives. The agreement resulted in a modification of the former employee's 194,234 outstanding options to purchase common stock, which accelerated the vesting period and extended the exercise period, resulting in the recognition of $394 of additional stock compensation expense for the year ended December 31, 2017.</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will recognize $1,935 of compensation cost in the future for stock-based employee compensation over the weighted-average period of 2.59 years for stock options granted before December 31, 2017.</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Leases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Company leases office space under operating lease agreements that expire at various dates beginning in 2016 and extend through 2022 in several locations within the United States including its headquarters, which is located in Raleigh, NC. On September 26, 2016, the Company amended its operating lease agreement with one of its landlords. The 63-month lease, which began on April 14, 2017, provides for an additional 40,657 square feet of office space as well as an extension of the termination date for the lease of approximately 128,200 square feet of office space. The leases contain escalation clauses and various landlord concessions including a tenant improvement allowance. The Company recognizes the total minimum lease payments on a straight-line basis over the term of the lease.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Future minimum lease payments required under operating leases as of December 31, 2017 are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Amount</w:t>
            </w:r>
          </w:p>
        </w:tc>
      </w:tr>
      <w:tr>
        <w:trPr>
          <w:trHeight w:val="297"/>
        </w:trPr>
        <w:tc>
          <w:tcPr>
            <w:tcW w:w="9340" w:type="dxa"/>
            <w:vAlign w:val="bottom"/>
            <w:shd w:val="clear" w:color="auto" w:fill="CCEEFF"/>
          </w:tcPr>
          <w:p>
            <w:pPr>
              <w:jc w:val="right"/>
              <w:ind w:right="8772"/>
              <w:spacing w:after="0"/>
              <w:rPr>
                <w:sz w:val="20"/>
                <w:szCs w:val="20"/>
                <w:color w:val="auto"/>
              </w:rPr>
            </w:pPr>
            <w:r>
              <w:rPr>
                <w:rFonts w:ascii="Arial" w:cs="Arial" w:eastAsia="Arial" w:hAnsi="Arial"/>
                <w:sz w:val="22"/>
                <w:szCs w:val="22"/>
                <w:color w:val="auto"/>
                <w:w w:val="89"/>
              </w:rPr>
              <w:t>2018</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3,631</w:t>
            </w:r>
          </w:p>
        </w:tc>
      </w:tr>
      <w:tr>
        <w:trPr>
          <w:trHeight w:val="289"/>
        </w:trPr>
        <w:tc>
          <w:tcPr>
            <w:tcW w:w="9340" w:type="dxa"/>
            <w:vAlign w:val="bottom"/>
          </w:tcPr>
          <w:p>
            <w:pPr>
              <w:jc w:val="right"/>
              <w:ind w:right="8772"/>
              <w:spacing w:after="0"/>
              <w:rPr>
                <w:sz w:val="20"/>
                <w:szCs w:val="20"/>
                <w:color w:val="auto"/>
              </w:rPr>
            </w:pPr>
            <w:r>
              <w:rPr>
                <w:rFonts w:ascii="Arial" w:cs="Arial" w:eastAsia="Arial" w:hAnsi="Arial"/>
                <w:sz w:val="22"/>
                <w:szCs w:val="22"/>
                <w:color w:val="auto"/>
                <w:w w:val="89"/>
              </w:rPr>
              <w:t>2019</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3,700</w:t>
            </w:r>
          </w:p>
        </w:tc>
      </w:tr>
      <w:tr>
        <w:trPr>
          <w:trHeight w:val="306"/>
        </w:trPr>
        <w:tc>
          <w:tcPr>
            <w:tcW w:w="9340" w:type="dxa"/>
            <w:vAlign w:val="bottom"/>
            <w:shd w:val="clear" w:color="auto" w:fill="CCEEFF"/>
          </w:tcPr>
          <w:p>
            <w:pPr>
              <w:jc w:val="right"/>
              <w:ind w:right="8772"/>
              <w:spacing w:after="0"/>
              <w:rPr>
                <w:sz w:val="20"/>
                <w:szCs w:val="20"/>
                <w:color w:val="auto"/>
              </w:rPr>
            </w:pPr>
            <w:r>
              <w:rPr>
                <w:rFonts w:ascii="Arial" w:cs="Arial" w:eastAsia="Arial" w:hAnsi="Arial"/>
                <w:sz w:val="22"/>
                <w:szCs w:val="22"/>
                <w:color w:val="auto"/>
                <w:w w:val="89"/>
              </w:rPr>
              <w:t>2020</w:t>
            </w: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3,838</w:t>
            </w:r>
          </w:p>
        </w:tc>
      </w:tr>
      <w:tr>
        <w:trPr>
          <w:trHeight w:val="289"/>
        </w:trPr>
        <w:tc>
          <w:tcPr>
            <w:tcW w:w="9340" w:type="dxa"/>
            <w:vAlign w:val="bottom"/>
          </w:tcPr>
          <w:p>
            <w:pPr>
              <w:jc w:val="right"/>
              <w:ind w:right="8772"/>
              <w:spacing w:after="0"/>
              <w:rPr>
                <w:sz w:val="20"/>
                <w:szCs w:val="20"/>
                <w:color w:val="auto"/>
              </w:rPr>
            </w:pPr>
            <w:r>
              <w:rPr>
                <w:rFonts w:ascii="Arial" w:cs="Arial" w:eastAsia="Arial" w:hAnsi="Arial"/>
                <w:sz w:val="22"/>
                <w:szCs w:val="22"/>
                <w:color w:val="auto"/>
                <w:w w:val="89"/>
              </w:rPr>
              <w:t>2021</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3,873</w:t>
            </w:r>
          </w:p>
        </w:tc>
      </w:tr>
      <w:tr>
        <w:trPr>
          <w:trHeight w:val="299"/>
        </w:trPr>
        <w:tc>
          <w:tcPr>
            <w:tcW w:w="9340" w:type="dxa"/>
            <w:vAlign w:val="bottom"/>
            <w:shd w:val="clear" w:color="auto" w:fill="CCEEFF"/>
          </w:tcPr>
          <w:p>
            <w:pPr>
              <w:jc w:val="right"/>
              <w:ind w:right="8772"/>
              <w:spacing w:after="0"/>
              <w:rPr>
                <w:sz w:val="20"/>
                <w:szCs w:val="20"/>
                <w:color w:val="auto"/>
              </w:rPr>
            </w:pPr>
            <w:r>
              <w:rPr>
                <w:rFonts w:ascii="Arial" w:cs="Arial" w:eastAsia="Arial" w:hAnsi="Arial"/>
                <w:sz w:val="22"/>
                <w:szCs w:val="22"/>
                <w:color w:val="auto"/>
                <w:w w:val="89"/>
              </w:rPr>
              <w:t>2022</w:t>
            </w:r>
          </w:p>
        </w:tc>
        <w:tc>
          <w:tcPr>
            <w:tcW w:w="4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2,018</w:t>
            </w:r>
          </w:p>
        </w:tc>
      </w:tr>
      <w:tr>
        <w:trPr>
          <w:trHeight w:val="291"/>
        </w:trPr>
        <w:tc>
          <w:tcPr>
            <w:tcW w:w="9340" w:type="dxa"/>
            <w:vAlign w:val="bottom"/>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17,060</w:t>
            </w:r>
          </w:p>
        </w:tc>
      </w:tr>
      <w:tr>
        <w:trPr>
          <w:trHeight w:val="20"/>
        </w:trPr>
        <w:tc>
          <w:tcPr>
            <w:tcW w:w="9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Company incurred rent expense of $1,656</w:t>
      </w:r>
      <w:r>
        <w:rPr>
          <w:rFonts w:ascii="Arial" w:cs="Arial" w:eastAsia="Arial" w:hAnsi="Arial"/>
          <w:sz w:val="18"/>
          <w:szCs w:val="18"/>
          <w:color w:val="auto"/>
        </w:rPr>
        <w:t>,</w:t>
      </w:r>
      <w:r>
        <w:rPr>
          <w:rFonts w:ascii="Arial" w:cs="Arial" w:eastAsia="Arial" w:hAnsi="Arial"/>
          <w:sz w:val="22"/>
          <w:szCs w:val="22"/>
          <w:color w:val="auto"/>
        </w:rPr>
        <w:t xml:space="preserve"> $2,003 and $3,327 for the years ended December 31, 2015</w:t>
      </w:r>
      <w:r>
        <w:rPr>
          <w:rFonts w:ascii="Arial" w:cs="Arial" w:eastAsia="Arial" w:hAnsi="Arial"/>
          <w:sz w:val="18"/>
          <w:szCs w:val="18"/>
          <w:color w:val="auto"/>
        </w:rPr>
        <w:t>,</w:t>
      </w:r>
      <w:r>
        <w:rPr>
          <w:rFonts w:ascii="Arial" w:cs="Arial" w:eastAsia="Arial" w:hAnsi="Arial"/>
          <w:sz w:val="22"/>
          <w:szCs w:val="22"/>
          <w:color w:val="auto"/>
        </w:rPr>
        <w:t xml:space="preserve"> 2016 and 2017, respectively, which is included in general and administrative expenses in the consolidated statements of operations and comprehensive income (loss).</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conjunction with the Spin-Off, the Company signed a Facilities Service Agreement with Republic in which the Company agreed to sub-lease 40,657 square feet of office space to Republic. The sub-lease is non-cancellable and extends to May 2022. The Company recorded a reduction of rent expense of $47 and $949 for the years ended December 31, 2016 and 2017, respectively, which is included in general and administrative expenses in the consolidated statements of operations and comprehensive income (loss).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Future minimum sub-lease receipts required under the non-cancellable lease as of December 31, 2017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9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22"/>
                <w:szCs w:val="22"/>
                <w:b w:val="1"/>
                <w:bCs w:val="1"/>
                <w:color w:val="auto"/>
              </w:rPr>
              <w:t>Amount</w:t>
            </w:r>
          </w:p>
        </w:tc>
      </w:tr>
      <w:tr>
        <w:trPr>
          <w:trHeight w:val="297"/>
        </w:trPr>
        <w:tc>
          <w:tcPr>
            <w:tcW w:w="9340" w:type="dxa"/>
            <w:vAlign w:val="bottom"/>
            <w:shd w:val="clear" w:color="auto" w:fill="CCEEFF"/>
          </w:tcPr>
          <w:p>
            <w:pPr>
              <w:jc w:val="right"/>
              <w:ind w:right="8772"/>
              <w:spacing w:after="0"/>
              <w:rPr>
                <w:sz w:val="20"/>
                <w:szCs w:val="20"/>
                <w:color w:val="auto"/>
              </w:rPr>
            </w:pPr>
            <w:r>
              <w:rPr>
                <w:rFonts w:ascii="Arial" w:cs="Arial" w:eastAsia="Arial" w:hAnsi="Arial"/>
                <w:sz w:val="22"/>
                <w:szCs w:val="22"/>
                <w:color w:val="auto"/>
                <w:w w:val="89"/>
              </w:rPr>
              <w:t>2018</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1,020</w:t>
            </w:r>
          </w:p>
        </w:tc>
      </w:tr>
      <w:tr>
        <w:trPr>
          <w:trHeight w:val="289"/>
        </w:trPr>
        <w:tc>
          <w:tcPr>
            <w:tcW w:w="9340" w:type="dxa"/>
            <w:vAlign w:val="bottom"/>
          </w:tcPr>
          <w:p>
            <w:pPr>
              <w:jc w:val="right"/>
              <w:ind w:right="8772"/>
              <w:spacing w:after="0"/>
              <w:rPr>
                <w:sz w:val="20"/>
                <w:szCs w:val="20"/>
                <w:color w:val="auto"/>
              </w:rPr>
            </w:pPr>
            <w:r>
              <w:rPr>
                <w:rFonts w:ascii="Arial" w:cs="Arial" w:eastAsia="Arial" w:hAnsi="Arial"/>
                <w:sz w:val="22"/>
                <w:szCs w:val="22"/>
                <w:color w:val="auto"/>
                <w:w w:val="89"/>
              </w:rPr>
              <w:t>2019</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1,042</w:t>
            </w:r>
          </w:p>
        </w:tc>
      </w:tr>
      <w:tr>
        <w:trPr>
          <w:trHeight w:val="306"/>
        </w:trPr>
        <w:tc>
          <w:tcPr>
            <w:tcW w:w="9340" w:type="dxa"/>
            <w:vAlign w:val="bottom"/>
            <w:shd w:val="clear" w:color="auto" w:fill="CCEEFF"/>
          </w:tcPr>
          <w:p>
            <w:pPr>
              <w:jc w:val="right"/>
              <w:ind w:right="8772"/>
              <w:spacing w:after="0"/>
              <w:rPr>
                <w:sz w:val="20"/>
                <w:szCs w:val="20"/>
                <w:color w:val="auto"/>
              </w:rPr>
            </w:pPr>
            <w:r>
              <w:rPr>
                <w:rFonts w:ascii="Arial" w:cs="Arial" w:eastAsia="Arial" w:hAnsi="Arial"/>
                <w:sz w:val="22"/>
                <w:szCs w:val="22"/>
                <w:color w:val="auto"/>
                <w:w w:val="89"/>
              </w:rPr>
              <w:t>2020</w:t>
            </w: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1,065</w:t>
            </w:r>
          </w:p>
        </w:tc>
      </w:tr>
      <w:tr>
        <w:trPr>
          <w:trHeight w:val="289"/>
        </w:trPr>
        <w:tc>
          <w:tcPr>
            <w:tcW w:w="9340" w:type="dxa"/>
            <w:vAlign w:val="bottom"/>
          </w:tcPr>
          <w:p>
            <w:pPr>
              <w:jc w:val="right"/>
              <w:ind w:right="8772"/>
              <w:spacing w:after="0"/>
              <w:rPr>
                <w:sz w:val="20"/>
                <w:szCs w:val="20"/>
                <w:color w:val="auto"/>
              </w:rPr>
            </w:pPr>
            <w:r>
              <w:rPr>
                <w:rFonts w:ascii="Arial" w:cs="Arial" w:eastAsia="Arial" w:hAnsi="Arial"/>
                <w:sz w:val="22"/>
                <w:szCs w:val="22"/>
                <w:color w:val="auto"/>
                <w:w w:val="89"/>
              </w:rPr>
              <w:t>2021</w:t>
            </w:r>
          </w:p>
        </w:tc>
        <w:tc>
          <w:tcPr>
            <w:tcW w:w="400" w:type="dxa"/>
            <w:vAlign w:val="bottom"/>
          </w:tcPr>
          <w:p>
            <w:pPr>
              <w:spacing w:after="0"/>
              <w:rPr>
                <w:sz w:val="24"/>
                <w:szCs w:val="24"/>
                <w:color w:val="auto"/>
              </w:rPr>
            </w:pPr>
          </w:p>
        </w:tc>
        <w:tc>
          <w:tcPr>
            <w:tcW w:w="1660" w:type="dxa"/>
            <w:vAlign w:val="bottom"/>
          </w:tcPr>
          <w:p>
            <w:pPr>
              <w:jc w:val="right"/>
              <w:ind w:right="12"/>
              <w:spacing w:after="0"/>
              <w:rPr>
                <w:sz w:val="20"/>
                <w:szCs w:val="20"/>
                <w:color w:val="auto"/>
              </w:rPr>
            </w:pPr>
            <w:r>
              <w:rPr>
                <w:rFonts w:ascii="Arial" w:cs="Arial" w:eastAsia="Arial" w:hAnsi="Arial"/>
                <w:sz w:val="22"/>
                <w:szCs w:val="22"/>
                <w:color w:val="auto"/>
              </w:rPr>
              <w:t>1,089</w:t>
            </w:r>
          </w:p>
        </w:tc>
      </w:tr>
      <w:tr>
        <w:trPr>
          <w:trHeight w:val="299"/>
        </w:trPr>
        <w:tc>
          <w:tcPr>
            <w:tcW w:w="9340" w:type="dxa"/>
            <w:vAlign w:val="bottom"/>
            <w:shd w:val="clear" w:color="auto" w:fill="CCEEFF"/>
          </w:tcPr>
          <w:p>
            <w:pPr>
              <w:jc w:val="right"/>
              <w:ind w:right="8772"/>
              <w:spacing w:after="0"/>
              <w:rPr>
                <w:sz w:val="20"/>
                <w:szCs w:val="20"/>
                <w:color w:val="auto"/>
              </w:rPr>
            </w:pPr>
            <w:r>
              <w:rPr>
                <w:rFonts w:ascii="Arial" w:cs="Arial" w:eastAsia="Arial" w:hAnsi="Arial"/>
                <w:sz w:val="22"/>
                <w:szCs w:val="22"/>
                <w:color w:val="auto"/>
                <w:w w:val="89"/>
              </w:rPr>
              <w:t>2022</w:t>
            </w:r>
          </w:p>
        </w:tc>
        <w:tc>
          <w:tcPr>
            <w:tcW w:w="40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594</w:t>
            </w:r>
          </w:p>
        </w:tc>
      </w:tr>
      <w:tr>
        <w:trPr>
          <w:trHeight w:val="291"/>
        </w:trPr>
        <w:tc>
          <w:tcPr>
            <w:tcW w:w="9340" w:type="dxa"/>
            <w:vAlign w:val="bottom"/>
          </w:tcPr>
          <w:p>
            <w:pPr>
              <w:spacing w:after="0"/>
              <w:rPr>
                <w:sz w:val="24"/>
                <w:szCs w:val="24"/>
                <w:color w:val="auto"/>
              </w:rPr>
            </w:pP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w w:val="97"/>
              </w:rPr>
              <w:t>$</w:t>
            </w: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4,810</w:t>
            </w:r>
          </w:p>
        </w:tc>
      </w:tr>
      <w:tr>
        <w:trPr>
          <w:trHeight w:val="20"/>
        </w:trPr>
        <w:tc>
          <w:tcPr>
            <w:tcW w:w="9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Contractual Obligations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On October 25, 2015, the Company entered into an agreement with a telecommunications service provider. The service agreement requires the Company to pay a monthly recurring charge beginning 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January 1, 2016 associated with the services received. The service agreement is non-cancellable and contains annual minimum commitments of $1,200 to be fulfilled over five years or for as long as the Company continues to receive services from this vendor. In addition, the Company has other non-cancellable purchase obligations totaling $5,249 as of December 31, 2017, which consists primarily of network equipment to be received in less than one year.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Legal Matters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no formal complaint has been filed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20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In April 2016, the Company filed counterclaims against Verizon in the United States District Court for the Northern District of Texas. The Company is pursuing collection of unpaid intercarrier compensation charges for providing switched access services related to the exchange of telecommunications traffic with Verizon entities across the United States. As of October 27, 2017, Verizon has asserted a counterclaim against the Company. The Company intends to contest such counterclaim vigorously. Verizon’s prior September 2014 complaint against the Company and other defendants regarding intercarrier compensation charges for providing switched access services related to the exchange of telecommunications traffic has been dismissed without prejudice, but remains subject to appeal. See Note 17, "Subsequent Events," for current developments.</w:t>
      </w:r>
    </w:p>
    <w:p>
      <w:pPr>
        <w:spacing w:after="0" w:line="17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Employee Benefit Plan</w:t>
      </w:r>
    </w:p>
    <w:p>
      <w:pPr>
        <w:spacing w:after="0" w:line="2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sponsors a defined contribution 401(k) plan which allows eligible employees to defer a portion of their compensation. The Company, at its discretion, may make matching contributions. The Company made matching contributions of $698, $716 and $806 for the years ended December 31, 2015, 2016 and 2017,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Income Taxes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(Provision) benefit for income taxes from continuing operations consists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Federal</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Federal</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(5,983)</w:t>
            </w: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(6,168)</w:t>
            </w: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benefit for income taxes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table presents a reconciliation of the statutory federal tax rate and the Company’s effective tax rate for the years ended December 31, 2015</w:t>
      </w:r>
      <w:r>
        <w:rPr>
          <w:rFonts w:ascii="Arial" w:cs="Arial" w:eastAsia="Arial" w:hAnsi="Arial"/>
          <w:sz w:val="18"/>
          <w:szCs w:val="18"/>
          <w:color w:val="auto"/>
        </w:rPr>
        <w:t>,</w:t>
      </w:r>
      <w:r>
        <w:rPr>
          <w:rFonts w:ascii="Arial" w:cs="Arial" w:eastAsia="Arial" w:hAnsi="Arial"/>
          <w:sz w:val="22"/>
          <w:szCs w:val="22"/>
          <w:color w:val="auto"/>
        </w:rPr>
        <w:t xml:space="preserve"> 2016 and 2017:</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480" w:type="dxa"/>
            <w:vAlign w:val="bottom"/>
            <w:gridSpan w:val="5"/>
          </w:tcPr>
          <w:p>
            <w:pPr>
              <w:ind w:left="1300"/>
              <w:spacing w:after="0"/>
              <w:rPr>
                <w:sz w:val="20"/>
                <w:szCs w:val="20"/>
                <w:color w:val="auto"/>
              </w:rPr>
            </w:pPr>
            <w:r>
              <w:rPr>
                <w:rFonts w:ascii="Arial" w:cs="Arial" w:eastAsia="Arial" w:hAnsi="Arial"/>
                <w:sz w:val="18"/>
                <w:szCs w:val="18"/>
                <w:b w:val="1"/>
                <w:bCs w:val="1"/>
                <w:color w:val="auto"/>
                <w:w w:val="97"/>
              </w:rPr>
              <w:t>Year Ended December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43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4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State</w:t>
            </w:r>
          </w:p>
        </w:tc>
        <w:tc>
          <w:tcPr>
            <w:tcW w:w="4380" w:type="dxa"/>
            <w:vAlign w:val="bottom"/>
            <w:gridSpan w:val="2"/>
          </w:tcPr>
          <w:p>
            <w:pPr>
              <w:jc w:val="right"/>
              <w:ind w:right="1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4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Research credit</w:t>
            </w:r>
          </w:p>
        </w:tc>
        <w:tc>
          <w:tcPr>
            <w:tcW w:w="4380" w:type="dxa"/>
            <w:vAlign w:val="bottom"/>
            <w:gridSpan w:val="2"/>
          </w:tcPr>
          <w:p>
            <w:pPr>
              <w:jc w:val="right"/>
              <w:ind w:right="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4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4380" w:type="dxa"/>
            <w:vAlign w:val="bottom"/>
            <w:gridSpan w:val="2"/>
          </w:tcPr>
          <w:p>
            <w:pPr>
              <w:jc w:val="right"/>
              <w:ind w:right="7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rate change</w:t>
            </w:r>
          </w:p>
        </w:tc>
        <w:tc>
          <w:tcPr>
            <w:tcW w:w="4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Other</w:t>
            </w:r>
          </w:p>
        </w:tc>
        <w:tc>
          <w:tcPr>
            <w:tcW w:w="438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116</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39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The following table presents the significant components of the Company’s net deferred tax 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Year Ended December 31,</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6,458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4,668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operating losses</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1,797</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liability</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12,694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6,526</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ind w:firstLine="729"/>
        <w:spacing w:after="0" w:line="263" w:lineRule="auto"/>
        <w:rPr>
          <w:sz w:val="20"/>
          <w:szCs w:val="20"/>
          <w:color w:val="auto"/>
        </w:rPr>
      </w:pPr>
      <w:r>
        <w:rPr>
          <w:rFonts w:ascii="Arial" w:cs="Arial" w:eastAsia="Arial" w:hAnsi="Arial"/>
          <w:sz w:val="21"/>
          <w:szCs w:val="21"/>
          <w:color w:val="auto"/>
        </w:rPr>
        <w:t>The Company’s accounting for deferred taxes involves the evaluation of a number of factors concerning the realizability of its net deferred tax assets. The Company primarily considered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2017 no valuation allowance against deferred tax assets was required.</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December 31, 2017, the Company had approximately $2,563 in federal tax credits. If not utilized, the federal tax credit carryforwards will expire at various dates beginning in 2032.</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December 31, 2017, the Company had approximately $590 in state net operating loss carryforwards. If not utilized, the state net operating loss carryforwards will expire at various dates beginning in 2020.</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 limitation may apply to the use of the net operating loss and credit carryforwards, under Internal Revenue Code (IRC) §382 and §383, and similar state tax provisions that are applicable if the Company experiences an “ownership change.” An ownership change may occur, for example, as a result of issuance of new equity. Should these limitations apply, the carryforwards would be subject to an annual limitation.</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On December 22, 2017, the Tax Cuts and Jobs Act (the “Act”) was enacted into law. The income tax effects of changes in tax law are recognized in the period when enacted. Among its numerous changes to the Internal Revenue Code, the Act reduces U.S. corporate rates from 35% to 21% for periods beginning on or after January 1, 2018. The Company has incurred additional expense of $2,073 due to the remeasurement of the deferred tax assets at the lower corporate tax rate. Other provisions of the Act did not have a significant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impact on the Company’s consolidated financial statements for the year ended December 31, 2017, but may impact the effective tax rate in subsequent periods.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Additional federal and state interpretive guidance is still forthcoming that could potentially affect the remeasurement of the deferred tax balance or give rise to new deferred tax amounts. As such, the remeasurement of the deferred tax balance is provisional pending future guidance. Accordingly, the Company is relying on the guidance in the SEC Staff Accounting Bulletin (“SAB”) 118 and has included a reasonable estimate of the effect of the new rules in its Annual Report on Form 10-K while it waits for additional guidance to be released. The final impact may differ from this provisional amount due to, among other things, issuance of additional regulatory guidance, changes in interpretations and assumptions the Company has made, and actions the Company may take as a result of the Act. In accordance with SAB 118 the financial reporting impact of the Tax Reform Act will be completed no later than the fourth quarter of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reconciliation of the beginning and ending amount of unrecognized tax benefits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Unrecognized tax benefits—January 1,</w:t>
            </w: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671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increases—tax positions in prior period</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Gross decreases—tax positions in prior period</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increases—tax positions in current period</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Settlement</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Unrecognized tax benefits—December 31,</w:t>
            </w: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731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$731 of unrecognized tax benefit is recognized, it would impact the effective tax rate.</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has not incurred any material tax interest or penalties with respect to income taxes in the years ended December 31, 2016 and 2017.</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Company expects no material changes in the twelve months following December 31, 2017 in its uncertain tax positions.</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files U.S. federal income tax returns as well as income tax returns in many U.S. states. The tax years 2008-2010 and 2012-2016 remain open to examination by the major jurisdictions in which the Company is subject to tax due to the carryforward of net operating losses.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Related Parties</w:t>
      </w:r>
    </w:p>
    <w:p>
      <w:pPr>
        <w:spacing w:after="0" w:line="25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are comprised of substantially the same individuals and entities that are the equity owners of Republic. The Company has determined the equity owners of Republic are related parties of Bandwidth. The Company has certain involvement with Republic via ongoing services arrangements, with these ongoing services arrangements creating a variable interest in Republic. The Company assessed the relationship with Republic under guidance for variable interest entities. Because investors in Republic have disproportionate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1" w:right="2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voting rights, the Company concluded that Republic is a VIE, but Bandwidth is not a primary beneficiary. The Company’s maximum exposure to loss relating to this variable interest entity is limited to amounts due under the service agreements between the Company and Republic.</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Transition Services Agreement specifies certain services to be provided by the Company for a period of up to two years from the Spin-Off. These services include insurance administration, billing and collections, and other technical support as well as legal services related to intellectual property. The Company is compensated by Republic for these services based on costs incurred by the Company. For the period of December 1, 2016 to December 31, 2016 and the year ended December 31, 2017, the Company received compensation of $134 and $575, respectively, which is included in general and administrative expenses in the consolidated statements of operations and comprehensive income (loss).</w:t>
      </w:r>
    </w:p>
    <w:p>
      <w:pPr>
        <w:spacing w:after="0" w:line="2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addition, there was approximately $0 and $15 due from Republic as of December 31, 2016 and 2017, respectively, which was recorded within accounts receivable in the accompanying consolidated balance sheet.</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Facilities Sharing Agreement specifies that the Company will sublet office space to Republic for at least 63 months. During the period of December 1, 2016 to December 31, 2016 and the year ended December 31, 2017, the Company sublet office space to Republic. For the years ended December 31, 2016 and 2017, the Company received rental payments of $47 and $949, respectively, which is included in general and administrative expenses in the consolidated statements of operations and comprehensive income (loss). No amounts were due to the Company under the Facilities Sharing Agreement as of December 31, 2016 and 2017.</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Tax Sharing Agreement governs rights and obligations after the Spin-Off regarding income taxes and other taxes, including tax liabilities and benefits, attributes, returns and contests. There are no amounts outstanding or payable under this agreement as of December 31, 2016 and 2017.</w:t>
      </w: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Master Services Agreement specifies certain wholesale telecommunications services to be provided by the Company. The agreement is cancellable at any time by either party. During the period of December 1, 2016 to December 31, 2016 and the year ended December 31, 2017, the Company provided telecommunication services to Republic of $173 and $2,451, respectively. The Company recognized such amounts as revenue in the accompanying consolidated statements of operations and comprehensive income (loss). As of December 31, 2016 and 2017, the Company had a receivable of $3 and $311, respectively, under the Master Services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Basic and Diluted (Loss) Income per Common Share</w:t>
      </w:r>
    </w:p>
    <w:p>
      <w:pPr>
        <w:spacing w:after="0" w:line="25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Company uses the two-class method to compute net (loss) income per common share, because it has issued securities, other than common stock, that contractually entitle the holders to participate in dividends and earnings. These participating securities include the Company’s redeemable convertible preferred stock which have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20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Diluted net (loss) income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components of basic and diluted earnings per share, or EPS, are as follows: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25,430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continuing operations attributable to common stockholders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continuing operations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Loss from Discontinued Operations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on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Less: loss allocated to participating securities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from discontinued operations per share attributable to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(loss) income allocated to participating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(loss) income attributable to common stockholders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Weighted Average Number of Common Shares Outstanding</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11,497,727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11,678,568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12,590,221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Dilutive effect of stock options and warrants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958,813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1,192,064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1,952,949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12,456,540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12,870,632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14,543,170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following common share equivalents have been excluded from the calculation of weighted-average common shares outstanding, because the effect is anti-dilutive for the periods presented:</w:t>
      </w:r>
    </w:p>
    <w:p>
      <w:pPr>
        <w:spacing w:after="0" w:line="354"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Anti-dilutive Disclosure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Series A redeemable convertible preferred stock outstanding</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1,775,000</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1,775,000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1,522,123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 options issued and outstanding</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401,835</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237,185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50,604</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Subsequent Events</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January 12, 2018, the Company entered into an 84 month operating lease agreement to provide 40,035 square feet of additional office space. The new lease is expected to commence in September 2018. Future expected minimum payments under the lease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jc w:val="right"/>
              <w:ind w:right="650"/>
              <w:spacing w:after="0"/>
              <w:rPr>
                <w:sz w:val="20"/>
                <w:szCs w:val="20"/>
                <w:color w:val="auto"/>
              </w:rPr>
            </w:pPr>
            <w:r>
              <w:rPr>
                <w:rFonts w:ascii="Arial" w:cs="Arial" w:eastAsia="Arial" w:hAnsi="Arial"/>
                <w:sz w:val="18"/>
                <w:szCs w:val="18"/>
                <w:color w:val="auto"/>
              </w:rPr>
              <w:t>Amount</w:t>
            </w:r>
          </w:p>
        </w:tc>
      </w:tr>
      <w:tr>
        <w:trPr>
          <w:trHeight w:val="27"/>
        </w:trPr>
        <w:tc>
          <w:tcPr>
            <w:tcW w:w="93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1,203</w:t>
            </w:r>
          </w:p>
        </w:tc>
      </w:tr>
      <w:tr>
        <w:trPr>
          <w:trHeight w:val="27"/>
        </w:trPr>
        <w:tc>
          <w:tcPr>
            <w:tcW w:w="9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1,276</w:t>
            </w:r>
          </w:p>
        </w:tc>
      </w:tr>
      <w:tr>
        <w:trPr>
          <w:trHeight w:val="27"/>
        </w:trPr>
        <w:tc>
          <w:tcPr>
            <w:tcW w:w="9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 and thereafter</w:t>
            </w: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5,011</w:t>
            </w:r>
          </w:p>
        </w:tc>
      </w:tr>
      <w:tr>
        <w:trPr>
          <w:trHeight w:val="237"/>
        </w:trPr>
        <w:tc>
          <w:tcPr>
            <w:tcW w:w="93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9,126</w:t>
            </w:r>
          </w:p>
        </w:tc>
      </w:tr>
      <w:tr>
        <w:trPr>
          <w:trHeight w:val="27"/>
        </w:trPr>
        <w:tc>
          <w:tcPr>
            <w:tcW w:w="9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9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On January 29, 2018, the Company and Verizon entered into a settlement agreement to resolve the ongoing dispute and litigation with Verizon, which is a CABS customer of the Company. The settlement agreement also resolved Verizon’s counter-claims against the Company. Pursuant to the settlement agreement, Verizon made a lump sum payment to the Company on February 8, 2018 of $4,400. Following receipt of the $4,400 payment, the Company will issue to Verizon bill credits with respect to other CABS amounts previously billed to Verizon, which were previously reserved and comprised the majority of the allowance for CABS revenue as of year-end. The settlement agreement also specifies certain term for the Company's CABS billings to Verizon prospectively. The Company will continue to assess collectability of its outstanding CABS accounts receivable, including amounts due under this settlement agreement.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9. Changes in and Disagreements with Accountants on Accounting and Financial Disclosure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9A. Controls and Procedures</w:t>
      </w:r>
    </w:p>
    <w:p>
      <w:pPr>
        <w:spacing w:after="0" w:line="25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Evaluation of disclosure controls and procedures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our Chief Financial Officer have concluded that, as of the end of the period covered by this Annual Report on Form 10-K,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auto"/>
        </w:rPr>
        <w:t>Management's Annual Report on Internal Control Over Financial Reporting</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w:t>
      </w:r>
      <w:r>
        <w:rPr>
          <w:rFonts w:ascii="Arial" w:cs="Arial" w:eastAsia="Arial" w:hAnsi="Arial"/>
          <w:sz w:val="18"/>
          <w:szCs w:val="18"/>
          <w:color w:val="auto"/>
        </w:rPr>
        <w:t>h</w:t>
      </w:r>
      <w:r>
        <w:rPr>
          <w:rFonts w:ascii="Arial" w:cs="Arial" w:eastAsia="Arial" w:hAnsi="Arial"/>
          <w:sz w:val="22"/>
          <w:szCs w:val="22"/>
          <w:color w:val="auto"/>
        </w:rPr>
        <w:t>is Annual Report on Form 10-K does not include a report of management's assessment regarding internal control over financial reporting or an attestation report of our registered public accounting firm as permitted in this transition period under the rules of the SEC for newly public companies.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Changes in internal control over financial reporting</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There were no changes in our internal control over financial reporting identified in connection with the evaluation required by Rule 13a-15(d) and 15d-15(d) of the Exchange Act during the year ended December 31, 2017 that have materially affected, or are reasonably likely to materially affect, our internal control over financial reporting.</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b w:val="1"/>
          <w:bCs w:val="1"/>
          <w:i w:val="1"/>
          <w:iCs w:val="1"/>
          <w:color w:val="231F20"/>
        </w:rPr>
        <w:t>Inherent limitation on the effectiveness of internal control</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8760"/>
        <w:spacing w:after="0"/>
        <w:rPr>
          <w:sz w:val="20"/>
          <w:szCs w:val="20"/>
          <w:color w:val="auto"/>
        </w:rPr>
      </w:pPr>
      <w:r>
        <w:rPr>
          <w:rFonts w:ascii="Arial" w:cs="Arial" w:eastAsia="Arial" w:hAnsi="Arial"/>
          <w:sz w:val="19"/>
          <w:szCs w:val="19"/>
          <w:b w:val="1"/>
          <w:bCs w:val="1"/>
          <w:color w:val="231F20"/>
        </w:rPr>
        <w:t>Item 9B. Other Information.</w:t>
      </w:r>
    </w:p>
    <w:p>
      <w:pPr>
        <w:spacing w:after="0" w:line="152" w:lineRule="exact"/>
        <w:rPr>
          <w:sz w:val="20"/>
          <w:szCs w:val="20"/>
          <w:color w:val="auto"/>
        </w:rPr>
      </w:pPr>
    </w:p>
    <w:p>
      <w:pPr>
        <w:jc w:val="center"/>
        <w:ind w:right="8780"/>
        <w:spacing w:after="0"/>
        <w:rPr>
          <w:sz w:val="20"/>
          <w:szCs w:val="20"/>
          <w:color w:val="auto"/>
        </w:rPr>
      </w:pPr>
      <w:r>
        <w:rPr>
          <w:rFonts w:ascii="Arial" w:cs="Arial" w:eastAsia="Arial" w:hAnsi="Arial"/>
          <w:sz w:val="22"/>
          <w:szCs w:val="22"/>
          <w:color w:val="231F20"/>
        </w:rPr>
        <w:t>Not applicable.</w:t>
      </w:r>
    </w:p>
    <w:p>
      <w:pPr>
        <w:spacing w:after="0" w:line="241"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PART III</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10. Directors, Executive Officers and Corporate Governance</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information required by this item is incorporated by reference to our Proxy Statement relating to our 2018 Annual Meeting of Shareholders. The Proxy Statement will be filed with the Securities and Exchange Commission within 120 days of the fiscal year ended December 31, 2017.</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Codes of Business Conduct and Ethics</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board of directors has adopted a Code of Business Conduct and Ethics that applies to all officers, directors and employees, which is available on our website at (https://investors.bandwidth.com/corporate-governance/governance-overview)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11. Executive Compensation</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information required by this item is incorporated by reference to our Proxy Statement relating to our 2018 Annual Meeting of Shareholders. The Proxy Statement will be filed with the Securities and Exchange Commission within 120 days of the fiscal year ended December 31, 2017.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12. Security Ownership of Certain Beneficial Owners and Management Related Stockholder Matters</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information required by this item is incorporated by reference to our Proxy Statement relating to our 2018 Annual Meeting of Shareholders. The Proxy Statement will be filed with the Securities and Exchange Commission within 120 days of the fiscal year ended December 31, 2017.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13. Certain Relationships and Related Transactions and Director Independence</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information required by this item is incorporated by reference to our Proxy Statement relating to our 2018 Annual Meeting of Shareholders. The Proxy Statement will be filed with the Securities and Exchange Commission within 120 days of the fiscal year ended December 31, 2017.</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14. Principal Accountant Fees and Services</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231F20"/>
        </w:rPr>
        <w:t>The information required by this item is incorporated by reference to our Proxy Statement relating to our 2018 Annual Meeting of Shareholders. The Proxy Statement will be filed with the Securities and Exchange Commission within 120 days of the fiscal year ended December 31,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and Financial Statement Schedules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231F20"/>
        </w:rPr>
        <w:t>(a) The following documents are filed as part of this report: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22"/>
          <w:szCs w:val="22"/>
          <w:color w:val="231F20"/>
        </w:rPr>
        <w:t>1.  Financial Statements</w:t>
      </w:r>
    </w:p>
    <w:p>
      <w:pPr>
        <w:spacing w:after="0" w:line="247" w:lineRule="exact"/>
        <w:rPr>
          <w:sz w:val="20"/>
          <w:szCs w:val="20"/>
          <w:color w:val="auto"/>
        </w:rPr>
      </w:pPr>
    </w:p>
    <w:p>
      <w:pPr>
        <w:ind w:left="1060"/>
        <w:spacing w:after="0"/>
        <w:rPr>
          <w:sz w:val="20"/>
          <w:szCs w:val="20"/>
          <w:color w:val="auto"/>
        </w:rPr>
      </w:pPr>
      <w:r>
        <w:rPr>
          <w:rFonts w:ascii="Arial" w:cs="Arial" w:eastAsia="Arial" w:hAnsi="Arial"/>
          <w:sz w:val="22"/>
          <w:szCs w:val="22"/>
          <w:color w:val="231F20"/>
        </w:rPr>
        <w:t>See Index to Financial Statements at Item 8 herein.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22"/>
          <w:szCs w:val="22"/>
          <w:color w:val="231F20"/>
        </w:rPr>
        <w:t>2.  Financial Statement Schedules</w:t>
      </w:r>
    </w:p>
    <w:p>
      <w:pPr>
        <w:spacing w:after="0" w:line="247" w:lineRule="exact"/>
        <w:rPr>
          <w:sz w:val="20"/>
          <w:szCs w:val="20"/>
          <w:color w:val="auto"/>
        </w:rPr>
      </w:pPr>
    </w:p>
    <w:p>
      <w:pPr>
        <w:ind w:left="1060"/>
        <w:spacing w:after="0" w:line="263" w:lineRule="auto"/>
        <w:rPr>
          <w:sz w:val="20"/>
          <w:szCs w:val="20"/>
          <w:color w:val="auto"/>
        </w:rPr>
      </w:pPr>
      <w:r>
        <w:rPr>
          <w:rFonts w:ascii="Arial" w:cs="Arial" w:eastAsia="Arial" w:hAnsi="Arial"/>
          <w:sz w:val="22"/>
          <w:szCs w:val="22"/>
          <w:color w:val="231F20"/>
        </w:rPr>
        <w:t>Schedules not listed above have been omitted because they are not required, not applicable, or the required information is otherwise included.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231F20"/>
        </w:rPr>
        <w:t>3.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231F20"/>
        </w:rPr>
        <w:t>Item 16. Form 10-K Summary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None.</w:t>
      </w: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Section 13 or 15(d) of the Securities Exchange Act of 1934, as amended, the Registrant has duly caused this report 10-K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BANDWIDTH INC.</w:t>
      </w:r>
    </w:p>
    <w:p>
      <w:pPr>
        <w:spacing w:after="0" w:line="391"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DAVID A. MORKEN</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JEFFREY A. HOFFMAN</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360"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JOHN C. MURDOCK</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C. Murdock</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HENRY R. KAESTNER</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Henry R. Kaestner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BRIAN D. BAILEY</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D. Bailey</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5100"/>
        <w:spacing w:after="0"/>
        <w:tabs>
          <w:tab w:leader="none" w:pos="5600" w:val="left"/>
        </w:tabs>
        <w:rPr>
          <w:sz w:val="20"/>
          <w:szCs w:val="20"/>
          <w:color w:val="auto"/>
        </w:rPr>
      </w:pPr>
      <w:r>
        <w:rPr>
          <w:rFonts w:ascii="Arial" w:cs="Arial" w:eastAsia="Arial" w:hAnsi="Arial"/>
          <w:sz w:val="18"/>
          <w:szCs w:val="18"/>
          <w:color w:val="auto"/>
        </w:rPr>
        <w:t>By:</w:t>
        <w:tab/>
        <w:t>/s/ DOUGLAS A. SURIANO</w:t>
      </w:r>
    </w:p>
    <w:p>
      <w:pPr>
        <w:spacing w:after="0" w:line="2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22860</wp:posOffset>
            </wp:positionV>
            <wp:extent cx="3267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A. Suriano</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80"/>
          </w:cols>
          <w:pgMar w:left="240" w:top="125" w:right="3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0" w:type="dxa"/>
            <w:vAlign w:val="bottom"/>
          </w:tcPr>
          <w:p>
            <w:pPr>
              <w:ind w:left="25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5"/>
        </w:trPr>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Exhibit</w:t>
            </w:r>
          </w:p>
        </w:tc>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0" w:type="dxa"/>
            <w:vAlign w:val="bottom"/>
          </w:tcPr>
          <w:p>
            <w:pPr>
              <w:spacing w:after="0"/>
              <w:rPr>
                <w:sz w:val="1"/>
                <w:szCs w:val="1"/>
                <w:color w:val="auto"/>
              </w:rPr>
            </w:pPr>
          </w:p>
        </w:tc>
      </w:tr>
      <w:tr>
        <w:trPr>
          <w:trHeight w:val="158"/>
        </w:trPr>
        <w:tc>
          <w:tcPr>
            <w:tcW w:w="104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number</w:t>
            </w:r>
          </w:p>
        </w:tc>
        <w:tc>
          <w:tcPr>
            <w:tcW w:w="5560" w:type="dxa"/>
            <w:vAlign w:val="bottom"/>
            <w:gridSpan w:val="2"/>
            <w:vMerge w:val="continue"/>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61">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0"/>
              </w:rPr>
              <w:t>Reorganization Agreement, dated as of November 30, 2016, by and between</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and Republic Wireless, Inc.</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6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Second Amended and Restated Certificate of Incorporation.</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w w:val="89"/>
              </w:rPr>
              <w:t>Q3 10-Q</w:t>
            </w:r>
          </w:p>
        </w:tc>
        <w:tc>
          <w:tcPr>
            <w:tcW w:w="0" w:type="dxa"/>
            <w:vAlign w:val="bottom"/>
          </w:tcPr>
          <w:p>
            <w:pPr>
              <w:spacing w:after="0"/>
              <w:rPr>
                <w:sz w:val="1"/>
                <w:szCs w:val="1"/>
                <w:color w:val="auto"/>
              </w:rPr>
            </w:pPr>
          </w:p>
        </w:tc>
      </w:tr>
      <w:tr>
        <w:trPr>
          <w:trHeight w:val="25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6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Second Amended and Restated Bylaws.</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w w:val="89"/>
              </w:rPr>
              <w:t>Q3 10-Q</w:t>
            </w:r>
          </w:p>
        </w:tc>
        <w:tc>
          <w:tcPr>
            <w:tcW w:w="0" w:type="dxa"/>
            <w:vAlign w:val="bottom"/>
          </w:tcPr>
          <w:p>
            <w:pPr>
              <w:spacing w:after="0"/>
              <w:rPr>
                <w:sz w:val="1"/>
                <w:szCs w:val="1"/>
                <w:color w:val="auto"/>
              </w:rPr>
            </w:pPr>
          </w:p>
        </w:tc>
      </w:tr>
      <w:tr>
        <w:trPr>
          <w:trHeight w:val="25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6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Investors’ Rights Agreement.</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6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Form of Buy-Sell Agreement.</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320" w:type="dxa"/>
            <w:vAlign w:val="bottom"/>
            <w:gridSpan w:val="3"/>
          </w:tcPr>
          <w:p>
            <w:pPr>
              <w:spacing w:after="0"/>
              <w:rPr>
                <w:rFonts w:ascii="Arial" w:cs="Arial" w:eastAsia="Arial" w:hAnsi="Arial"/>
                <w:sz w:val="18"/>
                <w:szCs w:val="18"/>
                <w:color w:val="0000FF"/>
                <w:w w:val="85"/>
              </w:rPr>
            </w:pPr>
            <w:hyperlink r:id="rId66">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Credit and Security Agreement among Bandwidth.com, Inc., Keybank</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22"/>
        </w:trPr>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3"/>
              </w:rPr>
              <w:t>National Association, Keybanc Capital Markets Inc., Pacific Western Bank,</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5"/>
              </w:rPr>
              <w:t>Fifth Third Bank and Silicon Valley Bank, dated as of November 4, 2016.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gridSpan w:val="3"/>
          </w:tcPr>
          <w:p>
            <w:pPr>
              <w:spacing w:after="0"/>
              <w:rPr>
                <w:rFonts w:ascii="Arial" w:cs="Arial" w:eastAsia="Arial" w:hAnsi="Arial"/>
                <w:sz w:val="18"/>
                <w:szCs w:val="18"/>
                <w:color w:val="0000FF"/>
                <w:w w:val="85"/>
              </w:rPr>
            </w:pPr>
            <w:hyperlink r:id="rId6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2"/>
              </w:rPr>
              <w:t>Form of Indemnification Agreement between Bandwidth Inc. and each of its</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S-1A</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Executive Officers and Directors.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tcBorders>
              <w:bottom w:val="single" w:sz="8" w:color="0000FF"/>
            </w:tcBorders>
            <w:gridSpan w:val="3"/>
          </w:tcPr>
          <w:p>
            <w:pPr>
              <w:spacing w:after="0"/>
              <w:rPr>
                <w:rFonts w:ascii="Arial" w:cs="Arial" w:eastAsia="Arial" w:hAnsi="Arial"/>
                <w:sz w:val="18"/>
                <w:szCs w:val="18"/>
                <w:color w:val="0000FF"/>
                <w:w w:val="85"/>
              </w:rPr>
            </w:pPr>
            <w:hyperlink r:id="rId6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2001 Stock Option Plan and forms of awards thereunder.</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320" w:type="dxa"/>
            <w:vAlign w:val="bottom"/>
            <w:tcBorders>
              <w:bottom w:val="single" w:sz="8" w:color="0000FF"/>
            </w:tcBorders>
            <w:gridSpan w:val="3"/>
          </w:tcPr>
          <w:p>
            <w:pPr>
              <w:spacing w:after="0"/>
              <w:rPr>
                <w:rFonts w:ascii="Arial" w:cs="Arial" w:eastAsia="Arial" w:hAnsi="Arial"/>
                <w:sz w:val="18"/>
                <w:szCs w:val="18"/>
                <w:color w:val="0000FF"/>
                <w:w w:val="85"/>
              </w:rPr>
            </w:pPr>
            <w:hyperlink r:id="rId6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2010 Equity Compensation Plan and forms of awards thereunder.</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50"/>
        </w:trPr>
        <w:tc>
          <w:tcPr>
            <w:tcW w:w="320" w:type="dxa"/>
            <w:vAlign w:val="bottom"/>
            <w:gridSpan w:val="3"/>
          </w:tcPr>
          <w:p>
            <w:pPr>
              <w:spacing w:after="0"/>
              <w:rPr>
                <w:rFonts w:ascii="Arial" w:cs="Arial" w:eastAsia="Arial" w:hAnsi="Arial"/>
                <w:sz w:val="18"/>
                <w:szCs w:val="18"/>
                <w:color w:val="0000FF"/>
                <w:w w:val="85"/>
              </w:rPr>
            </w:pPr>
            <w:hyperlink r:id="rId7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8"/>
              </w:rPr>
              <w:t>Employment Agreement, dated as of October 1, 2008, by and between</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and John Murdock.</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gridSpan w:val="3"/>
          </w:tcPr>
          <w:p>
            <w:pPr>
              <w:spacing w:after="0"/>
              <w:rPr>
                <w:rFonts w:ascii="Arial" w:cs="Arial" w:eastAsia="Arial" w:hAnsi="Arial"/>
                <w:sz w:val="18"/>
                <w:szCs w:val="18"/>
                <w:color w:val="0000FF"/>
                <w:w w:val="85"/>
              </w:rPr>
            </w:pPr>
            <w:hyperlink r:id="rId7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Employment Agreement, dated as of May 3, 2010, by and between</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and W. Christopher Matton.</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gridSpan w:val="3"/>
          </w:tcPr>
          <w:p>
            <w:pPr>
              <w:spacing w:after="0"/>
              <w:rPr>
                <w:rFonts w:ascii="Arial" w:cs="Arial" w:eastAsia="Arial" w:hAnsi="Arial"/>
                <w:sz w:val="18"/>
                <w:szCs w:val="18"/>
                <w:color w:val="0000FF"/>
                <w:w w:val="85"/>
              </w:rPr>
            </w:pPr>
            <w:hyperlink r:id="rId7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2"/>
              </w:rPr>
              <w:t>Employment Agreement, dated as of September 16, 2011, by and between</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and Jeff Hoffman.</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gridSpan w:val="3"/>
          </w:tcPr>
          <w:p>
            <w:pPr>
              <w:spacing w:after="0"/>
              <w:rPr>
                <w:rFonts w:ascii="Arial" w:cs="Arial" w:eastAsia="Arial" w:hAnsi="Arial"/>
                <w:sz w:val="18"/>
                <w:szCs w:val="18"/>
                <w:color w:val="0000FF"/>
                <w:w w:val="85"/>
              </w:rPr>
            </w:pPr>
            <w:hyperlink r:id="rId7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as of January 1, 2015, as amended on March</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9, 2017, by and between Bandwidth.com, Inc. and David A. Morken.</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 w:type="dxa"/>
            <w:vAlign w:val="bottom"/>
            <w:gridSpan w:val="3"/>
          </w:tcPr>
          <w:p>
            <w:pPr>
              <w:spacing w:after="0"/>
              <w:rPr>
                <w:rFonts w:ascii="Arial" w:cs="Arial" w:eastAsia="Arial" w:hAnsi="Arial"/>
                <w:sz w:val="18"/>
                <w:szCs w:val="18"/>
                <w:color w:val="0000FF"/>
                <w:w w:val="85"/>
              </w:rPr>
            </w:pPr>
            <w:hyperlink r:id="rId7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Employment Agreement, dated as of March 1, 2017, by and between</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and Henry R. Kaestner.</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7"/>
              </w:rPr>
              <w:t>Consulting Agreement, dated as of February 22, 2010, by and between</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and Carmichael Investment Partners, LLC.</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 w:type="dxa"/>
            <w:vAlign w:val="bottom"/>
            <w:tcBorders>
              <w:bottom w:val="single" w:sz="8" w:color="0000FF"/>
            </w:tcBorders>
            <w:gridSpan w:val="4"/>
          </w:tcPr>
          <w:p>
            <w:pPr>
              <w:spacing w:after="0"/>
              <w:rPr>
                <w:rFonts w:ascii="Arial" w:cs="Arial" w:eastAsia="Arial" w:hAnsi="Arial"/>
                <w:sz w:val="18"/>
                <w:szCs w:val="18"/>
                <w:color w:val="0000FF"/>
                <w:w w:val="84"/>
              </w:rPr>
            </w:pPr>
            <w:hyperlink r:id="rId7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6"/>
              </w:rPr>
              <w:t>Office Lease, by and between Venture Center LLC and Bandwidth.com,</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Inc., dated January 22, 2013, as amended to date.</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77">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Sublease, by and between Allied Telesis Capital Corporation and</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dated December 1, 2015.</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7"/>
              </w:rPr>
              <w:t>Facilities Sharing Agreement, by and between Bandwidth.com, Inc. and</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Republic Wireless, Inc., dated November 30, 2016.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79">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4"/>
              </w:rPr>
              <w:t>Transition Services Agreement, by and between Bandwidth.com, Inc. and</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Republic Wireless, Inc., dated November 30, 2016.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80">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1"/>
              </w:rPr>
              <w:t>Transition Services Agreement, by and between Republic Wireless, Inc. and</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Bandwidth.com, Inc., dated November 30, 2016.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81">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1"/>
              </w:rPr>
              <w:t>Tax Sharing Agreement, by and between Bandwidth.com, Inc. and Republic</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Wireless, Inc., dated November 30, 2016.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82">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5"/>
              </w:rPr>
              <w:t>Employee Matters Agreement, by and between Bandwidth.com, Inc. and</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Republic Wireless, Inc., dated November 30, 2016.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gridSpan w:val="5"/>
          </w:tcPr>
          <w:p>
            <w:pPr>
              <w:spacing w:after="0"/>
              <w:rPr>
                <w:rFonts w:ascii="Arial" w:cs="Arial" w:eastAsia="Arial" w:hAnsi="Arial"/>
                <w:sz w:val="18"/>
                <w:szCs w:val="18"/>
                <w:color w:val="0000FF"/>
              </w:rPr>
            </w:pPr>
            <w:hyperlink r:id="rId83">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56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8"/>
              </w:rPr>
              <w:t>Master Services Agreement, by and between Bandwidth.com, Inc. and</w:t>
            </w:r>
          </w:p>
        </w:tc>
        <w:tc>
          <w:tcPr>
            <w:tcW w:w="680" w:type="dxa"/>
            <w:vAlign w:val="bottom"/>
            <w:gridSpan w:val="3"/>
          </w:tcPr>
          <w:p>
            <w:pPr>
              <w:ind w:left="4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Republic Wireless, Inc., dated November 30, 2016.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60" w:type="dxa"/>
            <w:vAlign w:val="bottom"/>
            <w:gridSpan w:val="2"/>
          </w:tcPr>
          <w:p>
            <w:pPr>
              <w:ind w:left="4500"/>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4"/>
          <w:szCs w:val="14"/>
          <w:b w:val="1"/>
          <w:bCs w:val="1"/>
          <w:u w:val="single" w:color="auto"/>
          <w:color w:val="auto"/>
        </w:rPr>
        <w:t>File No.</w:t>
      </w:r>
      <w:r>
        <w:rPr>
          <w:sz w:val="20"/>
          <w:szCs w:val="20"/>
          <w:color w:val="auto"/>
        </w:rPr>
        <w:tab/>
      </w: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3"/>
          <w:szCs w:val="13"/>
          <w:b w:val="1"/>
          <w:bCs w:val="1"/>
          <w:u w:val="single" w:color="auto"/>
          <w:color w:val="auto"/>
        </w:rPr>
        <w:t>Filing Date</w:t>
      </w:r>
    </w:p>
    <w:p>
      <w:pPr>
        <w:spacing w:after="0" w:line="50"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001-38285</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12/14/2017</w:t>
      </w:r>
    </w:p>
    <w:p>
      <w:pPr>
        <w:spacing w:after="0" w:line="63"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001-38285</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12/14/2017</w:t>
      </w:r>
    </w:p>
    <w:p>
      <w:pPr>
        <w:spacing w:after="0" w:line="63"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10/13/2017</w:t>
      </w:r>
    </w:p>
    <w:p>
      <w:pPr>
        <w:spacing w:after="0" w:line="200" w:lineRule="exact"/>
        <w:rPr>
          <w:sz w:val="20"/>
          <w:szCs w:val="20"/>
          <w:color w:val="auto"/>
        </w:rPr>
      </w:pPr>
    </w:p>
    <w:p>
      <w:pPr>
        <w:spacing w:after="0" w:line="295"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10/30/2017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10/13/2017</w:t>
      </w:r>
    </w:p>
    <w:p>
      <w:pPr>
        <w:spacing w:after="0" w:line="63"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10/13/2017</w:t>
      </w:r>
    </w:p>
    <w:p>
      <w:pPr>
        <w:spacing w:after="0" w:line="279" w:lineRule="exact"/>
        <w:rPr>
          <w:sz w:val="20"/>
          <w:szCs w:val="20"/>
          <w:color w:val="auto"/>
        </w:rPr>
      </w:pPr>
    </w:p>
    <w:p>
      <w:pPr>
        <w:spacing w:after="0"/>
        <w:tabs>
          <w:tab w:leader="none" w:pos="1220" w:val="left"/>
          <w:tab w:leader="none" w:pos="1900" w:val="left"/>
        </w:tabs>
        <w:rPr>
          <w:sz w:val="20"/>
          <w:szCs w:val="20"/>
          <w:color w:val="auto"/>
        </w:rPr>
      </w:pPr>
      <w:r>
        <w:rPr>
          <w:rFonts w:ascii="Arial" w:cs="Arial" w:eastAsia="Arial" w:hAnsi="Arial"/>
          <w:sz w:val="18"/>
          <w:szCs w:val="18"/>
          <w:color w:val="auto"/>
        </w:rPr>
        <w:t>333-220945</w:t>
      </w:r>
      <w:r>
        <w:rPr>
          <w:sz w:val="20"/>
          <w:szCs w:val="20"/>
          <w:color w:val="auto"/>
        </w:rPr>
        <w:tab/>
      </w: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10/13/2017</w:t>
      </w:r>
    </w:p>
    <w:p>
      <w:pPr>
        <w:sectPr>
          <w:pgSz w:w="11900" w:h="16838" w:orient="portrait"/>
          <w:cols w:equalWidth="0" w:num="2">
            <w:col w:w="7320" w:space="380"/>
            <w:col w:w="2740"/>
          </w:cols>
          <w:pgMar w:left="240" w:top="125" w:right="1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660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817"/>
        </w:trPr>
        <w:tc>
          <w:tcPr>
            <w:tcW w:w="440" w:type="dxa"/>
            <w:vAlign w:val="bottom"/>
            <w:gridSpan w:val="3"/>
          </w:tcPr>
          <w:p>
            <w:pPr>
              <w:ind w:left="40"/>
              <w:spacing w:after="0"/>
              <w:rPr>
                <w:rFonts w:ascii="Arial" w:cs="Arial" w:eastAsia="Arial" w:hAnsi="Arial"/>
                <w:sz w:val="18"/>
                <w:szCs w:val="18"/>
                <w:color w:val="0000FF"/>
                <w:w w:val="84"/>
              </w:rPr>
            </w:pPr>
            <w:hyperlink r:id="rId8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460" w:type="dxa"/>
            <w:vAlign w:val="bottom"/>
          </w:tcPr>
          <w:p>
            <w:pPr>
              <w:spacing w:after="0"/>
              <w:rPr>
                <w:sz w:val="24"/>
                <w:szCs w:val="24"/>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2"/>
              </w:rPr>
              <w:t>Master Service Agreement, by and between Level 3 Communications, LLC</w:t>
            </w:r>
          </w:p>
        </w:tc>
        <w:tc>
          <w:tcPr>
            <w:tcW w:w="780" w:type="dxa"/>
            <w:vAlign w:val="bottom"/>
          </w:tcPr>
          <w:p>
            <w:pPr>
              <w:ind w:left="80"/>
              <w:spacing w:after="0"/>
              <w:rPr>
                <w:sz w:val="20"/>
                <w:szCs w:val="20"/>
                <w:color w:val="auto"/>
              </w:rPr>
            </w:pPr>
            <w:r>
              <w:rPr>
                <w:rFonts w:ascii="Arial" w:cs="Arial" w:eastAsia="Arial" w:hAnsi="Arial"/>
                <w:sz w:val="18"/>
                <w:szCs w:val="18"/>
                <w:color w:val="auto"/>
              </w:rPr>
              <w:t>S-1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333-220945</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10.19</w:t>
            </w:r>
          </w:p>
        </w:tc>
        <w:tc>
          <w:tcPr>
            <w:tcW w:w="1540" w:type="dxa"/>
            <w:vAlign w:val="bottom"/>
          </w:tcPr>
          <w:p>
            <w:pPr>
              <w:ind w:left="140"/>
              <w:spacing w:after="0"/>
              <w:rPr>
                <w:sz w:val="20"/>
                <w:szCs w:val="20"/>
                <w:color w:val="auto"/>
              </w:rPr>
            </w:pPr>
            <w:r>
              <w:rPr>
                <w:rFonts w:ascii="Arial" w:cs="Arial" w:eastAsia="Arial" w:hAnsi="Arial"/>
                <w:sz w:val="18"/>
                <w:szCs w:val="18"/>
                <w:color w:val="auto"/>
              </w:rPr>
              <w:t>10/13/2017</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9"/>
              </w:rPr>
              <w:t>and Bandwidth.com, Inc, dated March 14, 2008, as amended to date.</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440" w:type="dxa"/>
            <w:vAlign w:val="bottom"/>
            <w:gridSpan w:val="3"/>
          </w:tcPr>
          <w:p>
            <w:pPr>
              <w:ind w:left="40"/>
              <w:spacing w:after="0"/>
              <w:rPr>
                <w:rFonts w:ascii="Arial" w:cs="Arial" w:eastAsia="Arial" w:hAnsi="Arial"/>
                <w:sz w:val="18"/>
                <w:szCs w:val="18"/>
                <w:color w:val="0000FF"/>
                <w:w w:val="84"/>
              </w:rPr>
            </w:pPr>
            <w:hyperlink r:id="rId8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4"/>
              </w:rPr>
              <w:t>Form of Conversion Lock-up Agreement between Bandwidth Inc. and the</w:t>
            </w:r>
          </w:p>
        </w:tc>
        <w:tc>
          <w:tcPr>
            <w:tcW w:w="780" w:type="dxa"/>
            <w:vAlign w:val="bottom"/>
          </w:tcPr>
          <w:p>
            <w:pPr>
              <w:ind w:left="80"/>
              <w:spacing w:after="0"/>
              <w:rPr>
                <w:sz w:val="20"/>
                <w:szCs w:val="20"/>
                <w:color w:val="auto"/>
              </w:rPr>
            </w:pPr>
            <w:r>
              <w:rPr>
                <w:rFonts w:ascii="Arial" w:cs="Arial" w:eastAsia="Arial" w:hAnsi="Arial"/>
                <w:sz w:val="18"/>
                <w:szCs w:val="18"/>
                <w:color w:val="auto"/>
              </w:rPr>
              <w:t>S-1A</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333-220945</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10.20</w:t>
            </w:r>
          </w:p>
        </w:tc>
        <w:tc>
          <w:tcPr>
            <w:tcW w:w="1540" w:type="dxa"/>
            <w:vAlign w:val="bottom"/>
          </w:tcPr>
          <w:p>
            <w:pPr>
              <w:ind w:left="140"/>
              <w:spacing w:after="0"/>
              <w:rPr>
                <w:sz w:val="20"/>
                <w:szCs w:val="20"/>
                <w:color w:val="auto"/>
              </w:rPr>
            </w:pPr>
            <w:r>
              <w:rPr>
                <w:rFonts w:ascii="Arial" w:cs="Arial" w:eastAsia="Arial" w:hAnsi="Arial"/>
                <w:sz w:val="18"/>
                <w:szCs w:val="18"/>
                <w:color w:val="auto"/>
              </w:rPr>
              <w:t>10/30/2017</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Key Holders.</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440" w:type="dxa"/>
            <w:vAlign w:val="bottom"/>
            <w:gridSpan w:val="3"/>
          </w:tcPr>
          <w:p>
            <w:pPr>
              <w:ind w:left="40"/>
              <w:spacing w:after="0"/>
              <w:rPr>
                <w:rFonts w:ascii="Arial" w:cs="Arial" w:eastAsia="Arial" w:hAnsi="Arial"/>
                <w:sz w:val="18"/>
                <w:szCs w:val="18"/>
                <w:color w:val="0000FF"/>
                <w:w w:val="84"/>
              </w:rPr>
            </w:pPr>
            <w:hyperlink r:id="rId8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hyperlink>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5"/>
              </w:rPr>
              <w:t>2017 Incentive Award Plan, and forms of award agreements thereunder.</w:t>
            </w:r>
          </w:p>
        </w:tc>
        <w:tc>
          <w:tcPr>
            <w:tcW w:w="780" w:type="dxa"/>
            <w:vAlign w:val="bottom"/>
          </w:tcPr>
          <w:p>
            <w:pPr>
              <w:ind w:left="80"/>
              <w:spacing w:after="0"/>
              <w:rPr>
                <w:sz w:val="20"/>
                <w:szCs w:val="20"/>
                <w:color w:val="auto"/>
              </w:rPr>
            </w:pPr>
            <w:r>
              <w:rPr>
                <w:rFonts w:ascii="Arial" w:cs="Arial" w:eastAsia="Arial" w:hAnsi="Arial"/>
                <w:sz w:val="18"/>
                <w:szCs w:val="18"/>
                <w:color w:val="auto"/>
              </w:rPr>
              <w:t>S-1A</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333-220945</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1540" w:type="dxa"/>
            <w:vAlign w:val="bottom"/>
          </w:tcPr>
          <w:p>
            <w:pPr>
              <w:ind w:left="140"/>
              <w:spacing w:after="0"/>
              <w:rPr>
                <w:sz w:val="20"/>
                <w:szCs w:val="20"/>
                <w:color w:val="auto"/>
              </w:rPr>
            </w:pPr>
            <w:r>
              <w:rPr>
                <w:rFonts w:ascii="Arial" w:cs="Arial" w:eastAsia="Arial" w:hAnsi="Arial"/>
                <w:sz w:val="18"/>
                <w:szCs w:val="18"/>
                <w:color w:val="auto"/>
              </w:rPr>
              <w:t>10/27/2017</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440" w:type="dxa"/>
            <w:vAlign w:val="bottom"/>
            <w:gridSpan w:val="3"/>
          </w:tcPr>
          <w:p>
            <w:pPr>
              <w:ind w:left="40"/>
              <w:spacing w:after="0"/>
              <w:rPr>
                <w:rFonts w:ascii="Arial" w:cs="Arial" w:eastAsia="Arial" w:hAnsi="Arial"/>
                <w:sz w:val="18"/>
                <w:szCs w:val="18"/>
                <w:color w:val="0000FF"/>
                <w:w w:val="84"/>
              </w:rPr>
            </w:pPr>
            <w:hyperlink w:anchor="page13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22</w:t>
              </w:r>
            </w:hyperlink>
          </w:p>
        </w:tc>
        <w:tc>
          <w:tcPr>
            <w:tcW w:w="460" w:type="dxa"/>
            <w:vAlign w:val="bottom"/>
          </w:tcPr>
          <w:p>
            <w:pPr>
              <w:spacing w:after="0"/>
              <w:rPr>
                <w:sz w:val="21"/>
                <w:szCs w:val="21"/>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Office Lease, by and between Keystone-Centennial II, LLC and</w:t>
            </w: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Bandwidth.com, Inc., dated January 12, 2018.</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89">
              <w:r>
                <w:rPr>
                  <w:rFonts w:ascii="Arial" w:cs="Arial" w:eastAsia="Arial" w:hAnsi="Arial"/>
                  <w:sz w:val="18"/>
                  <w:szCs w:val="18"/>
                  <w:color w:val="0000FF"/>
                  <w:w w:val="79"/>
                </w:rPr>
                <w:t>21.</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List of subsidiaries of Bandwidth Inc.</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360" w:type="dxa"/>
            <w:vAlign w:val="bottom"/>
            <w:gridSpan w:val="2"/>
          </w:tcPr>
          <w:p>
            <w:pPr>
              <w:ind w:left="40"/>
              <w:spacing w:after="0"/>
              <w:rPr>
                <w:rFonts w:ascii="Arial" w:cs="Arial" w:eastAsia="Arial" w:hAnsi="Arial"/>
                <w:sz w:val="18"/>
                <w:szCs w:val="18"/>
                <w:color w:val="0000FF"/>
                <w:w w:val="79"/>
              </w:rPr>
            </w:pPr>
            <w:hyperlink w:anchor="page190">
              <w:r>
                <w:rPr>
                  <w:rFonts w:ascii="Arial" w:cs="Arial" w:eastAsia="Arial" w:hAnsi="Arial"/>
                  <w:sz w:val="18"/>
                  <w:szCs w:val="18"/>
                  <w:color w:val="0000FF"/>
                  <w:w w:val="79"/>
                </w:rPr>
                <w:t>23.</w:t>
              </w:r>
              <w:r>
                <w:rPr>
                  <w:rFonts w:ascii="Arial" w:cs="Arial" w:eastAsia="Arial" w:hAnsi="Arial"/>
                  <w:sz w:val="18"/>
                  <w:szCs w:val="18"/>
                  <w:u w:val="single" w:color="auto"/>
                  <w:color w:val="0000FF"/>
                  <w:w w:val="79"/>
                </w:rPr>
                <w:t>1</w:t>
              </w:r>
            </w:hyperlink>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2"/>
              </w:rPr>
              <w:t>Consent of Ernst &amp; Young LLP, Independent Registered Public Accounting</w:t>
            </w: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37"/>
        </w:trPr>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Firm.</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91">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4"/>
              </w:rPr>
              <w:t>Certificate of the Chief Executive Officer pursuant to Exchange Act Rules</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13a-14(a) and 15d-14(a), as adopted pursuant to Section 302 of the</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Sarbanes-Oxley Act of 2002.</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360" w:type="dxa"/>
            <w:vAlign w:val="bottom"/>
            <w:gridSpan w:val="2"/>
          </w:tcPr>
          <w:p>
            <w:pPr>
              <w:ind w:left="40"/>
              <w:spacing w:after="0"/>
              <w:rPr>
                <w:rFonts w:ascii="Arial" w:cs="Arial" w:eastAsia="Arial" w:hAnsi="Arial"/>
                <w:sz w:val="18"/>
                <w:szCs w:val="18"/>
                <w:color w:val="0000FF"/>
                <w:w w:val="79"/>
              </w:rPr>
            </w:pPr>
            <w:hyperlink w:anchor="page192">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the Chief Financial Officer pursuant to Exchange Act Rules</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13a-14(a) and 15d-14(a), as adopted pursuant to Section 302 of the</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Sarbanes-Oxley Act of 2002.</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440" w:type="dxa"/>
            <w:vAlign w:val="bottom"/>
            <w:gridSpan w:val="3"/>
          </w:tcPr>
          <w:p>
            <w:pPr>
              <w:ind w:left="40"/>
              <w:spacing w:after="0"/>
              <w:rPr>
                <w:rFonts w:ascii="Arial" w:cs="Arial" w:eastAsia="Arial" w:hAnsi="Arial"/>
                <w:sz w:val="18"/>
                <w:szCs w:val="18"/>
                <w:color w:val="0000FF"/>
                <w:w w:val="90"/>
              </w:rPr>
            </w:pPr>
            <w:hyperlink w:anchor="page193">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9"/>
              </w:rPr>
              <w:t>Certification of the Chief Executive Officer and Chief Financial Officer</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w w:val="90"/>
              </w:rPr>
              <w:t>Furnished herewith</w:t>
            </w:r>
          </w:p>
        </w:tc>
      </w:tr>
      <w:tr>
        <w:trPr>
          <w:trHeight w:val="222"/>
        </w:trPr>
        <w:tc>
          <w:tcPr>
            <w:tcW w:w="4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2"/>
              </w:rPr>
              <w:t>pursuant to 18 U.S.C. Section 1350, as adopted pursuant to Section 906 of</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the Sarbanes-Oxley Act 2002.</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0"/>
        </w:trPr>
        <w:tc>
          <w:tcPr>
            <w:tcW w:w="40" w:type="dxa"/>
            <w:vAlign w:val="bottom"/>
          </w:tcPr>
          <w:p>
            <w:pPr>
              <w:spacing w:after="0"/>
              <w:rPr>
                <w:sz w:val="23"/>
                <w:szCs w:val="23"/>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XBRL Taxonomy Schema Document.</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0"/>
        </w:trPr>
        <w:tc>
          <w:tcPr>
            <w:tcW w:w="40" w:type="dxa"/>
            <w:vAlign w:val="bottom"/>
          </w:tcPr>
          <w:p>
            <w:pPr>
              <w:spacing w:after="0"/>
              <w:rPr>
                <w:sz w:val="23"/>
                <w:szCs w:val="23"/>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0"/>
        </w:trPr>
        <w:tc>
          <w:tcPr>
            <w:tcW w:w="40" w:type="dxa"/>
            <w:vAlign w:val="bottom"/>
          </w:tcPr>
          <w:p>
            <w:pPr>
              <w:spacing w:after="0"/>
              <w:rPr>
                <w:sz w:val="23"/>
                <w:szCs w:val="23"/>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0"/>
        </w:trPr>
        <w:tc>
          <w:tcPr>
            <w:tcW w:w="40" w:type="dxa"/>
            <w:vAlign w:val="bottom"/>
          </w:tcPr>
          <w:p>
            <w:pPr>
              <w:spacing w:after="0"/>
              <w:rPr>
                <w:sz w:val="23"/>
                <w:szCs w:val="23"/>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0"/>
        </w:trPr>
        <w:tc>
          <w:tcPr>
            <w:tcW w:w="40" w:type="dxa"/>
            <w:vAlign w:val="bottom"/>
          </w:tcPr>
          <w:p>
            <w:pPr>
              <w:spacing w:after="0"/>
              <w:rPr>
                <w:sz w:val="23"/>
                <w:szCs w:val="23"/>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7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Filed herewith</w:t>
            </w:r>
          </w:p>
        </w:tc>
      </w:tr>
    </w:tbl>
    <w:p>
      <w:pPr>
        <w:ind w:left="420" w:hanging="412"/>
        <w:spacing w:after="0" w:line="288" w:lineRule="auto"/>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certifications furnished in Exhibit 32.1 hereto are deemed to accompany this </w:t>
      </w:r>
      <w:r>
        <w:rPr>
          <w:rFonts w:ascii="Arial" w:cs="Arial" w:eastAsia="Arial" w:hAnsi="Arial"/>
          <w:sz w:val="16"/>
          <w:szCs w:val="16"/>
          <w:color w:val="231F20"/>
        </w:rPr>
        <w:t>Annual Report on Form 10-K</w:t>
      </w:r>
      <w:r>
        <w:rPr>
          <w:rFonts w:ascii="Arial" w:cs="Arial" w:eastAsia="Arial" w:hAnsi="Arial"/>
          <w:sz w:val="16"/>
          <w:szCs w:val="16"/>
          <w:color w:val="auto"/>
        </w:rPr>
        <w:t xml:space="preserve"> and will not be deemed "filed" for purpose of Section 18 of the Securities Exchange Act of 1934, as amended, except to the extent that the registrant specifically incorporates by reference</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40"/>
          </w:cols>
          <w:pgMar w:left="240" w:top="108" w:right="319" w:bottom="1440"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363220</wp:posOffset>
            </wp:positionV>
            <wp:extent cx="6950710" cy="9041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6950710"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1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6950710"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1097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6950710" cy="9109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32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6950710"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1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6950710"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9545955</wp:posOffset>
            </wp:positionV>
            <wp:extent cx="695071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695071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66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6950710"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518160</wp:posOffset>
            </wp:positionV>
            <wp:extent cx="6950710" cy="9058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518160</wp:posOffset>
            </wp:positionV>
            <wp:extent cx="6950710" cy="9058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66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6950710"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1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6950710"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518160</wp:posOffset>
            </wp:positionV>
            <wp:extent cx="6950710" cy="9049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1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6950710"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32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6950710"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518160</wp:posOffset>
            </wp:positionV>
            <wp:extent cx="6950710" cy="9049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518160</wp:posOffset>
            </wp:positionV>
            <wp:extent cx="6950710" cy="9049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58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6950710" cy="905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518160</wp:posOffset>
            </wp:positionV>
            <wp:extent cx="6950710" cy="9049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1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6950710"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32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6950710"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518160</wp:posOffset>
            </wp:positionV>
            <wp:extent cx="6950710" cy="9032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6950710"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32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6950710"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9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6950710"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32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6950710"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517525</wp:posOffset>
            </wp:positionV>
            <wp:extent cx="6950710" cy="9041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6950710"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 of Bandwidth Inc.</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Bandwidth.com CLEC, LLC</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Broadband, LLC</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IP Spectrum Solutions, LLC</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UK Bandwidth Limited</w:t>
      </w:r>
    </w:p>
    <w:p>
      <w:pPr>
        <w:sectPr>
          <w:pgSz w:w="11900" w:h="16838" w:orient="portrait"/>
          <w:cols w:equalWidth="0" w:num="1">
            <w:col w:w="11020"/>
          </w:cols>
          <w:pgMar w:left="600" w:top="662" w:right="279"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333333"/>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333333"/>
        </w:rPr>
        <w:t>CONSENT OF INDEPENDENT REGISTERED PUBLIC ACCOUNTING FIRM</w:t>
      </w:r>
    </w:p>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333333"/>
        </w:rPr>
        <w:t>We consent to the incorporation by reference in the Registration Statement (Form S-8 No. 333-222167) pertaining to the Bandwidth Inc. 2017 Incentive Award Plan, the Bandwidth.com, Inc. 2010 Equity Compensation Plan, and the Bandwidth.com, Inc. 2001 Stock Option Plan of our report dated February 26, 2018, with respect to the consolidated financial statements of Bandwidth Inc. included in this Annual Report (Form 10-K) for the year ended December 31, 2017.</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333333"/>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333333"/>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333333"/>
        </w:rPr>
        <w:t>February 26, 2018</w:t>
      </w:r>
    </w:p>
    <w:p>
      <w:pPr>
        <w:sectPr>
          <w:pgSz w:w="11900" w:h="16838" w:orient="portrait"/>
          <w:cols w:equalWidth="0" w:num="1">
            <w:col w:w="11420"/>
          </w:cols>
          <w:pgMar w:left="240" w:top="360"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A. Morken, certify that:</w:t>
      </w:r>
    </w:p>
    <w:p>
      <w:pPr>
        <w:spacing w:after="0" w:line="306" w:lineRule="exact"/>
        <w:rPr>
          <w:sz w:val="20"/>
          <w:szCs w:val="20"/>
          <w:color w:val="auto"/>
        </w:rPr>
      </w:pPr>
    </w:p>
    <w:p>
      <w:pPr>
        <w:ind w:left="720" w:hanging="35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Bandwidth Inc.;</w:t>
      </w:r>
    </w:p>
    <w:p>
      <w:pPr>
        <w:spacing w:after="0" w:line="171" w:lineRule="exact"/>
        <w:rPr>
          <w:rFonts w:ascii="Arial" w:cs="Arial" w:eastAsia="Arial" w:hAnsi="Arial"/>
          <w:sz w:val="18"/>
          <w:szCs w:val="18"/>
          <w:color w:val="auto"/>
        </w:rPr>
      </w:pPr>
    </w:p>
    <w:p>
      <w:pPr>
        <w:ind w:right="220" w:firstLine="368"/>
        <w:spacing w:after="0" w:line="342"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180" w:firstLine="368"/>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40" w:firstLine="368"/>
        <w:spacing w:after="0" w:line="277" w:lineRule="auto"/>
        <w:tabs>
          <w:tab w:leader="none" w:pos="7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40" w:firstLine="356"/>
        <w:spacing w:after="0" w:line="264" w:lineRule="auto"/>
        <w:tabs>
          <w:tab w:leader="none" w:pos="13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380" w:firstLine="356"/>
        <w:spacing w:after="0" w:line="342" w:lineRule="auto"/>
        <w:tabs>
          <w:tab w:leader="none" w:pos="1365"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380" w:firstLine="356"/>
        <w:spacing w:after="0" w:line="264" w:lineRule="auto"/>
        <w:tabs>
          <w:tab w:leader="none" w:pos="13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0" w:firstLine="368"/>
        <w:spacing w:after="0" w:line="308" w:lineRule="auto"/>
        <w:tabs>
          <w:tab w:leader="none" w:pos="717"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600" w:firstLine="356"/>
        <w:spacing w:after="0" w:line="308" w:lineRule="auto"/>
        <w:tabs>
          <w:tab w:leader="none" w:pos="1345"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660" w:right="280" w:firstLine="356"/>
        <w:spacing w:after="0" w:line="277" w:lineRule="auto"/>
        <w:tabs>
          <w:tab w:leader="none" w:pos="1355"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36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31750</wp:posOffset>
            </wp:positionV>
            <wp:extent cx="29159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Chief Executive Officer and Chairman</w:t>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6"/>
          <w:szCs w:val="16"/>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Jeffrey A. Hoffman certify that:</w:t>
      </w:r>
    </w:p>
    <w:p>
      <w:pPr>
        <w:spacing w:after="0" w:line="200" w:lineRule="exact"/>
        <w:rPr>
          <w:sz w:val="20"/>
          <w:szCs w:val="20"/>
          <w:color w:val="auto"/>
        </w:rPr>
      </w:pPr>
    </w:p>
    <w:p>
      <w:pPr>
        <w:spacing w:after="0" w:line="268"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Bandwidth Inc.;</w:t>
      </w:r>
    </w:p>
    <w:p>
      <w:pPr>
        <w:spacing w:after="0" w:line="171" w:lineRule="exact"/>
        <w:rPr>
          <w:rFonts w:ascii="Arial" w:cs="Arial" w:eastAsia="Arial" w:hAnsi="Arial"/>
          <w:sz w:val="18"/>
          <w:szCs w:val="18"/>
          <w:color w:val="auto"/>
        </w:rPr>
      </w:pPr>
    </w:p>
    <w:p>
      <w:pPr>
        <w:ind w:right="300" w:firstLine="332"/>
        <w:spacing w:after="0" w:line="342" w:lineRule="auto"/>
        <w:tabs>
          <w:tab w:leader="none" w:pos="639"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60" w:firstLine="332"/>
        <w:spacing w:after="0" w:line="277" w:lineRule="auto"/>
        <w:tabs>
          <w:tab w:leader="none" w:pos="6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320" w:firstLine="332"/>
        <w:spacing w:after="0" w:line="277"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40" w:firstLine="356"/>
        <w:spacing w:after="0" w:line="264" w:lineRule="auto"/>
        <w:tabs>
          <w:tab w:leader="none" w:pos="13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380" w:firstLine="356"/>
        <w:spacing w:after="0" w:line="342" w:lineRule="auto"/>
        <w:tabs>
          <w:tab w:leader="none" w:pos="1365"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380" w:firstLine="356"/>
        <w:spacing w:after="0" w:line="264" w:lineRule="auto"/>
        <w:tabs>
          <w:tab w:leader="none" w:pos="13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0" w:firstLine="332"/>
        <w:spacing w:after="0" w:line="308" w:lineRule="auto"/>
        <w:tabs>
          <w:tab w:leader="none" w:pos="636"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600" w:firstLine="356"/>
        <w:spacing w:after="0" w:line="308" w:lineRule="auto"/>
        <w:tabs>
          <w:tab w:leader="none" w:pos="1345"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660" w:right="280" w:firstLine="356"/>
        <w:spacing w:after="0" w:line="277" w:lineRule="auto"/>
        <w:tabs>
          <w:tab w:leader="none" w:pos="13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36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Accounting and Financial Officer)</w:t>
      </w:r>
    </w:p>
    <w:p>
      <w:pPr>
        <w:sectPr>
          <w:pgSz w:w="11900" w:h="16838" w:orient="portrait"/>
          <w:cols w:equalWidth="0" w:num="1">
            <w:col w:w="11420"/>
          </w:cols>
          <w:pgMar w:left="240" w:top="585"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6"/>
          <w:szCs w:val="16"/>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166" w:lineRule="exact"/>
        <w:rPr>
          <w:sz w:val="20"/>
          <w:szCs w:val="20"/>
          <w:color w:val="auto"/>
        </w:rPr>
      </w:pPr>
    </w:p>
    <w:p>
      <w:pPr>
        <w:ind w:right="400" w:firstLine="332"/>
        <w:spacing w:after="0" w:line="277"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2017,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60" w:firstLine="332"/>
        <w:spacing w:after="0" w:line="277"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38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David A. Morken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29159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5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Jeffrey A. Hoffman</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i w:val="1"/>
          <w:iCs w:val="1"/>
          <w:color w:val="auto"/>
        </w:rPr>
        <w:t>(Principal Accounting and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Roman"/>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lowerRoman"/>
      <w:start w:val="2"/>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22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61" Type="http://schemas.openxmlformats.org/officeDocument/2006/relationships/hyperlink" Target="http://www.sec.gov/Archives/edgar/data/1514416/000119312517309873/d416018dex21.htm" TargetMode="External"/><Relationship Id="rId62" Type="http://schemas.openxmlformats.org/officeDocument/2006/relationships/hyperlink" Target="http://www.sec.gov/Archives/edgar/data/1514416/000151441617000006/a10qq32017exhibit31.htm" TargetMode="External"/><Relationship Id="rId63" Type="http://schemas.openxmlformats.org/officeDocument/2006/relationships/hyperlink" Target="http://www.sec.gov/Archives/edgar/data/1514416/000151441617000006/a10qq32017exhibit32.htm" TargetMode="External"/><Relationship Id="rId64" Type="http://schemas.openxmlformats.org/officeDocument/2006/relationships/hyperlink" Target="http://www.sec.gov/Archives/edgar/data/1514416/000119312517309873/d416018dex42.htm" TargetMode="External"/><Relationship Id="rId65" Type="http://schemas.openxmlformats.org/officeDocument/2006/relationships/hyperlink" Target="http://www.sec.gov/Archives/edgar/data/1514416/000119312517309873/d416018dex43.htm" TargetMode="External"/><Relationship Id="rId66" Type="http://schemas.openxmlformats.org/officeDocument/2006/relationships/hyperlink" Target="http://www.sec.gov/Archives/edgar/data/1514416/000119312517309873/d416018dex101.htm" TargetMode="External"/><Relationship Id="rId67" Type="http://schemas.openxmlformats.org/officeDocument/2006/relationships/hyperlink" Target="http://www.sec.gov/Archives/edgar/data/1514416/000119312517325086/d416018dex102.htm" TargetMode="External"/><Relationship Id="rId68" Type="http://schemas.openxmlformats.org/officeDocument/2006/relationships/hyperlink" Target="http://www.sec.gov/Archives/edgar/data/1514416/000119312517309873/d416018dex103.htm" TargetMode="External"/><Relationship Id="rId69" Type="http://schemas.openxmlformats.org/officeDocument/2006/relationships/hyperlink" Target="http://www.sec.gov/Archives/edgar/data/1514416/000119312517309873/d416018dex104.htm" TargetMode="External"/><Relationship Id="rId70" Type="http://schemas.openxmlformats.org/officeDocument/2006/relationships/hyperlink" Target="http://www.sec.gov/Archives/edgar/data/1514416/000119312517309873/d416018dex105.htm" TargetMode="External"/><Relationship Id="rId71" Type="http://schemas.openxmlformats.org/officeDocument/2006/relationships/hyperlink" Target="http://www.sec.gov/Archives/edgar/data/1514416/000119312517309873/d416018dex106.htm" TargetMode="External"/><Relationship Id="rId72" Type="http://schemas.openxmlformats.org/officeDocument/2006/relationships/hyperlink" Target="http://www.sec.gov/Archives/edgar/data/1514416/000119312517309873/d416018dex107.htm" TargetMode="External"/><Relationship Id="rId73" Type="http://schemas.openxmlformats.org/officeDocument/2006/relationships/hyperlink" Target="http://www.sec.gov/Archives/edgar/data/1514416/000119312517309873/d416018dex108.htm" TargetMode="External"/><Relationship Id="rId74" Type="http://schemas.openxmlformats.org/officeDocument/2006/relationships/hyperlink" Target="http://www.sec.gov/Archives/edgar/data/1514416/000119312517309873/d416018dex109.htm" TargetMode="External"/><Relationship Id="rId75" Type="http://schemas.openxmlformats.org/officeDocument/2006/relationships/hyperlink" Target="http://www.sec.gov/Archives/edgar/data/1514416/000119312517309873/d416018dex1010.htm" TargetMode="External"/><Relationship Id="rId76" Type="http://schemas.openxmlformats.org/officeDocument/2006/relationships/hyperlink" Target="http://www.sec.gov/Archives/edgar/data/1514416/000119312517309873/d416018dex1011.htm" TargetMode="External"/><Relationship Id="rId77" Type="http://schemas.openxmlformats.org/officeDocument/2006/relationships/hyperlink" Target="http://www.sec.gov/Archives/edgar/data/1514416/000119312517309873/d416018dex1012.htm" TargetMode="External"/><Relationship Id="rId78" Type="http://schemas.openxmlformats.org/officeDocument/2006/relationships/hyperlink" Target="http://www.sec.gov/Archives/edgar/data/1514416/000119312517309873/d416018dex1013.htm" TargetMode="External"/><Relationship Id="rId79" Type="http://schemas.openxmlformats.org/officeDocument/2006/relationships/hyperlink" Target="http://www.sec.gov/Archives/edgar/data/1514416/000119312517309873/d416018dex1014.htm" TargetMode="External"/><Relationship Id="rId80" Type="http://schemas.openxmlformats.org/officeDocument/2006/relationships/hyperlink" Target="http://www.sec.gov/Archives/edgar/data/1514416/000119312517309873/d416018dex1015.htm" TargetMode="External"/><Relationship Id="rId81" Type="http://schemas.openxmlformats.org/officeDocument/2006/relationships/hyperlink" Target="http://www.sec.gov/Archives/edgar/data/1514416/000119312517309873/d416018dex1016.htm" TargetMode="External"/><Relationship Id="rId82" Type="http://schemas.openxmlformats.org/officeDocument/2006/relationships/hyperlink" Target="http://www.sec.gov/Archives/edgar/data/1514416/000119312517309873/d416018dex1017.htm" TargetMode="External"/><Relationship Id="rId83" Type="http://schemas.openxmlformats.org/officeDocument/2006/relationships/hyperlink" Target="http://www.sec.gov/Archives/edgar/data/1514416/000119312517309873/d416018dex1018.htm" TargetMode="External"/><Relationship Id="rId84" Type="http://schemas.openxmlformats.org/officeDocument/2006/relationships/hyperlink" Target="http://www.sec.gov/Archives/edgar/data/1514416/000119312517309873/d416018dex1019.htm" TargetMode="External"/><Relationship Id="rId85" Type="http://schemas.openxmlformats.org/officeDocument/2006/relationships/hyperlink" Target="http://www.sec.gov/Archives/edgar/data/1514416/000119312517323803/d416018dex1020.htm" TargetMode="External"/><Relationship Id="rId86" Type="http://schemas.openxmlformats.org/officeDocument/2006/relationships/hyperlink" Target="http://www.sec.gov/Archives/edgar/data/1514416/000119312517322087/d416018d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2019-12-28T23:59:39Z</dcterms:created>
  <dcterms:modified xsi:type="dcterms:W3CDTF">2019-12-28T23:59:39Z</dcterms:modified>
</cp:coreProperties>
</file>