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07266.xml.htm"/>
      <w:bookmarkStart w:id="1" w:name="kswkform4_17882072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Roush Lukas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BANDWIDTH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2230 BANDMATE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Bandwidth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47.35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58,436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61,769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sold pursuant to a Rule 10b5-1 plan adopted by the Reporting Person on May 28,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the Bandwidth Inc.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November 28, 2025, the Reporting Person was granted 13,333 Restricted Stock Units, which vest in four equal quarterly installments beginning on February 28,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Webb, Attorney-in-Fact for Lukas M. Roush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58209" TargetMode="External"/><Relationship Id="rId5" Type="http://schemas.openxmlformats.org/officeDocument/2006/relationships/hyperlink" Target="http://www.sec.gov/cgi-bin/browse-edgar?action=getcompany&amp;CIK=000151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3532</Characters>
  <CharactersWithSpaces>4104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