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203835</wp:posOffset>
            </wp:positionH>
            <wp:positionV relativeFrom="page">
              <wp:posOffset>361315</wp:posOffset>
            </wp:positionV>
            <wp:extent cx="7117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384810</wp:posOffset>
            </wp:positionV>
            <wp:extent cx="7117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08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89" w:lineRule="exact"/>
        <w:rPr>
          <w:sz w:val="24"/>
          <w:szCs w:val="24"/>
          <w:color w:val="auto"/>
        </w:rPr>
      </w:pPr>
    </w:p>
    <w:p>
      <w:pPr>
        <w:ind w:left="4340"/>
        <w:spacing w:after="0"/>
        <w:rPr>
          <w:sz w:val="20"/>
          <w:szCs w:val="20"/>
          <w:color w:val="auto"/>
        </w:rPr>
      </w:pPr>
      <w:r>
        <w:rPr>
          <w:rFonts w:ascii="Arial" w:cs="Arial" w:eastAsia="Arial" w:hAnsi="Arial"/>
          <w:sz w:val="15"/>
          <w:szCs w:val="15"/>
          <w:b w:val="1"/>
          <w:bCs w:val="1"/>
          <w:color w:val="auto"/>
        </w:rPr>
        <w:t>__________________________________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73" w:lineRule="exact"/>
        <w:rPr>
          <w:sz w:val="24"/>
          <w:szCs w:val="24"/>
          <w:color w:val="auto"/>
        </w:rPr>
      </w:pPr>
    </w:p>
    <w:p>
      <w:pPr>
        <w:ind w:left="4340"/>
        <w:spacing w:after="0"/>
        <w:rPr>
          <w:sz w:val="20"/>
          <w:szCs w:val="20"/>
          <w:color w:val="auto"/>
        </w:rPr>
      </w:pPr>
      <w:r>
        <w:rPr>
          <w:rFonts w:ascii="Arial" w:cs="Arial" w:eastAsia="Arial" w:hAnsi="Arial"/>
          <w:sz w:val="15"/>
          <w:szCs w:val="15"/>
          <w:b w:val="1"/>
          <w:bCs w:val="1"/>
          <w:color w:val="auto"/>
        </w:rPr>
        <w:t>__________________________________</w:t>
      </w:r>
    </w:p>
    <w:p>
      <w:pPr>
        <w:spacing w:after="0" w:line="54" w:lineRule="exact"/>
        <w:rPr>
          <w:sz w:val="24"/>
          <w:szCs w:val="24"/>
          <w:color w:val="auto"/>
        </w:rPr>
      </w:pPr>
    </w:p>
    <w:p>
      <w:pPr>
        <w:ind w:left="460" w:hanging="442"/>
        <w:spacing w:after="0"/>
        <w:tabs>
          <w:tab w:leader="none" w:pos="4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5"/>
          <w:szCs w:val="15"/>
          <w:b w:val="1"/>
          <w:bCs w:val="1"/>
          <w:color w:val="auto"/>
        </w:rPr>
        <w:t>QUARTERLY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June 30, 2021</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42" w:lineRule="exact"/>
        <w:rPr>
          <w:sz w:val="24"/>
          <w:szCs w:val="24"/>
          <w:color w:val="auto"/>
        </w:rPr>
      </w:pPr>
    </w:p>
    <w:p>
      <w:pPr>
        <w:ind w:left="460" w:hanging="44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60" w:type="dxa"/>
            <w:vAlign w:val="bottom"/>
            <w:gridSpan w:val="3"/>
          </w:tcPr>
          <w:p>
            <w:pPr>
              <w:ind w:left="400"/>
              <w:spacing w:after="0"/>
              <w:rPr>
                <w:sz w:val="20"/>
                <w:szCs w:val="20"/>
                <w:color w:val="auto"/>
              </w:rPr>
            </w:pPr>
            <w:r>
              <w:rPr>
                <w:rFonts w:ascii="Arial" w:cs="Arial" w:eastAsia="Arial" w:hAnsi="Arial"/>
                <w:sz w:val="15"/>
                <w:szCs w:val="15"/>
                <w:color w:val="auto"/>
              </w:rPr>
              <w:t>For the transition period from</w:t>
            </w:r>
          </w:p>
        </w:tc>
        <w:tc>
          <w:tcPr>
            <w:tcW w:w="3760" w:type="dxa"/>
            <w:vAlign w:val="bottom"/>
            <w:gridSpan w:val="2"/>
          </w:tcPr>
          <w:p>
            <w:pPr>
              <w:ind w:left="180"/>
              <w:spacing w:after="0"/>
              <w:rPr>
                <w:sz w:val="20"/>
                <w:szCs w:val="20"/>
                <w:color w:val="auto"/>
              </w:rPr>
            </w:pPr>
            <w:r>
              <w:rPr>
                <w:rFonts w:ascii="Arial" w:cs="Arial" w:eastAsia="Arial" w:hAnsi="Arial"/>
                <w:sz w:val="15"/>
                <w:szCs w:val="15"/>
                <w:color w:val="auto"/>
              </w:rPr>
              <w:t>to</w:t>
            </w:r>
          </w:p>
        </w:tc>
      </w:tr>
      <w:tr>
        <w:trPr>
          <w:trHeight w:val="277"/>
        </w:trPr>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20" w:type="dxa"/>
            <w:vAlign w:val="bottom"/>
            <w:gridSpan w:val="5"/>
          </w:tcPr>
          <w:p>
            <w:pPr>
              <w:jc w:val="center"/>
              <w:ind w:right="3024"/>
              <w:spacing w:after="0"/>
              <w:rPr>
                <w:sz w:val="20"/>
                <w:szCs w:val="20"/>
                <w:color w:val="auto"/>
              </w:rPr>
            </w:pPr>
            <w:r>
              <w:rPr>
                <w:rFonts w:ascii="Arial" w:cs="Arial" w:eastAsia="Arial" w:hAnsi="Arial"/>
                <w:sz w:val="15"/>
                <w:szCs w:val="15"/>
                <w:b w:val="1"/>
                <w:bCs w:val="1"/>
                <w:color w:val="auto"/>
                <w:w w:val="91"/>
              </w:rPr>
              <w:t>Commission File Number: 001-38285</w:t>
            </w:r>
          </w:p>
        </w:tc>
      </w:tr>
      <w:tr>
        <w:trPr>
          <w:trHeight w:val="402"/>
        </w:trPr>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20" w:type="dxa"/>
            <w:vAlign w:val="bottom"/>
            <w:gridSpan w:val="5"/>
          </w:tcPr>
          <w:p>
            <w:pPr>
              <w:jc w:val="center"/>
              <w:ind w:right="2964"/>
              <w:spacing w:after="0"/>
              <w:rPr>
                <w:sz w:val="20"/>
                <w:szCs w:val="20"/>
                <w:color w:val="auto"/>
              </w:rPr>
            </w:pPr>
            <w:r>
              <w:rPr>
                <w:rFonts w:ascii="Arial" w:cs="Arial" w:eastAsia="Arial" w:hAnsi="Arial"/>
                <w:sz w:val="27"/>
                <w:szCs w:val="27"/>
                <w:b w:val="1"/>
                <w:bCs w:val="1"/>
                <w:color w:val="auto"/>
              </w:rPr>
              <w:t>BANDWIDTH INC.</w:t>
            </w:r>
          </w:p>
        </w:tc>
      </w:tr>
      <w:tr>
        <w:trPr>
          <w:trHeight w:val="191"/>
        </w:trPr>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20" w:type="dxa"/>
            <w:vAlign w:val="bottom"/>
            <w:gridSpan w:val="5"/>
          </w:tcPr>
          <w:p>
            <w:pPr>
              <w:jc w:val="center"/>
              <w:ind w:right="2984"/>
              <w:spacing w:after="0"/>
              <w:rPr>
                <w:sz w:val="20"/>
                <w:szCs w:val="20"/>
                <w:color w:val="auto"/>
              </w:rPr>
            </w:pPr>
            <w:r>
              <w:rPr>
                <w:rFonts w:ascii="Arial" w:cs="Arial" w:eastAsia="Arial" w:hAnsi="Arial"/>
                <w:sz w:val="15"/>
                <w:szCs w:val="15"/>
                <w:color w:val="auto"/>
                <w:w w:val="91"/>
              </w:rPr>
              <w:t>(Exact name of registrant as specified in its charter)</w:t>
            </w:r>
          </w:p>
        </w:tc>
      </w:tr>
      <w:tr>
        <w:trPr>
          <w:trHeight w:val="277"/>
        </w:trPr>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gridSpan w:val="4"/>
          </w:tcPr>
          <w:p>
            <w:pPr>
              <w:jc w:val="center"/>
              <w:ind w:right="144"/>
              <w:spacing w:after="0"/>
              <w:rPr>
                <w:sz w:val="20"/>
                <w:szCs w:val="20"/>
                <w:color w:val="auto"/>
              </w:rPr>
            </w:pPr>
            <w:r>
              <w:rPr>
                <w:rFonts w:ascii="Arial" w:cs="Arial" w:eastAsia="Arial" w:hAnsi="Arial"/>
                <w:sz w:val="15"/>
                <w:szCs w:val="15"/>
                <w:b w:val="1"/>
                <w:bCs w:val="1"/>
                <w:color w:val="auto"/>
                <w:w w:val="90"/>
              </w:rPr>
              <w:t>__________________________________</w:t>
            </w:r>
          </w:p>
        </w:tc>
        <w:tc>
          <w:tcPr>
            <w:tcW w:w="2820" w:type="dxa"/>
            <w:vAlign w:val="bottom"/>
          </w:tcPr>
          <w:p>
            <w:pPr>
              <w:spacing w:after="0"/>
              <w:rPr>
                <w:sz w:val="24"/>
                <w:szCs w:val="24"/>
                <w:color w:val="auto"/>
              </w:rPr>
            </w:pPr>
          </w:p>
        </w:tc>
      </w:tr>
      <w:tr>
        <w:trPr>
          <w:trHeight w:val="391"/>
        </w:trPr>
        <w:tc>
          <w:tcPr>
            <w:tcW w:w="1720" w:type="dxa"/>
            <w:vAlign w:val="bottom"/>
          </w:tcPr>
          <w:p>
            <w:pPr>
              <w:spacing w:after="0"/>
              <w:rPr>
                <w:sz w:val="24"/>
                <w:szCs w:val="24"/>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Delaware</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2"/>
          </w:tcPr>
          <w:p>
            <w:pPr>
              <w:jc w:val="center"/>
              <w:ind w:left="4"/>
              <w:spacing w:after="0"/>
              <w:rPr>
                <w:sz w:val="20"/>
                <w:szCs w:val="20"/>
                <w:color w:val="auto"/>
              </w:rPr>
            </w:pPr>
            <w:r>
              <w:rPr>
                <w:rFonts w:ascii="Arial" w:cs="Arial" w:eastAsia="Arial" w:hAnsi="Arial"/>
                <w:sz w:val="15"/>
                <w:szCs w:val="15"/>
                <w:b w:val="1"/>
                <w:bCs w:val="1"/>
                <w:color w:val="auto"/>
                <w:w w:val="89"/>
              </w:rPr>
              <w:t>56-2242657</w:t>
            </w:r>
          </w:p>
        </w:tc>
      </w:tr>
      <w:tr>
        <w:trPr>
          <w:trHeight w:val="162"/>
        </w:trPr>
        <w:tc>
          <w:tcPr>
            <w:tcW w:w="1720" w:type="dxa"/>
            <w:vAlign w:val="bottom"/>
          </w:tcPr>
          <w:p>
            <w:pPr>
              <w:spacing w:after="0"/>
              <w:rPr>
                <w:sz w:val="14"/>
                <w:szCs w:val="14"/>
                <w:color w:val="auto"/>
              </w:rPr>
            </w:pPr>
          </w:p>
        </w:tc>
        <w:tc>
          <w:tcPr>
            <w:tcW w:w="222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(State or other jurisdiction of</w:t>
            </w: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20" w:type="dxa"/>
            <w:vAlign w:val="bottom"/>
          </w:tcPr>
          <w:p>
            <w:pPr>
              <w:jc w:val="center"/>
              <w:ind w:right="784"/>
              <w:spacing w:after="0" w:line="162" w:lineRule="exact"/>
              <w:rPr>
                <w:sz w:val="20"/>
                <w:szCs w:val="20"/>
                <w:color w:val="auto"/>
              </w:rPr>
            </w:pPr>
            <w:r>
              <w:rPr>
                <w:rFonts w:ascii="Arial" w:cs="Arial" w:eastAsia="Arial" w:hAnsi="Arial"/>
                <w:sz w:val="15"/>
                <w:szCs w:val="15"/>
                <w:color w:val="auto"/>
                <w:w w:val="94"/>
              </w:rPr>
              <w:t>(I.R.S. Employer</w:t>
            </w:r>
          </w:p>
        </w:tc>
      </w:tr>
      <w:tr>
        <w:trPr>
          <w:trHeight w:val="191"/>
        </w:trPr>
        <w:tc>
          <w:tcPr>
            <w:tcW w:w="1720" w:type="dxa"/>
            <w:vAlign w:val="bottom"/>
          </w:tcPr>
          <w:p>
            <w:pPr>
              <w:spacing w:after="0"/>
              <w:rPr>
                <w:sz w:val="16"/>
                <w:szCs w:val="16"/>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5"/>
                <w:szCs w:val="15"/>
                <w:color w:val="auto"/>
                <w:w w:val="93"/>
              </w:rPr>
              <w:t>incorporation or organization)</w:t>
            </w: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20" w:type="dxa"/>
            <w:vAlign w:val="bottom"/>
          </w:tcPr>
          <w:p>
            <w:pPr>
              <w:jc w:val="center"/>
              <w:ind w:right="784"/>
              <w:spacing w:after="0"/>
              <w:rPr>
                <w:sz w:val="20"/>
                <w:szCs w:val="20"/>
                <w:color w:val="auto"/>
              </w:rPr>
            </w:pPr>
            <w:r>
              <w:rPr>
                <w:rFonts w:ascii="Arial" w:cs="Arial" w:eastAsia="Arial" w:hAnsi="Arial"/>
                <w:sz w:val="15"/>
                <w:szCs w:val="15"/>
                <w:color w:val="auto"/>
                <w:w w:val="95"/>
              </w:rPr>
              <w:t>Identification Number)</w:t>
            </w:r>
          </w:p>
        </w:tc>
      </w:tr>
      <w:tr>
        <w:trPr>
          <w:trHeight w:val="259"/>
        </w:trPr>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60" w:type="dxa"/>
            <w:vAlign w:val="bottom"/>
            <w:gridSpan w:val="3"/>
          </w:tcPr>
          <w:p>
            <w:pPr>
              <w:jc w:val="center"/>
              <w:ind w:left="639"/>
              <w:spacing w:after="0"/>
              <w:rPr>
                <w:sz w:val="20"/>
                <w:szCs w:val="20"/>
                <w:color w:val="auto"/>
              </w:rPr>
            </w:pPr>
            <w:r>
              <w:rPr>
                <w:rFonts w:ascii="Arial" w:cs="Arial" w:eastAsia="Arial" w:hAnsi="Arial"/>
                <w:sz w:val="15"/>
                <w:szCs w:val="15"/>
                <w:b w:val="1"/>
                <w:bCs w:val="1"/>
                <w:color w:val="auto"/>
                <w:w w:val="93"/>
              </w:rPr>
              <w:t>900 Main Campus Drive</w:t>
            </w:r>
          </w:p>
        </w:tc>
        <w:tc>
          <w:tcPr>
            <w:tcW w:w="94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181"/>
        </w:trPr>
        <w:tc>
          <w:tcPr>
            <w:tcW w:w="1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2"/>
              </w:rPr>
              <w:t>Raleigh, NC 27606</w:t>
            </w:r>
          </w:p>
        </w:tc>
        <w:tc>
          <w:tcPr>
            <w:tcW w:w="94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191"/>
        </w:trPr>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20" w:type="dxa"/>
            <w:vAlign w:val="bottom"/>
            <w:gridSpan w:val="5"/>
          </w:tcPr>
          <w:p>
            <w:pPr>
              <w:jc w:val="center"/>
              <w:ind w:right="3004"/>
              <w:spacing w:after="0"/>
              <w:rPr>
                <w:sz w:val="20"/>
                <w:szCs w:val="20"/>
                <w:color w:val="auto"/>
              </w:rPr>
            </w:pPr>
            <w:r>
              <w:rPr>
                <w:rFonts w:ascii="Arial" w:cs="Arial" w:eastAsia="Arial" w:hAnsi="Arial"/>
                <w:sz w:val="15"/>
                <w:szCs w:val="15"/>
                <w:color w:val="auto"/>
                <w:w w:val="93"/>
              </w:rPr>
              <w:t>(Address of principal executive offices) (Zip Code)</w:t>
            </w:r>
          </w:p>
        </w:tc>
      </w:tr>
      <w:tr>
        <w:trPr>
          <w:trHeight w:val="263"/>
        </w:trPr>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gridSpan w:val="2"/>
          </w:tcPr>
          <w:p>
            <w:pPr>
              <w:jc w:val="center"/>
              <w:ind w:left="1019"/>
              <w:spacing w:after="0"/>
              <w:rPr>
                <w:sz w:val="20"/>
                <w:szCs w:val="20"/>
                <w:color w:val="auto"/>
              </w:rPr>
            </w:pPr>
            <w:r>
              <w:rPr>
                <w:rFonts w:ascii="Arial" w:cs="Arial" w:eastAsia="Arial" w:hAnsi="Arial"/>
                <w:sz w:val="15"/>
                <w:szCs w:val="15"/>
                <w:b w:val="1"/>
                <w:bCs w:val="1"/>
                <w:color w:val="auto"/>
                <w:w w:val="91"/>
              </w:rPr>
              <w:t>(800) 808-5150</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191"/>
        </w:trPr>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20" w:type="dxa"/>
            <w:vAlign w:val="bottom"/>
            <w:gridSpan w:val="5"/>
          </w:tcPr>
          <w:p>
            <w:pPr>
              <w:jc w:val="center"/>
              <w:ind w:right="2984"/>
              <w:spacing w:after="0"/>
              <w:rPr>
                <w:sz w:val="20"/>
                <w:szCs w:val="20"/>
                <w:color w:val="auto"/>
              </w:rPr>
            </w:pPr>
            <w:r>
              <w:rPr>
                <w:rFonts w:ascii="Arial" w:cs="Arial" w:eastAsia="Arial" w:hAnsi="Arial"/>
                <w:sz w:val="15"/>
                <w:szCs w:val="15"/>
                <w:color w:val="auto"/>
                <w:w w:val="90"/>
              </w:rPr>
              <w:t>(Registrant’s telephone number, including area code)</w:t>
            </w:r>
          </w:p>
        </w:tc>
      </w:tr>
      <w:tr>
        <w:trPr>
          <w:trHeight w:val="277"/>
        </w:trPr>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gridSpan w:val="4"/>
          </w:tcPr>
          <w:p>
            <w:pPr>
              <w:jc w:val="center"/>
              <w:ind w:right="144"/>
              <w:spacing w:after="0"/>
              <w:rPr>
                <w:sz w:val="20"/>
                <w:szCs w:val="20"/>
                <w:color w:val="auto"/>
              </w:rPr>
            </w:pPr>
            <w:r>
              <w:rPr>
                <w:rFonts w:ascii="Arial" w:cs="Arial" w:eastAsia="Arial" w:hAnsi="Arial"/>
                <w:sz w:val="15"/>
                <w:szCs w:val="15"/>
                <w:b w:val="1"/>
                <w:bCs w:val="1"/>
                <w:color w:val="auto"/>
                <w:w w:val="90"/>
              </w:rPr>
              <w:t>__________________________________</w:t>
            </w:r>
          </w:p>
        </w:tc>
        <w:tc>
          <w:tcPr>
            <w:tcW w:w="2820" w:type="dxa"/>
            <w:vAlign w:val="bottom"/>
          </w:tcPr>
          <w:p>
            <w:pPr>
              <w:spacing w:after="0"/>
              <w:rPr>
                <w:sz w:val="24"/>
                <w:szCs w:val="24"/>
                <w:color w:val="auto"/>
              </w:rPr>
            </w:pPr>
          </w:p>
        </w:tc>
      </w:tr>
      <w:tr>
        <w:trPr>
          <w:trHeight w:val="403"/>
        </w:trPr>
        <w:tc>
          <w:tcPr>
            <w:tcW w:w="394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83"/>
        </w:trPr>
        <w:tc>
          <w:tcPr>
            <w:tcW w:w="17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8"/>
              </w:rPr>
              <w:t>Title of each class</w:t>
            </w:r>
          </w:p>
        </w:tc>
        <w:tc>
          <w:tcPr>
            <w:tcW w:w="1080" w:type="dxa"/>
            <w:vAlign w:val="bottom"/>
          </w:tcPr>
          <w:p>
            <w:pPr>
              <w:spacing w:after="0"/>
              <w:rPr>
                <w:sz w:val="15"/>
                <w:szCs w:val="15"/>
                <w:color w:val="auto"/>
              </w:rPr>
            </w:pPr>
          </w:p>
        </w:tc>
        <w:tc>
          <w:tcPr>
            <w:tcW w:w="2660" w:type="dxa"/>
            <w:vAlign w:val="bottom"/>
            <w:gridSpan w:val="3"/>
          </w:tcPr>
          <w:p>
            <w:pPr>
              <w:jc w:val="center"/>
              <w:ind w:left="619"/>
              <w:spacing w:after="0"/>
              <w:rPr>
                <w:sz w:val="20"/>
                <w:szCs w:val="20"/>
                <w:color w:val="auto"/>
              </w:rPr>
            </w:pPr>
            <w:r>
              <w:rPr>
                <w:rFonts w:ascii="Arial" w:cs="Arial" w:eastAsia="Arial" w:hAnsi="Arial"/>
                <w:sz w:val="15"/>
                <w:szCs w:val="15"/>
                <w:b w:val="1"/>
                <w:bCs w:val="1"/>
                <w:color w:val="auto"/>
                <w:w w:val="91"/>
              </w:rPr>
              <w:t>Trading Symbol(s)</w:t>
            </w:r>
          </w:p>
        </w:tc>
        <w:tc>
          <w:tcPr>
            <w:tcW w:w="3760" w:type="dxa"/>
            <w:vAlign w:val="bottom"/>
            <w:gridSpan w:val="2"/>
          </w:tcPr>
          <w:p>
            <w:pPr>
              <w:jc w:val="center"/>
              <w:ind w:left="864"/>
              <w:spacing w:after="0"/>
              <w:rPr>
                <w:sz w:val="20"/>
                <w:szCs w:val="20"/>
                <w:color w:val="auto"/>
              </w:rPr>
            </w:pPr>
            <w:r>
              <w:rPr>
                <w:rFonts w:ascii="Arial" w:cs="Arial" w:eastAsia="Arial" w:hAnsi="Arial"/>
                <w:sz w:val="15"/>
                <w:szCs w:val="15"/>
                <w:b w:val="1"/>
                <w:bCs w:val="1"/>
                <w:color w:val="auto"/>
                <w:w w:val="89"/>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13"/>
        </w:trPr>
        <w:tc>
          <w:tcPr>
            <w:tcW w:w="3940" w:type="dxa"/>
            <w:vAlign w:val="bottom"/>
            <w:gridSpan w:val="3"/>
          </w:tcPr>
          <w:p>
            <w:pPr>
              <w:jc w:val="center"/>
              <w:ind w:left="564"/>
              <w:spacing w:after="0"/>
              <w:rPr>
                <w:sz w:val="20"/>
                <w:szCs w:val="20"/>
                <w:color w:val="auto"/>
              </w:rPr>
            </w:pPr>
            <w:r>
              <w:rPr>
                <w:rFonts w:ascii="Arial" w:cs="Arial" w:eastAsia="Arial" w:hAnsi="Arial"/>
                <w:sz w:val="15"/>
                <w:szCs w:val="15"/>
                <w:color w:val="auto"/>
                <w:w w:val="90"/>
              </w:rPr>
              <w:t>Class A Common Stock, par value $0.001 per share</w:t>
            </w:r>
          </w:p>
        </w:tc>
        <w:tc>
          <w:tcPr>
            <w:tcW w:w="10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5"/>
                <w:szCs w:val="15"/>
                <w:color w:val="auto"/>
              </w:rPr>
              <w:t>BAND</w:t>
            </w:r>
          </w:p>
        </w:tc>
        <w:tc>
          <w:tcPr>
            <w:tcW w:w="9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5"/>
                <w:szCs w:val="15"/>
                <w:color w:val="auto"/>
                <w:w w:val="94"/>
              </w:rPr>
              <w:t>NASDAQ Global Select Market</w:t>
            </w:r>
          </w:p>
        </w:tc>
      </w:tr>
    </w:tbl>
    <w:p>
      <w:pPr>
        <w:spacing w:after="0" w:line="200" w:lineRule="exact"/>
        <w:rPr>
          <w:sz w:val="24"/>
          <w:szCs w:val="24"/>
          <w:color w:val="auto"/>
        </w:rPr>
      </w:pPr>
    </w:p>
    <w:p>
      <w:pPr>
        <w:spacing w:after="0" w:line="202" w:lineRule="exact"/>
        <w:rPr>
          <w:sz w:val="24"/>
          <w:szCs w:val="24"/>
          <w:color w:val="auto"/>
        </w:rPr>
      </w:pPr>
    </w:p>
    <w:p>
      <w:pPr>
        <w:ind w:right="80"/>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5"/>
          <w:szCs w:val="15"/>
          <w:color w:val="auto"/>
        </w:rPr>
        <w:t>x</w:t>
      </w:r>
      <w:r>
        <w:rPr>
          <w:rFonts w:ascii="Arial" w:cs="Arial" w:eastAsia="Arial" w:hAnsi="Arial"/>
          <w:sz w:val="14"/>
          <w:szCs w:val="14"/>
          <w:color w:val="auto"/>
        </w:rPr>
        <w:t xml:space="preserve"> </w:t>
      </w:r>
      <w:r>
        <w:rPr>
          <w:rFonts w:ascii="Arial" w:cs="Arial" w:eastAsia="Arial" w:hAnsi="Arial"/>
          <w:sz w:val="15"/>
          <w:szCs w:val="15"/>
          <w:color w:val="auto"/>
        </w:rPr>
        <w:t>No</w:t>
      </w:r>
      <w:r>
        <w:rPr>
          <w:rFonts w:ascii="Arial" w:cs="Arial" w:eastAsia="Arial" w:hAnsi="Arial"/>
          <w:sz w:val="14"/>
          <w:szCs w:val="14"/>
          <w:color w:val="auto"/>
        </w:rPr>
        <w:t xml:space="preserve"> </w:t>
      </w:r>
      <w:r>
        <w:rPr>
          <w:rFonts w:ascii="MS PGothic" w:cs="MS PGothic" w:eastAsia="MS PGothic" w:hAnsi="MS PGothic"/>
          <w:sz w:val="15"/>
          <w:szCs w:val="15"/>
          <w:color w:val="auto"/>
        </w:rPr>
        <w:t>☐</w:t>
      </w:r>
    </w:p>
    <w:p>
      <w:pPr>
        <w:spacing w:after="0" w:line="76" w:lineRule="exact"/>
        <w:rPr>
          <w:sz w:val="24"/>
          <w:szCs w:val="24"/>
          <w:color w:val="auto"/>
        </w:rPr>
      </w:pPr>
    </w:p>
    <w:p>
      <w:pPr>
        <w:ind w:right="2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Arial" w:cs="Arial" w:eastAsia="Arial" w:hAnsi="Arial"/>
          <w:sz w:val="15"/>
          <w:szCs w:val="15"/>
          <w:color w:val="auto"/>
        </w:rPr>
        <w:t xml:space="preserve"> </w:t>
      </w:r>
      <w:r>
        <w:rPr>
          <w:rFonts w:ascii="Arial" w:cs="Arial" w:eastAsia="Arial" w:hAnsi="Arial"/>
          <w:sz w:val="16"/>
          <w:szCs w:val="16"/>
          <w:color w:val="auto"/>
        </w:rPr>
        <w:t>No</w:t>
      </w:r>
      <w:r>
        <w:rPr>
          <w:rFonts w:ascii="Arial" w:cs="Arial" w:eastAsia="Arial" w:hAnsi="Arial"/>
          <w:sz w:val="15"/>
          <w:szCs w:val="15"/>
          <w:color w:val="auto"/>
        </w:rPr>
        <w:t xml:space="preserve"> </w:t>
      </w:r>
      <w:r>
        <w:rPr>
          <w:rFonts w:ascii="MS PGothic" w:cs="MS PGothic" w:eastAsia="MS PGothic" w:hAnsi="MS PGothic"/>
          <w:sz w:val="16"/>
          <w:szCs w:val="16"/>
          <w:color w:val="auto"/>
        </w:rPr>
        <w:t>☐</w:t>
      </w:r>
    </w:p>
    <w:p>
      <w:pPr>
        <w:spacing w:after="0" w:line="7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23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40" w:type="dxa"/>
            <w:vAlign w:val="bottom"/>
          </w:tcPr>
          <w:p>
            <w:pPr>
              <w:ind w:left="96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4580" w:type="dxa"/>
            <w:vAlign w:val="bottom"/>
          </w:tcPr>
          <w:p>
            <w:pPr>
              <w:ind w:left="1940"/>
              <w:spacing w:after="0"/>
              <w:rPr>
                <w:sz w:val="20"/>
                <w:szCs w:val="20"/>
                <w:color w:val="auto"/>
              </w:rPr>
            </w:pPr>
            <w:r>
              <w:rPr>
                <w:rFonts w:ascii="Arial" w:cs="Arial" w:eastAsia="Arial" w:hAnsi="Arial"/>
                <w:sz w:val="15"/>
                <w:szCs w:val="15"/>
                <w:color w:val="auto"/>
              </w:rPr>
              <w:t>Accelerated filer</w:t>
            </w:r>
          </w:p>
        </w:tc>
        <w:tc>
          <w:tcPr>
            <w:tcW w:w="1140" w:type="dxa"/>
            <w:vAlign w:val="bottom"/>
          </w:tcPr>
          <w:p>
            <w:pPr>
              <w:ind w:left="9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14"/>
        </w:trPr>
        <w:tc>
          <w:tcPr>
            <w:tcW w:w="2300" w:type="dxa"/>
            <w:vAlign w:val="bottom"/>
          </w:tcPr>
          <w:p>
            <w:pPr>
              <w:spacing w:after="0"/>
              <w:rPr>
                <w:sz w:val="20"/>
                <w:szCs w:val="20"/>
                <w:color w:val="auto"/>
              </w:rPr>
            </w:pPr>
            <w:r>
              <w:rPr>
                <w:rFonts w:ascii="Arial" w:cs="Arial" w:eastAsia="Arial" w:hAnsi="Arial"/>
                <w:sz w:val="15"/>
                <w:szCs w:val="15"/>
                <w:color w:val="auto"/>
              </w:rPr>
              <w:t>Non-accelerated filer</w:t>
            </w:r>
          </w:p>
        </w:tc>
        <w:tc>
          <w:tcPr>
            <w:tcW w:w="3040" w:type="dxa"/>
            <w:vAlign w:val="bottom"/>
          </w:tcPr>
          <w:p>
            <w:pPr>
              <w:ind w:left="96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4580" w:type="dxa"/>
            <w:vAlign w:val="bottom"/>
          </w:tcPr>
          <w:p>
            <w:pPr>
              <w:ind w:left="1940"/>
              <w:spacing w:after="0"/>
              <w:rPr>
                <w:sz w:val="20"/>
                <w:szCs w:val="20"/>
                <w:color w:val="auto"/>
              </w:rPr>
            </w:pPr>
            <w:r>
              <w:rPr>
                <w:rFonts w:ascii="Arial" w:cs="Arial" w:eastAsia="Arial" w:hAnsi="Arial"/>
                <w:sz w:val="15"/>
                <w:szCs w:val="15"/>
                <w:color w:val="auto"/>
              </w:rPr>
              <w:t>Smaller reporting company</w:t>
            </w:r>
          </w:p>
        </w:tc>
        <w:tc>
          <w:tcPr>
            <w:tcW w:w="1140" w:type="dxa"/>
            <w:vAlign w:val="bottom"/>
          </w:tcPr>
          <w:p>
            <w:pPr>
              <w:ind w:left="9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64"/>
        </w:trPr>
        <w:tc>
          <w:tcPr>
            <w:tcW w:w="23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580" w:type="dxa"/>
            <w:vAlign w:val="bottom"/>
          </w:tcPr>
          <w:p>
            <w:pPr>
              <w:ind w:left="1940"/>
              <w:spacing w:after="0"/>
              <w:rPr>
                <w:sz w:val="20"/>
                <w:szCs w:val="20"/>
                <w:color w:val="auto"/>
              </w:rPr>
            </w:pPr>
            <w:r>
              <w:rPr>
                <w:rFonts w:ascii="Arial" w:cs="Arial" w:eastAsia="Arial" w:hAnsi="Arial"/>
                <w:sz w:val="15"/>
                <w:szCs w:val="15"/>
                <w:color w:val="auto"/>
              </w:rPr>
              <w:t>Emerging growth company</w:t>
            </w:r>
          </w:p>
        </w:tc>
        <w:tc>
          <w:tcPr>
            <w:tcW w:w="1140" w:type="dxa"/>
            <w:vAlign w:val="bottom"/>
          </w:tcPr>
          <w:p>
            <w:pPr>
              <w:ind w:left="9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63" w:lineRule="exact"/>
        <w:rPr>
          <w:sz w:val="24"/>
          <w:szCs w:val="24"/>
          <w:color w:val="auto"/>
        </w:rPr>
      </w:pPr>
    </w:p>
    <w:p>
      <w:pPr>
        <w:ind w:right="20"/>
        <w:spacing w:after="0" w:line="20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0"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w:t>
      </w:r>
      <w:r>
        <w:rPr>
          <w:rFonts w:ascii="Arial" w:cs="Arial" w:eastAsia="Arial" w:hAnsi="Arial"/>
          <w:sz w:val="16"/>
          <w:szCs w:val="16"/>
          <w:color w:val="auto"/>
        </w:rPr>
        <w:t>No</w:t>
      </w:r>
      <w:r>
        <w:rPr>
          <w:rFonts w:ascii="Arial" w:cs="Arial" w:eastAsia="Arial" w:hAnsi="Arial"/>
          <w:sz w:val="15"/>
          <w:szCs w:val="15"/>
          <w:color w:val="auto"/>
        </w:rPr>
        <w:t xml:space="preserve">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As of July 30, 2021, 23,145,318 shares of the registrant’s Class A common stock and 1,965,170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522605</wp:posOffset>
            </wp:positionV>
            <wp:extent cx="716661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46990</wp:posOffset>
            </wp:positionV>
            <wp:extent cx="7117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71120</wp:posOffset>
            </wp:positionV>
            <wp:extent cx="7117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BANDWIDTH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gridSpan w:val="5"/>
          </w:tcPr>
          <w:p>
            <w:pPr>
              <w:ind w:left="6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20" w:type="dxa"/>
            <w:vAlign w:val="bottom"/>
            <w:gridSpan w:val="10"/>
          </w:tcPr>
          <w:p>
            <w:pPr>
              <w:spacing w:after="0" w:line="170" w:lineRule="exact"/>
              <w:rPr>
                <w:rFonts w:ascii="Arial" w:cs="Arial" w:eastAsia="Arial" w:hAnsi="Arial"/>
                <w:sz w:val="17"/>
                <w:szCs w:val="17"/>
                <w:color w:val="0000FF"/>
                <w:w w:val="89"/>
              </w:rPr>
            </w:pPr>
            <w:hyperlink w:anchor="page2">
              <w:r>
                <w:rPr>
                  <w:rFonts w:ascii="Arial" w:cs="Arial" w:eastAsia="Arial" w:hAnsi="Arial"/>
                  <w:sz w:val="17"/>
                  <w:szCs w:val="17"/>
                  <w:color w:val="0000FF"/>
                  <w:w w:val="89"/>
                </w:rPr>
                <w:t>Special Note Regarding Forward-Looking Statements</w:t>
              </w:r>
            </w:hyperlink>
          </w:p>
        </w:tc>
        <w:tc>
          <w:tcPr>
            <w:tcW w:w="5960" w:type="dxa"/>
            <w:vAlign w:val="bottom"/>
            <w:gridSpan w:val="12"/>
          </w:tcPr>
          <w:p>
            <w:pPr>
              <w:spacing w:after="0"/>
              <w:rPr>
                <w:sz w:val="14"/>
                <w:szCs w:val="14"/>
                <w:color w:val="auto"/>
              </w:rPr>
            </w:pPr>
          </w:p>
        </w:tc>
        <w:tc>
          <w:tcPr>
            <w:tcW w:w="900" w:type="dxa"/>
            <w:vAlign w:val="bottom"/>
            <w:gridSpan w:val="4"/>
          </w:tcPr>
          <w:p>
            <w:pPr>
              <w:jc w:val="center"/>
              <w:ind w:left="656"/>
              <w:spacing w:after="0" w:line="170" w:lineRule="exact"/>
              <w:rPr>
                <w:rFonts w:ascii="Arial" w:cs="Arial" w:eastAsia="Arial" w:hAnsi="Arial"/>
                <w:sz w:val="17"/>
                <w:szCs w:val="17"/>
                <w:color w:val="0000FF"/>
                <w:w w:val="84"/>
              </w:rPr>
            </w:pPr>
            <w:hyperlink w:anchor="page2">
              <w:r>
                <w:rPr>
                  <w:rFonts w:ascii="Arial" w:cs="Arial" w:eastAsia="Arial" w:hAnsi="Arial"/>
                  <w:sz w:val="17"/>
                  <w:szCs w:val="17"/>
                  <w:color w:val="0000FF"/>
                  <w:w w:val="84"/>
                </w:rPr>
                <w:t>3</w:t>
              </w:r>
            </w:hyperlink>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6"/>
            <w:vMerge w:val="restart"/>
          </w:tcPr>
          <w:p>
            <w:pPr>
              <w:jc w:val="cente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PART I - FINANCIAL INFORMATION</w:t>
              </w:r>
            </w:hyperlink>
          </w:p>
        </w:tc>
        <w:tc>
          <w:tcPr>
            <w:tcW w:w="2780" w:type="dxa"/>
            <w:vAlign w:val="bottom"/>
            <w:gridSpan w:val="5"/>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6"/>
            <w:vMerge w:val="continue"/>
          </w:tcPr>
          <w:p>
            <w:pPr>
              <w:spacing w:after="0"/>
              <w:rPr>
                <w:sz w:val="24"/>
                <w:szCs w:val="24"/>
                <w:color w:val="auto"/>
              </w:rPr>
            </w:pPr>
          </w:p>
        </w:tc>
        <w:tc>
          <w:tcPr>
            <w:tcW w:w="2780" w:type="dxa"/>
            <w:vAlign w:val="bottom"/>
            <w:gridSpan w:val="5"/>
            <w:vMerge w:val="continue"/>
          </w:tcPr>
          <w:p>
            <w:pPr>
              <w:spacing w:after="0"/>
              <w:rPr>
                <w:sz w:val="24"/>
                <w:szCs w:val="24"/>
                <w:color w:val="auto"/>
              </w:rPr>
            </w:pPr>
          </w:p>
        </w:tc>
        <w:tc>
          <w:tcPr>
            <w:tcW w:w="900" w:type="dxa"/>
            <w:vAlign w:val="bottom"/>
            <w:gridSpan w:val="4"/>
          </w:tcPr>
          <w:p>
            <w:pPr>
              <w:jc w:val="center"/>
              <w:ind w:left="656"/>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5</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8"/>
              </w:rPr>
            </w:pPr>
            <w:hyperlink w:anchor="page5">
              <w:r>
                <w:rPr>
                  <w:rFonts w:ascii="Arial" w:cs="Arial" w:eastAsia="Arial" w:hAnsi="Arial"/>
                  <w:sz w:val="17"/>
                  <w:szCs w:val="17"/>
                  <w:color w:val="0000FF"/>
                  <w:w w:val="88"/>
                </w:rPr>
                <w:t>Item 1.</w:t>
              </w:r>
            </w:hyperlink>
          </w:p>
        </w:tc>
        <w:tc>
          <w:tcPr>
            <w:tcW w:w="680" w:type="dxa"/>
            <w:vAlign w:val="bottom"/>
            <w:gridSpan w:val="2"/>
          </w:tcPr>
          <w:p>
            <w:pPr>
              <w:spacing w:after="0"/>
              <w:rPr>
                <w:sz w:val="16"/>
                <w:szCs w:val="16"/>
                <w:color w:val="auto"/>
              </w:rPr>
            </w:pPr>
          </w:p>
        </w:tc>
        <w:tc>
          <w:tcPr>
            <w:tcW w:w="2740" w:type="dxa"/>
            <w:vAlign w:val="bottom"/>
            <w:gridSpan w:val="8"/>
          </w:tcPr>
          <w:p>
            <w:pPr>
              <w:spacing w:after="0" w:line="194" w:lineRule="exact"/>
              <w:rPr>
                <w:rFonts w:ascii="Arial" w:cs="Arial" w:eastAsia="Arial" w:hAnsi="Arial"/>
                <w:sz w:val="17"/>
                <w:szCs w:val="17"/>
                <w:color w:val="0000FF"/>
              </w:rPr>
            </w:pPr>
            <w:hyperlink w:anchor="page5">
              <w:r>
                <w:rPr>
                  <w:rFonts w:ascii="Arial" w:cs="Arial" w:eastAsia="Arial" w:hAnsi="Arial"/>
                  <w:sz w:val="17"/>
                  <w:szCs w:val="17"/>
                  <w:color w:val="0000FF"/>
                </w:rPr>
                <w:t>Financial Statements</w:t>
              </w:r>
            </w:hyperlink>
          </w:p>
        </w:tc>
        <w:tc>
          <w:tcPr>
            <w:tcW w:w="2900" w:type="dxa"/>
            <w:vAlign w:val="bottom"/>
            <w:gridSpan w:val="6"/>
          </w:tcPr>
          <w:p>
            <w:pPr>
              <w:spacing w:after="0"/>
              <w:rPr>
                <w:sz w:val="16"/>
                <w:szCs w:val="16"/>
                <w:color w:val="auto"/>
              </w:rPr>
            </w:pPr>
          </w:p>
        </w:tc>
        <w:tc>
          <w:tcPr>
            <w:tcW w:w="2780" w:type="dxa"/>
            <w:vAlign w:val="bottom"/>
            <w:gridSpan w:val="5"/>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5</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80" w:type="dxa"/>
            <w:vAlign w:val="bottom"/>
            <w:gridSpan w:val="16"/>
          </w:tcPr>
          <w:p>
            <w:pPr>
              <w:spacing w:after="0" w:line="194" w:lineRule="exact"/>
              <w:rPr>
                <w:rFonts w:ascii="Arial" w:cs="Arial" w:eastAsia="Arial" w:hAnsi="Arial"/>
                <w:sz w:val="17"/>
                <w:szCs w:val="17"/>
                <w:color w:val="0000FF"/>
                <w:w w:val="87"/>
              </w:rPr>
            </w:pPr>
            <w:hyperlink w:anchor="page5">
              <w:r>
                <w:rPr>
                  <w:rFonts w:ascii="Arial" w:cs="Arial" w:eastAsia="Arial" w:hAnsi="Arial"/>
                  <w:sz w:val="17"/>
                  <w:szCs w:val="17"/>
                  <w:color w:val="0000FF"/>
                  <w:w w:val="87"/>
                </w:rPr>
                <w:t>Unaudited Condensed Consolidated Balance Sheets as of December 31, 2020 and June 30, 2021</w:t>
              </w:r>
            </w:hyperlink>
          </w:p>
        </w:tc>
        <w:tc>
          <w:tcPr>
            <w:tcW w:w="1940" w:type="dxa"/>
            <w:vAlign w:val="bottom"/>
            <w:gridSpan w:val="3"/>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5</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gridSpan w:val="17"/>
          </w:tcPr>
          <w:p>
            <w:pPr>
              <w:spacing w:after="0" w:line="194" w:lineRule="exact"/>
              <w:rPr>
                <w:rFonts w:ascii="Arial" w:cs="Arial" w:eastAsia="Arial" w:hAnsi="Arial"/>
                <w:sz w:val="17"/>
                <w:szCs w:val="17"/>
                <w:color w:val="0000FF"/>
                <w:w w:val="88"/>
              </w:rPr>
            </w:pPr>
            <w:hyperlink w:anchor="page5">
              <w:r>
                <w:rPr>
                  <w:rFonts w:ascii="Arial" w:cs="Arial" w:eastAsia="Arial" w:hAnsi="Arial"/>
                  <w:sz w:val="17"/>
                  <w:szCs w:val="17"/>
                  <w:color w:val="0000FF"/>
                  <w:w w:val="88"/>
                </w:rPr>
                <w:t>Unaudited Condensed Consolidated Statements of Operations for the Three and Six Months Ended June 30, 2020 and 2021</w:t>
              </w:r>
            </w:hyperlink>
          </w:p>
        </w:tc>
        <w:tc>
          <w:tcPr>
            <w:tcW w:w="120" w:type="dxa"/>
            <w:vAlign w:val="bottom"/>
            <w:gridSpan w:val="2"/>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6</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20" w:type="dxa"/>
            <w:vAlign w:val="bottom"/>
            <w:gridSpan w:val="19"/>
          </w:tcPr>
          <w:p>
            <w:pPr>
              <w:spacing w:after="0" w:line="175" w:lineRule="exact"/>
              <w:rPr>
                <w:rFonts w:ascii="Arial" w:cs="Arial" w:eastAsia="Arial" w:hAnsi="Arial"/>
                <w:sz w:val="17"/>
                <w:szCs w:val="17"/>
                <w:color w:val="0000FF"/>
                <w:w w:val="89"/>
              </w:rPr>
            </w:pPr>
            <w:hyperlink w:anchor="page6">
              <w:r>
                <w:rPr>
                  <w:rFonts w:ascii="Arial" w:cs="Arial" w:eastAsia="Arial" w:hAnsi="Arial"/>
                  <w:sz w:val="17"/>
                  <w:szCs w:val="17"/>
                  <w:color w:val="0000FF"/>
                  <w:w w:val="89"/>
                </w:rPr>
                <w:t>Unaudited Condensed Consolidated Statements of Comprehensive Loss for the Three and Six Months Ended June 30, 2020</w:t>
              </w:r>
            </w:hyperlink>
          </w:p>
        </w:tc>
        <w:tc>
          <w:tcPr>
            <w:tcW w:w="900" w:type="dxa"/>
            <w:vAlign w:val="bottom"/>
            <w:gridSpan w:val="4"/>
            <w:vMerge w:val="restart"/>
          </w:tcPr>
          <w:p>
            <w:pPr>
              <w:jc w:val="center"/>
              <w:ind w:left="656"/>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7</w:t>
              </w:r>
            </w:hyperlink>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Borders>
              <w:top w:val="single" w:sz="8" w:color="0000FF"/>
            </w:tcBorders>
          </w:tcPr>
          <w:p>
            <w:pPr>
              <w:spacing w:after="0" w:line="144" w:lineRule="exact"/>
              <w:rPr>
                <w:rFonts w:ascii="Arial" w:cs="Arial" w:eastAsia="Arial" w:hAnsi="Arial"/>
                <w:sz w:val="16"/>
                <w:szCs w:val="16"/>
                <w:color w:val="0000FF"/>
                <w:w w:val="77"/>
              </w:rPr>
            </w:pPr>
            <w:hyperlink w:anchor="page6">
              <w:r>
                <w:rPr>
                  <w:rFonts w:ascii="Arial" w:cs="Arial" w:eastAsia="Arial" w:hAnsi="Arial"/>
                  <w:sz w:val="16"/>
                  <w:szCs w:val="16"/>
                  <w:color w:val="0000FF"/>
                  <w:w w:val="77"/>
                </w:rPr>
                <w:t>and 2021</w:t>
              </w:r>
            </w:hyperlink>
          </w:p>
        </w:tc>
        <w:tc>
          <w:tcPr>
            <w:tcW w:w="7760" w:type="dxa"/>
            <w:vAlign w:val="bottom"/>
            <w:tcBorders>
              <w:top w:val="single" w:sz="8" w:color="0000FF"/>
            </w:tcBorders>
            <w:gridSpan w:val="17"/>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20" w:type="dxa"/>
            <w:vAlign w:val="bottom"/>
            <w:gridSpan w:val="19"/>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Unaudited Condensed Consolidated Statements of Changes in Stockholders</w:t>
              </w:r>
              <w:r>
                <w:rPr>
                  <w:rFonts w:ascii="Arial" w:cs="Arial" w:eastAsia="Arial" w:hAnsi="Arial"/>
                  <w:sz w:val="18"/>
                  <w:szCs w:val="18"/>
                  <w:color w:val="0000FF"/>
                </w:rPr>
                <w:t>’</w:t>
              </w:r>
              <w:r>
                <w:rPr>
                  <w:rFonts w:ascii="Arial" w:cs="Arial" w:eastAsia="Arial" w:hAnsi="Arial"/>
                  <w:sz w:val="17"/>
                  <w:szCs w:val="17"/>
                  <w:color w:val="0000FF"/>
                </w:rPr>
                <w:t xml:space="preserve"> Equity</w:t>
              </w:r>
            </w:hyperlink>
          </w:p>
        </w:tc>
        <w:tc>
          <w:tcPr>
            <w:tcW w:w="900" w:type="dxa"/>
            <w:vAlign w:val="bottom"/>
            <w:gridSpan w:val="4"/>
          </w:tcPr>
          <w:p>
            <w:pPr>
              <w:jc w:val="center"/>
              <w:ind w:left="656"/>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8</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gridSpan w:val="17"/>
          </w:tcPr>
          <w:p>
            <w:pPr>
              <w:spacing w:after="0" w:line="194" w:lineRule="exact"/>
              <w:rPr>
                <w:rFonts w:ascii="Arial" w:cs="Arial" w:eastAsia="Arial" w:hAnsi="Arial"/>
                <w:sz w:val="17"/>
                <w:szCs w:val="17"/>
                <w:color w:val="0000FF"/>
                <w:w w:val="88"/>
              </w:rPr>
            </w:pPr>
            <w:hyperlink w:anchor="page9">
              <w:r>
                <w:rPr>
                  <w:rFonts w:ascii="Arial" w:cs="Arial" w:eastAsia="Arial" w:hAnsi="Arial"/>
                  <w:sz w:val="17"/>
                  <w:szCs w:val="17"/>
                  <w:color w:val="0000FF"/>
                  <w:w w:val="88"/>
                </w:rPr>
                <w:t xml:space="preserve">Unaudited Condensed Consolidated Statements of Cash Flows for the Three and Six months ended June </w:t>
              </w:r>
            </w:hyperlink>
            <w:r>
              <w:rPr>
                <w:rFonts w:ascii="Arial" w:cs="Arial" w:eastAsia="Arial" w:hAnsi="Arial"/>
                <w:sz w:val="17"/>
                <w:szCs w:val="17"/>
                <w:color w:val="0000FF"/>
                <w:w w:val="88"/>
              </w:rPr>
              <w:t xml:space="preserve">30, </w:t>
            </w:r>
            <w:hyperlink w:anchor="page9">
              <w:r>
                <w:rPr>
                  <w:rFonts w:ascii="Arial" w:cs="Arial" w:eastAsia="Arial" w:hAnsi="Arial"/>
                  <w:sz w:val="17"/>
                  <w:szCs w:val="17"/>
                  <w:color w:val="0000FF"/>
                  <w:w w:val="88"/>
                </w:rPr>
                <w:t>2020 and 2021</w:t>
              </w:r>
            </w:hyperlink>
          </w:p>
        </w:tc>
        <w:tc>
          <w:tcPr>
            <w:tcW w:w="120" w:type="dxa"/>
            <w:vAlign w:val="bottom"/>
            <w:gridSpan w:val="2"/>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9">
              <w:r>
                <w:rPr>
                  <w:rFonts w:ascii="Arial" w:cs="Arial" w:eastAsia="Arial" w:hAnsi="Arial"/>
                  <w:sz w:val="17"/>
                  <w:szCs w:val="17"/>
                  <w:color w:val="0000FF"/>
                  <w:w w:val="84"/>
                </w:rPr>
                <w:t>10</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300" w:type="dxa"/>
            <w:vAlign w:val="bottom"/>
            <w:gridSpan w:val="17"/>
          </w:tcPr>
          <w:p>
            <w:pPr>
              <w:spacing w:after="0" w:line="194" w:lineRule="exact"/>
              <w:rPr>
                <w:rFonts w:ascii="Arial" w:cs="Arial" w:eastAsia="Arial" w:hAnsi="Arial"/>
                <w:sz w:val="17"/>
                <w:szCs w:val="17"/>
                <w:color w:val="0000FF"/>
              </w:rPr>
            </w:pPr>
            <w:hyperlink w:anchor="page11">
              <w:r>
                <w:rPr>
                  <w:rFonts w:ascii="Arial" w:cs="Arial" w:eastAsia="Arial" w:hAnsi="Arial"/>
                  <w:sz w:val="17"/>
                  <w:szCs w:val="17"/>
                  <w:color w:val="0000FF"/>
                </w:rPr>
                <w:t>Notes to Unaudited Condensed Consolidated Financial Statements</w:t>
              </w:r>
            </w:hyperlink>
          </w:p>
        </w:tc>
        <w:tc>
          <w:tcPr>
            <w:tcW w:w="120" w:type="dxa"/>
            <w:vAlign w:val="bottom"/>
            <w:gridSpan w:val="2"/>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11">
              <w:r>
                <w:rPr>
                  <w:rFonts w:ascii="Arial" w:cs="Arial" w:eastAsia="Arial" w:hAnsi="Arial"/>
                  <w:sz w:val="17"/>
                  <w:szCs w:val="17"/>
                  <w:color w:val="0000FF"/>
                  <w:w w:val="84"/>
                </w:rPr>
                <w:t>12</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8"/>
              </w:rPr>
            </w:pPr>
            <w:hyperlink w:anchor="page35">
              <w:r>
                <w:rPr>
                  <w:rFonts w:ascii="Arial" w:cs="Arial" w:eastAsia="Arial" w:hAnsi="Arial"/>
                  <w:sz w:val="17"/>
                  <w:szCs w:val="17"/>
                  <w:color w:val="0000FF"/>
                  <w:w w:val="88"/>
                </w:rPr>
                <w:t>Item 2.</w:t>
              </w:r>
            </w:hyperlink>
          </w:p>
        </w:tc>
        <w:tc>
          <w:tcPr>
            <w:tcW w:w="680" w:type="dxa"/>
            <w:vAlign w:val="bottom"/>
            <w:gridSpan w:val="2"/>
          </w:tcPr>
          <w:p>
            <w:pPr>
              <w:spacing w:after="0"/>
              <w:rPr>
                <w:sz w:val="17"/>
                <w:szCs w:val="17"/>
                <w:color w:val="auto"/>
              </w:rPr>
            </w:pPr>
          </w:p>
        </w:tc>
        <w:tc>
          <w:tcPr>
            <w:tcW w:w="8420" w:type="dxa"/>
            <w:vAlign w:val="bottom"/>
            <w:gridSpan w:val="19"/>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Management</w:t>
              </w:r>
              <w:r>
                <w:rPr>
                  <w:rFonts w:ascii="Arial" w:cs="Arial" w:eastAsia="Arial" w:hAnsi="Arial"/>
                  <w:sz w:val="18"/>
                  <w:szCs w:val="18"/>
                  <w:color w:val="0000FF"/>
                </w:rPr>
                <w:t>’</w:t>
              </w:r>
              <w:r>
                <w:rPr>
                  <w:rFonts w:ascii="Arial" w:cs="Arial" w:eastAsia="Arial" w:hAnsi="Arial"/>
                  <w:sz w:val="17"/>
                  <w:szCs w:val="17"/>
                  <w:color w:val="0000FF"/>
                </w:rPr>
                <w:t>s Discussion and Analysis of Financial Condition and Results of Operations</w:t>
              </w:r>
            </w:hyperlink>
          </w:p>
        </w:tc>
        <w:tc>
          <w:tcPr>
            <w:tcW w:w="900" w:type="dxa"/>
            <w:vAlign w:val="bottom"/>
            <w:gridSpan w:val="4"/>
          </w:tcPr>
          <w:p>
            <w:pPr>
              <w:jc w:val="center"/>
              <w:ind w:left="656"/>
              <w:spacing w:after="0"/>
              <w:rPr>
                <w:rFonts w:ascii="Arial" w:cs="Arial" w:eastAsia="Arial" w:hAnsi="Arial"/>
                <w:sz w:val="17"/>
                <w:szCs w:val="17"/>
                <w:color w:val="0000FF"/>
                <w:w w:val="84"/>
              </w:rPr>
            </w:pPr>
            <w:hyperlink w:anchor="page35">
              <w:r>
                <w:rPr>
                  <w:rFonts w:ascii="Arial" w:cs="Arial" w:eastAsia="Arial" w:hAnsi="Arial"/>
                  <w:sz w:val="17"/>
                  <w:szCs w:val="17"/>
                  <w:color w:val="0000FF"/>
                  <w:w w:val="84"/>
                </w:rPr>
                <w:t>36</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8"/>
              </w:rPr>
            </w:pPr>
            <w:hyperlink w:anchor="page55">
              <w:r>
                <w:rPr>
                  <w:rFonts w:ascii="Arial" w:cs="Arial" w:eastAsia="Arial" w:hAnsi="Arial"/>
                  <w:sz w:val="17"/>
                  <w:szCs w:val="17"/>
                  <w:color w:val="0000FF"/>
                  <w:w w:val="88"/>
                </w:rPr>
                <w:t>Item 3.</w:t>
              </w:r>
            </w:hyperlink>
          </w:p>
        </w:tc>
        <w:tc>
          <w:tcPr>
            <w:tcW w:w="680" w:type="dxa"/>
            <w:vAlign w:val="bottom"/>
            <w:gridSpan w:val="2"/>
          </w:tcPr>
          <w:p>
            <w:pPr>
              <w:spacing w:after="0"/>
              <w:rPr>
                <w:sz w:val="16"/>
                <w:szCs w:val="16"/>
                <w:color w:val="auto"/>
              </w:rPr>
            </w:pPr>
          </w:p>
        </w:tc>
        <w:tc>
          <w:tcPr>
            <w:tcW w:w="6040" w:type="dxa"/>
            <w:vAlign w:val="bottom"/>
            <w:gridSpan w:val="15"/>
          </w:tcPr>
          <w:p>
            <w:pPr>
              <w:spacing w:after="0" w:line="194" w:lineRule="exact"/>
              <w:rPr>
                <w:rFonts w:ascii="Arial" w:cs="Arial" w:eastAsia="Arial" w:hAnsi="Arial"/>
                <w:sz w:val="17"/>
                <w:szCs w:val="17"/>
                <w:color w:val="0000FF"/>
              </w:rPr>
            </w:pPr>
            <w:hyperlink w:anchor="page55">
              <w:r>
                <w:rPr>
                  <w:rFonts w:ascii="Arial" w:cs="Arial" w:eastAsia="Arial" w:hAnsi="Arial"/>
                  <w:sz w:val="17"/>
                  <w:szCs w:val="17"/>
                  <w:color w:val="0000FF"/>
                </w:rPr>
                <w:t>Quantitative and Qualitative Disclosure About Market Risk</w:t>
              </w:r>
            </w:hyperlink>
          </w:p>
        </w:tc>
        <w:tc>
          <w:tcPr>
            <w:tcW w:w="2380" w:type="dxa"/>
            <w:vAlign w:val="bottom"/>
            <w:gridSpan w:val="4"/>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55">
              <w:r>
                <w:rPr>
                  <w:rFonts w:ascii="Arial" w:cs="Arial" w:eastAsia="Arial" w:hAnsi="Arial"/>
                  <w:sz w:val="17"/>
                  <w:szCs w:val="17"/>
                  <w:color w:val="0000FF"/>
                  <w:w w:val="84"/>
                </w:rPr>
                <w:t>56</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8"/>
              </w:rPr>
            </w:pPr>
            <w:hyperlink w:anchor="page56">
              <w:r>
                <w:rPr>
                  <w:rFonts w:ascii="Arial" w:cs="Arial" w:eastAsia="Arial" w:hAnsi="Arial"/>
                  <w:sz w:val="17"/>
                  <w:szCs w:val="17"/>
                  <w:color w:val="0000FF"/>
                  <w:w w:val="88"/>
                </w:rPr>
                <w:t>Item 4.</w:t>
              </w:r>
            </w:hyperlink>
          </w:p>
        </w:tc>
        <w:tc>
          <w:tcPr>
            <w:tcW w:w="680" w:type="dxa"/>
            <w:vAlign w:val="bottom"/>
            <w:gridSpan w:val="2"/>
          </w:tcPr>
          <w:p>
            <w:pPr>
              <w:spacing w:after="0"/>
              <w:rPr>
                <w:sz w:val="16"/>
                <w:szCs w:val="16"/>
                <w:color w:val="auto"/>
              </w:rPr>
            </w:pPr>
          </w:p>
        </w:tc>
        <w:tc>
          <w:tcPr>
            <w:tcW w:w="4000" w:type="dxa"/>
            <w:vAlign w:val="bottom"/>
            <w:gridSpan w:val="10"/>
          </w:tcPr>
          <w:p>
            <w:pPr>
              <w:spacing w:after="0" w:line="194" w:lineRule="exact"/>
              <w:rPr>
                <w:rFonts w:ascii="Arial" w:cs="Arial" w:eastAsia="Arial" w:hAnsi="Arial"/>
                <w:sz w:val="17"/>
                <w:szCs w:val="17"/>
                <w:color w:val="0000FF"/>
              </w:rPr>
            </w:pPr>
            <w:hyperlink w:anchor="page56">
              <w:r>
                <w:rPr>
                  <w:rFonts w:ascii="Arial" w:cs="Arial" w:eastAsia="Arial" w:hAnsi="Arial"/>
                  <w:sz w:val="17"/>
                  <w:szCs w:val="17"/>
                  <w:color w:val="0000FF"/>
                </w:rPr>
                <w:t>Controls and Procedures</w:t>
              </w:r>
            </w:hyperlink>
          </w:p>
        </w:tc>
        <w:tc>
          <w:tcPr>
            <w:tcW w:w="4420" w:type="dxa"/>
            <w:vAlign w:val="bottom"/>
            <w:gridSpan w:val="9"/>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56">
              <w:r>
                <w:rPr>
                  <w:rFonts w:ascii="Arial" w:cs="Arial" w:eastAsia="Arial" w:hAnsi="Arial"/>
                  <w:sz w:val="17"/>
                  <w:szCs w:val="17"/>
                  <w:color w:val="0000FF"/>
                  <w:w w:val="84"/>
                </w:rPr>
                <w:t>57</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gridSpan w:val="11"/>
            <w:vMerge w:val="restart"/>
          </w:tcPr>
          <w:p>
            <w:pPr>
              <w:jc w:val="center"/>
              <w:ind w:right="2760"/>
              <w:spacing w:after="0"/>
              <w:rPr>
                <w:rFonts w:ascii="Arial" w:cs="Arial" w:eastAsia="Arial" w:hAnsi="Arial"/>
                <w:sz w:val="17"/>
                <w:szCs w:val="17"/>
                <w:b w:val="1"/>
                <w:bCs w:val="1"/>
                <w:color w:val="0000FF"/>
              </w:rPr>
            </w:pPr>
            <w:hyperlink w:anchor="page57">
              <w:r>
                <w:rPr>
                  <w:rFonts w:ascii="Arial" w:cs="Arial" w:eastAsia="Arial" w:hAnsi="Arial"/>
                  <w:sz w:val="17"/>
                  <w:szCs w:val="17"/>
                  <w:b w:val="1"/>
                  <w:bCs w:val="1"/>
                  <w:color w:val="0000FF"/>
                </w:rPr>
                <w:t>PART II - OTHER INFORMATION</w:t>
              </w:r>
            </w:hyperlink>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gridSpan w:val="11"/>
            <w:vMerge w:val="continue"/>
          </w:tcPr>
          <w:p>
            <w:pPr>
              <w:spacing w:after="0"/>
              <w:rPr>
                <w:sz w:val="24"/>
                <w:szCs w:val="24"/>
                <w:color w:val="auto"/>
              </w:rPr>
            </w:pPr>
          </w:p>
        </w:tc>
        <w:tc>
          <w:tcPr>
            <w:tcW w:w="900" w:type="dxa"/>
            <w:vAlign w:val="bottom"/>
            <w:gridSpan w:val="4"/>
          </w:tcPr>
          <w:p>
            <w:pPr>
              <w:jc w:val="center"/>
              <w:ind w:left="656"/>
              <w:spacing w:after="0"/>
              <w:rPr>
                <w:rFonts w:ascii="Arial" w:cs="Arial" w:eastAsia="Arial" w:hAnsi="Arial"/>
                <w:sz w:val="17"/>
                <w:szCs w:val="17"/>
                <w:color w:val="0000FF"/>
                <w:w w:val="84"/>
              </w:rPr>
            </w:pPr>
            <w:hyperlink w:anchor="page57">
              <w:r>
                <w:rPr>
                  <w:rFonts w:ascii="Arial" w:cs="Arial" w:eastAsia="Arial" w:hAnsi="Arial"/>
                  <w:sz w:val="17"/>
                  <w:szCs w:val="17"/>
                  <w:color w:val="0000FF"/>
                  <w:w w:val="84"/>
                </w:rPr>
                <w:t>58</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8"/>
              </w:rPr>
            </w:pPr>
            <w:hyperlink w:anchor="page58">
              <w:r>
                <w:rPr>
                  <w:rFonts w:ascii="Arial" w:cs="Arial" w:eastAsia="Arial" w:hAnsi="Arial"/>
                  <w:sz w:val="17"/>
                  <w:szCs w:val="17"/>
                  <w:color w:val="0000FF"/>
                  <w:w w:val="88"/>
                </w:rPr>
                <w:t>Item 1.</w:t>
              </w:r>
            </w:hyperlink>
          </w:p>
        </w:tc>
        <w:tc>
          <w:tcPr>
            <w:tcW w:w="680" w:type="dxa"/>
            <w:vAlign w:val="bottom"/>
            <w:gridSpan w:val="2"/>
          </w:tcPr>
          <w:p>
            <w:pPr>
              <w:spacing w:after="0"/>
              <w:rPr>
                <w:sz w:val="16"/>
                <w:szCs w:val="16"/>
                <w:color w:val="auto"/>
              </w:rPr>
            </w:pPr>
          </w:p>
        </w:tc>
        <w:tc>
          <w:tcPr>
            <w:tcW w:w="2880" w:type="dxa"/>
            <w:vAlign w:val="bottom"/>
            <w:gridSpan w:val="9"/>
          </w:tcPr>
          <w:p>
            <w:pPr>
              <w:spacing w:after="0" w:line="194" w:lineRule="exact"/>
              <w:rPr>
                <w:rFonts w:ascii="Arial" w:cs="Arial" w:eastAsia="Arial" w:hAnsi="Arial"/>
                <w:sz w:val="17"/>
                <w:szCs w:val="17"/>
                <w:color w:val="0000FF"/>
              </w:rPr>
            </w:pPr>
            <w:hyperlink w:anchor="page58">
              <w:r>
                <w:rPr>
                  <w:rFonts w:ascii="Arial" w:cs="Arial" w:eastAsia="Arial" w:hAnsi="Arial"/>
                  <w:sz w:val="17"/>
                  <w:szCs w:val="17"/>
                  <w:color w:val="0000FF"/>
                </w:rPr>
                <w:t>Legal Proceedings</w:t>
              </w:r>
            </w:hyperlink>
          </w:p>
        </w:tc>
        <w:tc>
          <w:tcPr>
            <w:tcW w:w="2640" w:type="dxa"/>
            <w:vAlign w:val="bottom"/>
            <w:gridSpan w:val="4"/>
          </w:tcPr>
          <w:p>
            <w:pPr>
              <w:spacing w:after="0"/>
              <w:rPr>
                <w:sz w:val="16"/>
                <w:szCs w:val="16"/>
                <w:color w:val="auto"/>
              </w:rPr>
            </w:pPr>
          </w:p>
        </w:tc>
        <w:tc>
          <w:tcPr>
            <w:tcW w:w="2900" w:type="dxa"/>
            <w:vAlign w:val="bottom"/>
            <w:gridSpan w:val="6"/>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58">
              <w:r>
                <w:rPr>
                  <w:rFonts w:ascii="Arial" w:cs="Arial" w:eastAsia="Arial" w:hAnsi="Arial"/>
                  <w:sz w:val="17"/>
                  <w:szCs w:val="17"/>
                  <w:color w:val="0000FF"/>
                  <w:w w:val="84"/>
                </w:rPr>
                <w:t>58</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w w:val="91"/>
              </w:rPr>
            </w:pPr>
            <w:hyperlink w:anchor="page58">
              <w:r>
                <w:rPr>
                  <w:rFonts w:ascii="Arial" w:cs="Arial" w:eastAsia="Arial" w:hAnsi="Arial"/>
                  <w:sz w:val="17"/>
                  <w:szCs w:val="17"/>
                  <w:color w:val="0000FF"/>
                  <w:w w:val="91"/>
                </w:rPr>
                <w:t>Item 1A.</w:t>
              </w:r>
            </w:hyperlink>
          </w:p>
        </w:tc>
        <w:tc>
          <w:tcPr>
            <w:tcW w:w="560" w:type="dxa"/>
            <w:vAlign w:val="bottom"/>
          </w:tcPr>
          <w:p>
            <w:pPr>
              <w:spacing w:after="0"/>
              <w:rPr>
                <w:sz w:val="16"/>
                <w:szCs w:val="16"/>
                <w:color w:val="auto"/>
              </w:rPr>
            </w:pPr>
          </w:p>
        </w:tc>
        <w:tc>
          <w:tcPr>
            <w:tcW w:w="8420" w:type="dxa"/>
            <w:vAlign w:val="bottom"/>
            <w:gridSpan w:val="19"/>
          </w:tcPr>
          <w:p>
            <w:pPr>
              <w:spacing w:after="0" w:line="194" w:lineRule="exact"/>
              <w:rPr>
                <w:rFonts w:ascii="Arial" w:cs="Arial" w:eastAsia="Arial" w:hAnsi="Arial"/>
                <w:sz w:val="17"/>
                <w:szCs w:val="17"/>
                <w:color w:val="0000FF"/>
              </w:rPr>
            </w:pPr>
            <w:hyperlink w:anchor="page58">
              <w:r>
                <w:rPr>
                  <w:rFonts w:ascii="Arial" w:cs="Arial" w:eastAsia="Arial" w:hAnsi="Arial"/>
                  <w:sz w:val="17"/>
                  <w:szCs w:val="17"/>
                  <w:color w:val="0000FF"/>
                </w:rPr>
                <w:t>Risk Factors</w:t>
              </w:r>
            </w:hyperlink>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58">
              <w:r>
                <w:rPr>
                  <w:rFonts w:ascii="Arial" w:cs="Arial" w:eastAsia="Arial" w:hAnsi="Arial"/>
                  <w:sz w:val="17"/>
                  <w:szCs w:val="17"/>
                  <w:color w:val="0000FF"/>
                  <w:w w:val="84"/>
                </w:rPr>
                <w:t>59</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8"/>
              </w:rPr>
            </w:pPr>
            <w:hyperlink w:anchor="page96">
              <w:r>
                <w:rPr>
                  <w:rFonts w:ascii="Arial" w:cs="Arial" w:eastAsia="Arial" w:hAnsi="Arial"/>
                  <w:sz w:val="17"/>
                  <w:szCs w:val="17"/>
                  <w:color w:val="0000FF"/>
                  <w:w w:val="88"/>
                </w:rPr>
                <w:t>Item 2.</w:t>
              </w:r>
            </w:hyperlink>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60" w:type="dxa"/>
            <w:vAlign w:val="bottom"/>
            <w:gridSpan w:val="11"/>
          </w:tcPr>
          <w:p>
            <w:pPr>
              <w:spacing w:after="0" w:line="194" w:lineRule="exact"/>
              <w:rPr>
                <w:rFonts w:ascii="Arial" w:cs="Arial" w:eastAsia="Arial" w:hAnsi="Arial"/>
                <w:sz w:val="17"/>
                <w:szCs w:val="17"/>
                <w:color w:val="0000FF"/>
                <w:w w:val="88"/>
              </w:rPr>
            </w:pPr>
            <w:hyperlink w:anchor="page96">
              <w:r>
                <w:rPr>
                  <w:rFonts w:ascii="Arial" w:cs="Arial" w:eastAsia="Arial" w:hAnsi="Arial"/>
                  <w:sz w:val="17"/>
                  <w:szCs w:val="17"/>
                  <w:color w:val="0000FF"/>
                  <w:w w:val="88"/>
                </w:rPr>
                <w:t>Unregistered Sales of Equity Securities and Use of Proceeds</w:t>
              </w:r>
            </w:hyperlink>
          </w:p>
        </w:tc>
        <w:tc>
          <w:tcPr>
            <w:tcW w:w="4360" w:type="dxa"/>
            <w:vAlign w:val="bottom"/>
            <w:gridSpan w:val="8"/>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96">
              <w:r>
                <w:rPr>
                  <w:rFonts w:ascii="Arial" w:cs="Arial" w:eastAsia="Arial" w:hAnsi="Arial"/>
                  <w:sz w:val="17"/>
                  <w:szCs w:val="17"/>
                  <w:color w:val="0000FF"/>
                  <w:w w:val="84"/>
                </w:rPr>
                <w:t>97</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360" w:type="dxa"/>
            <w:vAlign w:val="bottom"/>
            <w:gridSpan w:val="9"/>
            <w:shd w:val="clear" w:color="auto" w:fill="0000FF"/>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8"/>
              </w:rPr>
            </w:pPr>
            <w:hyperlink w:anchor="page97">
              <w:r>
                <w:rPr>
                  <w:rFonts w:ascii="Arial" w:cs="Arial" w:eastAsia="Arial" w:hAnsi="Arial"/>
                  <w:sz w:val="17"/>
                  <w:szCs w:val="17"/>
                  <w:color w:val="0000FF"/>
                  <w:w w:val="88"/>
                </w:rPr>
                <w:t>Item 6.</w:t>
              </w:r>
            </w:hyperlink>
          </w:p>
        </w:tc>
        <w:tc>
          <w:tcPr>
            <w:tcW w:w="680" w:type="dxa"/>
            <w:vAlign w:val="bottom"/>
            <w:gridSpan w:val="2"/>
          </w:tcPr>
          <w:p>
            <w:pPr>
              <w:spacing w:after="0"/>
              <w:rPr>
                <w:sz w:val="16"/>
                <w:szCs w:val="16"/>
                <w:color w:val="auto"/>
              </w:rPr>
            </w:pPr>
          </w:p>
        </w:tc>
        <w:tc>
          <w:tcPr>
            <w:tcW w:w="560" w:type="dxa"/>
            <w:vAlign w:val="bottom"/>
          </w:tcPr>
          <w:p>
            <w:pPr>
              <w:spacing w:after="0" w:line="194" w:lineRule="exact"/>
              <w:rPr>
                <w:rFonts w:ascii="Arial" w:cs="Arial" w:eastAsia="Arial" w:hAnsi="Arial"/>
                <w:sz w:val="17"/>
                <w:szCs w:val="17"/>
                <w:color w:val="0000FF"/>
                <w:w w:val="87"/>
              </w:rPr>
            </w:pPr>
            <w:hyperlink w:anchor="page97">
              <w:r>
                <w:rPr>
                  <w:rFonts w:ascii="Arial" w:cs="Arial" w:eastAsia="Arial" w:hAnsi="Arial"/>
                  <w:sz w:val="17"/>
                  <w:szCs w:val="17"/>
                  <w:color w:val="0000FF"/>
                  <w:w w:val="87"/>
                </w:rPr>
                <w:t>Exhibits</w:t>
              </w:r>
            </w:hyperlink>
          </w:p>
        </w:tc>
        <w:tc>
          <w:tcPr>
            <w:tcW w:w="3500" w:type="dxa"/>
            <w:vAlign w:val="bottom"/>
            <w:gridSpan w:val="10"/>
          </w:tcPr>
          <w:p>
            <w:pPr>
              <w:spacing w:after="0"/>
              <w:rPr>
                <w:sz w:val="16"/>
                <w:szCs w:val="16"/>
                <w:color w:val="auto"/>
              </w:rPr>
            </w:pPr>
          </w:p>
        </w:tc>
        <w:tc>
          <w:tcPr>
            <w:tcW w:w="4360" w:type="dxa"/>
            <w:vAlign w:val="bottom"/>
            <w:gridSpan w:val="8"/>
          </w:tcPr>
          <w:p>
            <w:pPr>
              <w:spacing w:after="0"/>
              <w:rPr>
                <w:sz w:val="16"/>
                <w:szCs w:val="16"/>
                <w:color w:val="auto"/>
              </w:rPr>
            </w:pPr>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97">
              <w:r>
                <w:rPr>
                  <w:rFonts w:ascii="Arial" w:cs="Arial" w:eastAsia="Arial" w:hAnsi="Arial"/>
                  <w:sz w:val="17"/>
                  <w:szCs w:val="17"/>
                  <w:color w:val="0000FF"/>
                  <w:w w:val="84"/>
                </w:rPr>
                <w:t>97</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20" w:type="dxa"/>
            <w:vAlign w:val="bottom"/>
            <w:gridSpan w:val="19"/>
          </w:tcPr>
          <w:p>
            <w:pPr>
              <w:spacing w:after="0" w:line="194" w:lineRule="exact"/>
              <w:rPr>
                <w:rFonts w:ascii="Arial" w:cs="Arial" w:eastAsia="Arial" w:hAnsi="Arial"/>
                <w:sz w:val="17"/>
                <w:szCs w:val="17"/>
                <w:color w:val="0000FF"/>
              </w:rPr>
            </w:pPr>
            <w:hyperlink w:anchor="page98">
              <w:r>
                <w:rPr>
                  <w:rFonts w:ascii="Arial" w:cs="Arial" w:eastAsia="Arial" w:hAnsi="Arial"/>
                  <w:sz w:val="17"/>
                  <w:szCs w:val="17"/>
                  <w:color w:val="0000FF"/>
                </w:rPr>
                <w:t>Signatures</w:t>
              </w:r>
            </w:hyperlink>
          </w:p>
        </w:tc>
        <w:tc>
          <w:tcPr>
            <w:tcW w:w="900" w:type="dxa"/>
            <w:vAlign w:val="bottom"/>
            <w:gridSpan w:val="4"/>
          </w:tcPr>
          <w:p>
            <w:pPr>
              <w:jc w:val="center"/>
              <w:ind w:left="656"/>
              <w:spacing w:after="0" w:line="194" w:lineRule="exact"/>
              <w:rPr>
                <w:rFonts w:ascii="Arial" w:cs="Arial" w:eastAsia="Arial" w:hAnsi="Arial"/>
                <w:sz w:val="17"/>
                <w:szCs w:val="17"/>
                <w:color w:val="0000FF"/>
                <w:w w:val="84"/>
              </w:rPr>
            </w:pPr>
            <w:hyperlink w:anchor="page98">
              <w:r>
                <w:rPr>
                  <w:rFonts w:ascii="Arial" w:cs="Arial" w:eastAsia="Arial" w:hAnsi="Arial"/>
                  <w:sz w:val="17"/>
                  <w:szCs w:val="17"/>
                  <w:color w:val="0000FF"/>
                  <w:w w:val="84"/>
                </w:rPr>
                <w:t>98</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6"/>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3"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08" w:lineRule="exact"/>
        <w:rPr>
          <w:sz w:val="20"/>
          <w:szCs w:val="20"/>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 including large enterprises;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approach to identifying, attracting and keeping new and existing customers, as well as our expectations regarding customer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turnover;</w:t>
      </w:r>
    </w:p>
    <w:p>
      <w:pPr>
        <w:spacing w:after="0" w:line="142" w:lineRule="exact"/>
        <w:rPr>
          <w:rFonts w:ascii="Arial" w:cs="Arial" w:eastAsia="Arial" w:hAnsi="Arial"/>
          <w:sz w:val="17"/>
          <w:szCs w:val="17"/>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network traffic growth and other trends related to the usage of our products and services;</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revenue, costs, expenses, gross margin, dollar based net retention rate, adjusted EBITDA, non-generally accepted accounting principles in the United States of America (“GAAP”) net income and capital expenditures;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the growth of our business and how that impacts our liquidity and capital resources requirements;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train, and retain qualified employees and key personnel;</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the expense and productivity of and competition for our sales force;</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headcount;</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benefit from our corporate culture;</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further invest in and grow our business, including international offerings, and our ability to effectively manage our growth and associated investments;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products and services and enhance existing products and services;</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benefit from any strategic acquisitions, including our acquisition of Voxbone (as defined herein), or future strategic acquisitions or investments;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international operations and expansion;</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against current and future competitors;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technology affecting our products, services and markets;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certain new accounting standards and guidance, as well as the time and cost of continued compliance with existing rules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standards;</w:t>
      </w:r>
    </w:p>
    <w:p>
      <w:pPr>
        <w:spacing w:after="0" w:line="142" w:lineRule="exact"/>
        <w:rPr>
          <w:rFonts w:ascii="Arial" w:cs="Arial" w:eastAsia="Arial" w:hAnsi="Arial"/>
          <w:sz w:val="16"/>
          <w:szCs w:val="16"/>
          <w:color w:val="auto"/>
        </w:rPr>
      </w:pPr>
    </w:p>
    <w:p>
      <w:pPr>
        <w:ind w:left="1200" w:hanging="594"/>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regarding the use of Non-GAAP financial measures;</w:t>
      </w:r>
    </w:p>
    <w:p>
      <w:pPr>
        <w:spacing w:after="0" w:line="158" w:lineRule="exact"/>
        <w:rPr>
          <w:rFonts w:ascii="Arial" w:cs="Arial" w:eastAsia="Arial" w:hAnsi="Arial"/>
          <w:sz w:val="18"/>
          <w:szCs w:val="18"/>
          <w:color w:val="auto"/>
        </w:rPr>
      </w:pPr>
    </w:p>
    <w:p>
      <w:pPr>
        <w:jc w:val="both"/>
        <w:ind w:firstLine="606"/>
        <w:spacing w:after="0" w:line="264" w:lineRule="auto"/>
        <w:tabs>
          <w:tab w:leader="none" w:pos="119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industry standards, laws and regulations applicable to our products, services and business, including the General Data Protection Regulation (“GDPR”), the California Consumer Privacy Act of 2018 and other privacy regulations that may be implemented in the future, and Secure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Telephone Identity Revisited (“STIR”) and Signature-based Handling of Asserted Information Using toKENs (“SHAKEN”) (together, “STIR/SHAKEN”) and other robocalling prevention and anti-spam standards and increased costs associated with such compliance;</w:t>
      </w:r>
    </w:p>
    <w:p>
      <w:pPr>
        <w:spacing w:after="0" w:line="97" w:lineRule="exact"/>
        <w:rPr>
          <w:sz w:val="20"/>
          <w:szCs w:val="20"/>
          <w:color w:val="auto"/>
        </w:rPr>
      </w:pPr>
    </w:p>
    <w:p>
      <w:pPr>
        <w:ind w:left="1200" w:hanging="59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violation of our policies or other misuse of our platform;</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fees that have been or may be instituted by network providers that increase our costs;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litigation and other pending or potential disputes;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service the interest on our Convertible Notes (as defined herein) and repay such Convertible Notes, to the extent required;</w:t>
      </w:r>
    </w:p>
    <w:p>
      <w:pPr>
        <w:spacing w:after="0" w:line="181" w:lineRule="exact"/>
        <w:rPr>
          <w:rFonts w:ascii="Arial" w:cs="Arial" w:eastAsia="Arial" w:hAnsi="Arial"/>
          <w:sz w:val="16"/>
          <w:szCs w:val="16"/>
          <w:color w:val="auto"/>
        </w:rPr>
      </w:pPr>
    </w:p>
    <w:p>
      <w:pPr>
        <w:ind w:left="1200" w:hanging="594"/>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related to our indebtedness; and</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the impact of public health epidemics, such as COVID-19 (as defined herein), or natural disasters on the global economy and our business, results of operations and financial condition.</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caution you that the foregoing list may not contain all the forward-looking statements made in this Quarterly Report on Form 10-Q.</w:t>
      </w:r>
    </w:p>
    <w:p>
      <w:pPr>
        <w:spacing w:after="0" w:line="170"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07"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07"/>
        </w:trPr>
        <w:tc>
          <w:tcPr>
            <w:tcW w:w="7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2021</w:t>
            </w:r>
          </w:p>
        </w:tc>
      </w:tr>
      <w:tr>
        <w:trPr>
          <w:trHeight w:val="194"/>
        </w:trPr>
        <w:tc>
          <w:tcPr>
            <w:tcW w:w="7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4"/>
        </w:trPr>
        <w:tc>
          <w:tcPr>
            <w:tcW w:w="72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5"/>
        </w:trPr>
        <w:tc>
          <w:tcPr>
            <w:tcW w:w="7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309,615</w:t>
            </w:r>
          </w:p>
        </w:tc>
      </w:tr>
      <w:tr>
        <w:trPr>
          <w:trHeight w:val="214"/>
        </w:trPr>
        <w:tc>
          <w:tcPr>
            <w:tcW w:w="7200" w:type="dxa"/>
            <w:vAlign w:val="bottom"/>
          </w:tcPr>
          <w:p>
            <w:pPr>
              <w:ind w:left="320"/>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9,274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9,406</w:t>
            </w:r>
          </w:p>
        </w:tc>
      </w:tr>
      <w:tr>
        <w:trPr>
          <w:trHeight w:val="215"/>
        </w:trPr>
        <w:tc>
          <w:tcPr>
            <w:tcW w:w="7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investments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200" w:type="dxa"/>
            <w:vAlign w:val="bottom"/>
          </w:tcPr>
          <w:p>
            <w:pPr>
              <w:ind w:left="320"/>
              <w:spacing w:after="0"/>
              <w:rPr>
                <w:sz w:val="20"/>
                <w:szCs w:val="20"/>
                <w:color w:val="auto"/>
              </w:rPr>
            </w:pPr>
            <w:r>
              <w:rPr>
                <w:rFonts w:ascii="Arial" w:cs="Arial" w:eastAsia="Arial" w:hAnsi="Arial"/>
                <w:sz w:val="17"/>
                <w:szCs w:val="17"/>
                <w:color w:val="auto"/>
              </w:rPr>
              <w:t>Accounts receivable, net of allowance for doubtful accounts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55,243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63,098</w:t>
            </w:r>
          </w:p>
        </w:tc>
      </w:tr>
      <w:tr>
        <w:trPr>
          <w:trHeight w:val="215"/>
        </w:trPr>
        <w:tc>
          <w:tcPr>
            <w:tcW w:w="7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costs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w:t>
            </w:r>
          </w:p>
        </w:tc>
      </w:tr>
      <w:tr>
        <w:trPr>
          <w:trHeight w:val="214"/>
        </w:trPr>
        <w:tc>
          <w:tcPr>
            <w:tcW w:w="72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23,360</w:t>
            </w:r>
          </w:p>
        </w:tc>
      </w:tr>
      <w:tr>
        <w:trPr>
          <w:trHeight w:val="207"/>
        </w:trPr>
        <w:tc>
          <w:tcPr>
            <w:tcW w:w="7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408,229</w:t>
            </w:r>
          </w:p>
        </w:tc>
      </w:tr>
      <w:tr>
        <w:trPr>
          <w:trHeight w:val="214"/>
        </w:trPr>
        <w:tc>
          <w:tcPr>
            <w:tcW w:w="72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51,645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66,650</w:t>
            </w:r>
          </w:p>
        </w:tc>
      </w:tr>
      <w:tr>
        <w:trPr>
          <w:trHeight w:val="215"/>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right-of-use asset, net</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16,894</w:t>
            </w:r>
          </w:p>
        </w:tc>
      </w:tr>
      <w:tr>
        <w:trPr>
          <w:trHeight w:val="214"/>
        </w:trPr>
        <w:tc>
          <w:tcPr>
            <w:tcW w:w="720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248,055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230,711</w:t>
            </w:r>
          </w:p>
        </w:tc>
      </w:tr>
      <w:tr>
        <w:trPr>
          <w:trHeight w:val="215"/>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costs, non-current</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4,022</w:t>
            </w:r>
          </w:p>
        </w:tc>
      </w:tr>
      <w:tr>
        <w:trPr>
          <w:trHeight w:val="214"/>
        </w:trPr>
        <w:tc>
          <w:tcPr>
            <w:tcW w:w="7200" w:type="dxa"/>
            <w:vAlign w:val="bottom"/>
          </w:tcPr>
          <w:p>
            <w:pPr>
              <w:ind w:left="20"/>
              <w:spacing w:after="0"/>
              <w:rPr>
                <w:sz w:val="20"/>
                <w:szCs w:val="20"/>
                <w:color w:val="auto"/>
              </w:rPr>
            </w:pPr>
            <w:r>
              <w:rPr>
                <w:rFonts w:ascii="Arial" w:cs="Arial" w:eastAsia="Arial" w:hAnsi="Arial"/>
                <w:sz w:val="17"/>
                <w:szCs w:val="17"/>
                <w:color w:val="auto"/>
              </w:rPr>
              <w:t>Other long-term assets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7,373</w:t>
            </w:r>
          </w:p>
        </w:tc>
      </w:tr>
      <w:tr>
        <w:trPr>
          <w:trHeight w:val="215"/>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372,239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360,551</w:t>
            </w:r>
          </w:p>
        </w:tc>
      </w:tr>
      <w:tr>
        <w:trPr>
          <w:trHeight w:val="207"/>
        </w:trPr>
        <w:tc>
          <w:tcPr>
            <w:tcW w:w="72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890,608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1,094,430</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0"/>
        </w:trPr>
        <w:tc>
          <w:tcPr>
            <w:tcW w:w="72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14"/>
        </w:trPr>
        <w:tc>
          <w:tcPr>
            <w:tcW w:w="72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5"/>
        </w:trPr>
        <w:tc>
          <w:tcPr>
            <w:tcW w:w="7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w:t>
            </w:r>
          </w:p>
        </w:tc>
      </w:tr>
      <w:tr>
        <w:trPr>
          <w:trHeight w:val="214"/>
        </w:trPr>
        <w:tc>
          <w:tcPr>
            <w:tcW w:w="720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63,065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66,553</w:t>
            </w:r>
          </w:p>
        </w:tc>
      </w:tr>
      <w:tr>
        <w:trPr>
          <w:trHeight w:val="215"/>
        </w:trPr>
        <w:tc>
          <w:tcPr>
            <w:tcW w:w="7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deferred revenue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6,591</w:t>
            </w:r>
          </w:p>
        </w:tc>
      </w:tr>
      <w:tr>
        <w:trPr>
          <w:trHeight w:val="214"/>
        </w:trPr>
        <w:tc>
          <w:tcPr>
            <w:tcW w:w="7200" w:type="dxa"/>
            <w:vAlign w:val="bottom"/>
          </w:tcPr>
          <w:p>
            <w:pPr>
              <w:ind w:left="320"/>
              <w:spacing w:after="0"/>
              <w:rPr>
                <w:sz w:val="20"/>
                <w:szCs w:val="20"/>
                <w:color w:val="auto"/>
              </w:rPr>
            </w:pPr>
            <w:r>
              <w:rPr>
                <w:rFonts w:ascii="Arial" w:cs="Arial" w:eastAsia="Arial" w:hAnsi="Arial"/>
                <w:sz w:val="17"/>
                <w:szCs w:val="17"/>
                <w:color w:val="auto"/>
              </w:rPr>
              <w:t>Advanced billings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5,429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4,998</w:t>
            </w:r>
          </w:p>
        </w:tc>
      </w:tr>
      <w:tr>
        <w:trPr>
          <w:trHeight w:val="215"/>
        </w:trPr>
        <w:tc>
          <w:tcPr>
            <w:tcW w:w="7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liability, current</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6,000</w:t>
            </w:r>
          </w:p>
        </w:tc>
      </w:tr>
      <w:tr>
        <w:trPr>
          <w:trHeight w:val="207"/>
        </w:trPr>
        <w:tc>
          <w:tcPr>
            <w:tcW w:w="7200" w:type="dxa"/>
            <w:vAlign w:val="bottom"/>
          </w:tcPr>
          <w:p>
            <w:pPr>
              <w:ind w:left="20"/>
              <w:spacing w:after="0" w:line="194" w:lineRule="exact"/>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92,189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92,347</w:t>
            </w:r>
          </w:p>
        </w:tc>
      </w:tr>
      <w:tr>
        <w:trPr>
          <w:trHeight w:val="215"/>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4,870</w:t>
            </w:r>
          </w:p>
        </w:tc>
      </w:tr>
      <w:tr>
        <w:trPr>
          <w:trHeight w:val="214"/>
        </w:trPr>
        <w:tc>
          <w:tcPr>
            <w:tcW w:w="7200" w:type="dxa"/>
            <w:vAlign w:val="bottom"/>
          </w:tcPr>
          <w:p>
            <w:pPr>
              <w:ind w:left="20"/>
              <w:spacing w:after="0"/>
              <w:rPr>
                <w:sz w:val="20"/>
                <w:szCs w:val="20"/>
                <w:color w:val="auto"/>
              </w:rPr>
            </w:pPr>
            <w:r>
              <w:rPr>
                <w:rFonts w:ascii="Arial" w:cs="Arial" w:eastAsia="Arial" w:hAnsi="Arial"/>
                <w:sz w:val="17"/>
                <w:szCs w:val="17"/>
                <w:color w:val="auto"/>
              </w:rPr>
              <w:t>Operating lease liability, net of current portion</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17,202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14,048</w:t>
            </w:r>
          </w:p>
        </w:tc>
      </w:tr>
      <w:tr>
        <w:trPr>
          <w:trHeight w:val="215"/>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net of current portion</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6,871</w:t>
            </w:r>
          </w:p>
        </w:tc>
      </w:tr>
      <w:tr>
        <w:trPr>
          <w:trHeight w:val="214"/>
        </w:trPr>
        <w:tc>
          <w:tcPr>
            <w:tcW w:w="7200" w:type="dxa"/>
            <w:vAlign w:val="bottom"/>
          </w:tcPr>
          <w:p>
            <w:pPr>
              <w:ind w:left="20"/>
              <w:spacing w:after="0"/>
              <w:rPr>
                <w:sz w:val="20"/>
                <w:szCs w:val="20"/>
                <w:color w:val="auto"/>
              </w:rPr>
            </w:pPr>
            <w:r>
              <w:rPr>
                <w:rFonts w:ascii="Arial" w:cs="Arial" w:eastAsia="Arial" w:hAnsi="Arial"/>
                <w:sz w:val="17"/>
                <w:szCs w:val="17"/>
                <w:color w:val="auto"/>
              </w:rPr>
              <w:t>Deferred tax liability</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61,005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59,294</w:t>
            </w:r>
          </w:p>
        </w:tc>
      </w:tr>
      <w:tr>
        <w:trPr>
          <w:trHeight w:val="215"/>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282,196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471,987</w:t>
            </w:r>
          </w:p>
        </w:tc>
      </w:tr>
      <w:tr>
        <w:trPr>
          <w:trHeight w:val="207"/>
        </w:trPr>
        <w:tc>
          <w:tcPr>
            <w:tcW w:w="7200" w:type="dxa"/>
            <w:vAlign w:val="bottom"/>
          </w:tcPr>
          <w:p>
            <w:pPr>
              <w:ind w:left="20"/>
              <w:spacing w:after="0" w:line="194" w:lineRule="exact"/>
              <w:rPr>
                <w:sz w:val="20"/>
                <w:szCs w:val="20"/>
                <w:color w:val="auto"/>
              </w:rPr>
            </w:pPr>
            <w:r>
              <w:rPr>
                <w:rFonts w:ascii="Arial" w:cs="Arial" w:eastAsia="Arial" w:hAnsi="Arial"/>
                <w:sz w:val="17"/>
                <w:szCs w:val="17"/>
                <w:color w:val="auto"/>
              </w:rPr>
              <w:t>Total liabilities</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460,685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649,417</w:t>
            </w:r>
          </w:p>
        </w:tc>
      </w:tr>
      <w:tr>
        <w:trPr>
          <w:trHeight w:val="215"/>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4"/>
        </w:trPr>
        <w:tc>
          <w:tcPr>
            <w:tcW w:w="7200" w:type="dxa"/>
            <w:vAlign w:val="bottom"/>
          </w:tcPr>
          <w:p>
            <w:pPr>
              <w:ind w:left="320"/>
              <w:spacing w:after="0"/>
              <w:rPr>
                <w:sz w:val="20"/>
                <w:szCs w:val="20"/>
                <w:color w:val="auto"/>
              </w:rPr>
            </w:pPr>
            <w:r>
              <w:rPr>
                <w:rFonts w:ascii="Arial" w:cs="Arial" w:eastAsia="Arial" w:hAnsi="Arial"/>
                <w:sz w:val="17"/>
                <w:szCs w:val="17"/>
                <w:color w:val="auto"/>
              </w:rPr>
              <w:t>Class A and Class B common stock</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5"/>
        </w:trPr>
        <w:tc>
          <w:tcPr>
            <w:tcW w:w="7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495,966</w:t>
            </w:r>
          </w:p>
        </w:tc>
      </w:tr>
      <w:tr>
        <w:trPr>
          <w:trHeight w:val="214"/>
        </w:trPr>
        <w:tc>
          <w:tcPr>
            <w:tcW w:w="720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(49,505)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(61,749)</w:t>
            </w:r>
          </w:p>
        </w:tc>
      </w:tr>
      <w:tr>
        <w:trPr>
          <w:trHeight w:val="215"/>
        </w:trPr>
        <w:tc>
          <w:tcPr>
            <w:tcW w:w="7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income</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10,771</w:t>
            </w:r>
          </w:p>
        </w:tc>
      </w:tr>
      <w:tr>
        <w:trPr>
          <w:trHeight w:val="207"/>
        </w:trPr>
        <w:tc>
          <w:tcPr>
            <w:tcW w:w="720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429,923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445,013</w:t>
            </w:r>
          </w:p>
        </w:tc>
      </w:tr>
      <w:tr>
        <w:trPr>
          <w:trHeight w:val="23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890,608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1,094,430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5"/>
          </w:tcPr>
          <w:p>
            <w:pPr>
              <w:ind w:left="300"/>
              <w:spacing w:after="0"/>
              <w:rPr>
                <w:sz w:val="20"/>
                <w:szCs w:val="20"/>
                <w:color w:val="auto"/>
              </w:rPr>
            </w:pPr>
            <w:r>
              <w:rPr>
                <w:rFonts w:ascii="Arial" w:cs="Arial" w:eastAsia="Arial" w:hAnsi="Arial"/>
                <w:sz w:val="17"/>
                <w:szCs w:val="17"/>
                <w:b w:val="1"/>
                <w:bCs w:val="1"/>
                <w:color w:val="auto"/>
              </w:rPr>
              <w:t>Three months ended June 30,</w:t>
            </w:r>
          </w:p>
        </w:tc>
        <w:tc>
          <w:tcPr>
            <w:tcW w:w="400" w:type="dxa"/>
            <w:vAlign w:val="bottom"/>
          </w:tcPr>
          <w:p>
            <w:pPr>
              <w:spacing w:after="0"/>
              <w:rPr>
                <w:sz w:val="18"/>
                <w:szCs w:val="18"/>
                <w:color w:val="auto"/>
              </w:rPr>
            </w:pPr>
          </w:p>
        </w:tc>
        <w:tc>
          <w:tcPr>
            <w:tcW w:w="3080" w:type="dxa"/>
            <w:vAlign w:val="bottom"/>
            <w:gridSpan w:val="4"/>
          </w:tcPr>
          <w:p>
            <w:pPr>
              <w:jc w:val="right"/>
              <w:ind w:right="69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4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2021</w:t>
            </w:r>
          </w:p>
        </w:tc>
      </w:tr>
      <w:tr>
        <w:trPr>
          <w:trHeight w:val="232"/>
        </w:trPr>
        <w:tc>
          <w:tcPr>
            <w:tcW w:w="4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4"/>
        </w:trPr>
        <w:tc>
          <w:tcPr>
            <w:tcW w:w="4180" w:type="dxa"/>
            <w:vAlign w:val="bottom"/>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76,790</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120,658</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145,308</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234,137</w:t>
            </w:r>
          </w:p>
        </w:tc>
      </w:tr>
      <w:tr>
        <w:trPr>
          <w:trHeight w:val="215"/>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66,059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127,387</w:t>
            </w:r>
          </w:p>
        </w:tc>
      </w:tr>
      <w:tr>
        <w:trPr>
          <w:trHeight w:val="207"/>
        </w:trPr>
        <w:tc>
          <w:tcPr>
            <w:tcW w:w="4180" w:type="dxa"/>
            <w:vAlign w:val="bottom"/>
          </w:tcPr>
          <w:p>
            <w:pPr>
              <w:ind w:left="20"/>
              <w:spacing w:after="0" w:line="194" w:lineRule="exact"/>
              <w:rPr>
                <w:sz w:val="20"/>
                <w:szCs w:val="20"/>
                <w:color w:val="auto"/>
              </w:rPr>
            </w:pPr>
            <w:r>
              <w:rPr>
                <w:rFonts w:ascii="Arial" w:cs="Arial" w:eastAsia="Arial" w:hAnsi="Arial"/>
                <w:sz w:val="17"/>
                <w:szCs w:val="17"/>
                <w:color w:val="auto"/>
              </w:rPr>
              <w:t>Gross profit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34,781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54,599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66,940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106,750</w:t>
            </w:r>
          </w:p>
        </w:tc>
      </w:tr>
      <w:tr>
        <w:trPr>
          <w:trHeight w:val="215"/>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418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12,817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19,084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26,150</w:t>
            </w:r>
          </w:p>
        </w:tc>
      </w:tr>
      <w:tr>
        <w:trPr>
          <w:trHeight w:val="215"/>
        </w:trPr>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24,576</w:t>
            </w:r>
          </w:p>
        </w:tc>
      </w:tr>
      <w:tr>
        <w:trPr>
          <w:trHeight w:val="214"/>
        </w:trPr>
        <w:tc>
          <w:tcPr>
            <w:tcW w:w="4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28,264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55,127</w:t>
            </w:r>
          </w:p>
        </w:tc>
      </w:tr>
      <w:tr>
        <w:trPr>
          <w:trHeight w:val="207"/>
        </w:trPr>
        <w:tc>
          <w:tcPr>
            <w:tcW w:w="41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 operating expenses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105,853</w:t>
            </w:r>
          </w:p>
        </w:tc>
      </w:tr>
      <w:tr>
        <w:trPr>
          <w:trHeight w:val="214"/>
        </w:trPr>
        <w:tc>
          <w:tcPr>
            <w:tcW w:w="4180" w:type="dxa"/>
            <w:vAlign w:val="bottom"/>
          </w:tcPr>
          <w:p>
            <w:pPr>
              <w:ind w:left="20"/>
              <w:spacing w:after="0"/>
              <w:rPr>
                <w:sz w:val="20"/>
                <w:szCs w:val="20"/>
                <w:color w:val="auto"/>
              </w:rPr>
            </w:pPr>
            <w:r>
              <w:rPr>
                <w:rFonts w:ascii="Arial" w:cs="Arial" w:eastAsia="Arial" w:hAnsi="Arial"/>
                <w:sz w:val="17"/>
                <w:szCs w:val="17"/>
                <w:color w:val="auto"/>
              </w:rPr>
              <w:t>Operating (loss) income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897</w:t>
            </w:r>
          </w:p>
        </w:tc>
      </w:tr>
      <w:tr>
        <w:trPr>
          <w:trHeight w:val="215"/>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(13,201)</w:t>
            </w:r>
          </w:p>
        </w:tc>
      </w:tr>
      <w:tr>
        <w:trPr>
          <w:trHeight w:val="207"/>
        </w:trPr>
        <w:tc>
          <w:tcPr>
            <w:tcW w:w="4180" w:type="dxa"/>
            <w:vAlign w:val="bottom"/>
          </w:tcPr>
          <w:p>
            <w:pPr>
              <w:ind w:left="20"/>
              <w:spacing w:after="0" w:line="194" w:lineRule="exact"/>
              <w:rPr>
                <w:sz w:val="20"/>
                <w:szCs w:val="20"/>
                <w:color w:val="auto"/>
              </w:rPr>
            </w:pPr>
            <w:r>
              <w:rPr>
                <w:rFonts w:ascii="Arial" w:cs="Arial" w:eastAsia="Arial" w:hAnsi="Arial"/>
                <w:sz w:val="17"/>
                <w:szCs w:val="17"/>
                <w:color w:val="auto"/>
              </w:rPr>
              <w:t>Loss before income taxes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(12,304)</w:t>
            </w:r>
          </w:p>
        </w:tc>
      </w:tr>
      <w:tr>
        <w:trPr>
          <w:trHeight w:val="215"/>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 benefit</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(13,773)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182"/>
        </w:trPr>
        <w:tc>
          <w:tcPr>
            <w:tcW w:w="4180" w:type="dxa"/>
            <w:vAlign w:val="bottom"/>
          </w:tcPr>
          <w:p>
            <w:pPr>
              <w:ind w:left="20"/>
              <w:spacing w:after="0" w:line="182" w:lineRule="exact"/>
              <w:rPr>
                <w:sz w:val="20"/>
                <w:szCs w:val="20"/>
                <w:color w:val="auto"/>
              </w:rPr>
            </w:pPr>
            <w:r>
              <w:rPr>
                <w:rFonts w:ascii="Arial" w:cs="Arial" w:eastAsia="Arial" w:hAnsi="Arial"/>
                <w:sz w:val="17"/>
                <w:szCs w:val="17"/>
                <w:color w:val="auto"/>
              </w:rPr>
              <w:t>Net loss</w:t>
            </w:r>
          </w:p>
        </w:tc>
        <w:tc>
          <w:tcPr>
            <w:tcW w:w="400" w:type="dxa"/>
            <w:vAlign w:val="bottom"/>
            <w:tcBorders>
              <w:bottom w:val="single" w:sz="8" w:color="auto"/>
            </w:tcBorders>
          </w:tcPr>
          <w:p>
            <w:pPr>
              <w:jc w:val="right"/>
              <w:ind w:right="216"/>
              <w:spacing w:after="0" w:line="182"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(20,641)</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6"/>
              <w:spacing w:after="0" w:line="182"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(6,928)</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16"/>
              <w:spacing w:after="0" w:line="182"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(21,699)</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6"/>
              <w:spacing w:after="0" w:line="182"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(12,244)</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4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4180" w:type="dxa"/>
            <w:vAlign w:val="bottom"/>
          </w:tcPr>
          <w:p>
            <w:pPr>
              <w:ind w:left="20"/>
              <w:spacing w:after="0"/>
              <w:rPr>
                <w:sz w:val="20"/>
                <w:szCs w:val="20"/>
                <w:color w:val="auto"/>
              </w:rPr>
            </w:pPr>
            <w:r>
              <w:rPr>
                <w:rFonts w:ascii="Arial" w:cs="Arial" w:eastAsia="Arial" w:hAnsi="Arial"/>
                <w:sz w:val="17"/>
                <w:szCs w:val="17"/>
                <w:color w:val="auto"/>
              </w:rPr>
              <w:t>Net loss per share, basic and diluted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r>
      <w:tr>
        <w:trPr>
          <w:trHeight w:val="214"/>
        </w:trPr>
        <w:tc>
          <w:tcPr>
            <w:tcW w:w="4180" w:type="dxa"/>
            <w:vAlign w:val="bottom"/>
          </w:tcPr>
          <w:p>
            <w:pPr>
              <w:ind w:left="320"/>
              <w:spacing w:after="0"/>
              <w:rPr>
                <w:sz w:val="20"/>
                <w:szCs w:val="20"/>
                <w:color w:val="auto"/>
              </w:rPr>
            </w:pPr>
            <w:r>
              <w:rPr>
                <w:rFonts w:ascii="Arial" w:cs="Arial" w:eastAsia="Arial" w:hAnsi="Arial"/>
                <w:sz w:val="17"/>
                <w:szCs w:val="17"/>
                <w:color w:val="auto"/>
              </w:rPr>
              <w:t>Diluted</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(0.91)</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(0.49)</w:t>
            </w:r>
          </w:p>
        </w:tc>
      </w:tr>
      <w:tr>
        <w:trPr>
          <w:trHeight w:val="202"/>
        </w:trPr>
        <w:tc>
          <w:tcPr>
            <w:tcW w:w="4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64"/>
        </w:trPr>
        <w:tc>
          <w:tcPr>
            <w:tcW w:w="4180" w:type="dxa"/>
            <w:vAlign w:val="bottom"/>
          </w:tcPr>
          <w:p>
            <w:pPr>
              <w:ind w:left="20"/>
              <w:spacing w:after="0" w:line="164" w:lineRule="exact"/>
              <w:rPr>
                <w:sz w:val="20"/>
                <w:szCs w:val="20"/>
                <w:color w:val="auto"/>
              </w:rPr>
            </w:pPr>
            <w:r>
              <w:rPr>
                <w:rFonts w:ascii="Arial" w:cs="Arial" w:eastAsia="Arial" w:hAnsi="Arial"/>
                <w:sz w:val="17"/>
                <w:szCs w:val="17"/>
                <w:color w:val="auto"/>
                <w:w w:val="93"/>
              </w:rPr>
              <w:t>Weighted average number of common shares outstanding,</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4"/>
        </w:trPr>
        <w:tc>
          <w:tcPr>
            <w:tcW w:w="4180" w:type="dxa"/>
            <w:vAlign w:val="bottom"/>
          </w:tcPr>
          <w:p>
            <w:pPr>
              <w:ind w:left="20"/>
              <w:spacing w:after="0"/>
              <w:rPr>
                <w:sz w:val="20"/>
                <w:szCs w:val="20"/>
                <w:color w:val="auto"/>
              </w:rPr>
            </w:pPr>
            <w:r>
              <w:rPr>
                <w:rFonts w:ascii="Arial" w:cs="Arial" w:eastAsia="Arial" w:hAnsi="Arial"/>
                <w:sz w:val="17"/>
                <w:szCs w:val="17"/>
                <w:color w:val="auto"/>
              </w:rPr>
              <w:t>basic and diluted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23,973,663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25,096,026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23,768,616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25,056,208</w:t>
            </w:r>
          </w:p>
        </w:tc>
      </w:tr>
      <w:tr>
        <w:trPr>
          <w:trHeight w:val="214"/>
        </w:trPr>
        <w:tc>
          <w:tcPr>
            <w:tcW w:w="4180" w:type="dxa"/>
            <w:vAlign w:val="bottom"/>
          </w:tcPr>
          <w:p>
            <w:pPr>
              <w:ind w:left="320"/>
              <w:spacing w:after="0"/>
              <w:rPr>
                <w:sz w:val="20"/>
                <w:szCs w:val="20"/>
                <w:color w:val="auto"/>
              </w:rPr>
            </w:pPr>
            <w:r>
              <w:rPr>
                <w:rFonts w:ascii="Arial" w:cs="Arial" w:eastAsia="Arial" w:hAnsi="Arial"/>
                <w:sz w:val="17"/>
                <w:szCs w:val="17"/>
                <w:color w:val="auto"/>
              </w:rPr>
              <w:t>Diluted</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23,973,663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25,096,026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23,768,616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25,056,208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7"/>
                <w:szCs w:val="17"/>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4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2021</w:t>
            </w:r>
          </w:p>
        </w:tc>
      </w:tr>
      <w:tr>
        <w:trPr>
          <w:trHeight w:val="207"/>
        </w:trPr>
        <w:tc>
          <w:tcPr>
            <w:tcW w:w="41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Net loss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(20,641)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(12,244)</w:t>
            </w:r>
          </w:p>
        </w:tc>
      </w:tr>
      <w:tr>
        <w:trPr>
          <w:trHeight w:val="214"/>
        </w:trPr>
        <w:tc>
          <w:tcPr>
            <w:tcW w:w="4180" w:type="dxa"/>
            <w:vAlign w:val="bottom"/>
          </w:tcPr>
          <w:p>
            <w:pPr>
              <w:ind w:left="20"/>
              <w:spacing w:after="0"/>
              <w:rPr>
                <w:sz w:val="20"/>
                <w:szCs w:val="20"/>
                <w:color w:val="auto"/>
              </w:rPr>
            </w:pPr>
            <w:r>
              <w:rPr>
                <w:rFonts w:ascii="Arial" w:cs="Arial" w:eastAsia="Arial" w:hAnsi="Arial"/>
                <w:sz w:val="17"/>
                <w:szCs w:val="17"/>
                <w:color w:val="auto"/>
              </w:rPr>
              <w:t>Other comprehensive (loss) income</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 currency translation, net of income taxes</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(17,170)</w:t>
            </w:r>
          </w:p>
        </w:tc>
      </w:tr>
      <w:tr>
        <w:trPr>
          <w:trHeight w:val="207"/>
        </w:trPr>
        <w:tc>
          <w:tcPr>
            <w:tcW w:w="418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Other comprehensive (loss) income</w:t>
            </w: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(17,170)</w:t>
            </w:r>
          </w:p>
        </w:tc>
      </w:tr>
      <w:tr>
        <w:trPr>
          <w:trHeight w:val="232"/>
        </w:trPr>
        <w:tc>
          <w:tcPr>
            <w:tcW w:w="41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comprehensive loss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(20,664)</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(21,818)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(29,414)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520" w:type="dxa"/>
            <w:vAlign w:val="bottom"/>
            <w:gridSpan w:val="4"/>
            <w:vMerge w:val="restart"/>
          </w:tcPr>
          <w:p>
            <w:pPr>
              <w:ind w:left="340"/>
              <w:spacing w:after="0"/>
              <w:rPr>
                <w:sz w:val="20"/>
                <w:szCs w:val="20"/>
                <w:color w:val="auto"/>
              </w:rPr>
            </w:pPr>
            <w:r>
              <w:rPr>
                <w:rFonts w:ascii="Arial" w:cs="Arial" w:eastAsia="Arial" w:hAnsi="Arial"/>
                <w:sz w:val="13"/>
                <w:szCs w:val="13"/>
                <w:color w:val="auto"/>
              </w:rPr>
              <w:t>Class A voting</w:t>
            </w:r>
          </w:p>
        </w:tc>
        <w:tc>
          <w:tcPr>
            <w:tcW w:w="1400" w:type="dxa"/>
            <w:vAlign w:val="bottom"/>
            <w:gridSpan w:val="4"/>
            <w:vMerge w:val="restart"/>
          </w:tcPr>
          <w:p>
            <w:pPr>
              <w:ind w:left="260"/>
              <w:spacing w:after="0"/>
              <w:rPr>
                <w:sz w:val="20"/>
                <w:szCs w:val="20"/>
                <w:color w:val="auto"/>
              </w:rPr>
            </w:pPr>
            <w:r>
              <w:rPr>
                <w:rFonts w:ascii="Arial" w:cs="Arial" w:eastAsia="Arial" w:hAnsi="Arial"/>
                <w:sz w:val="13"/>
                <w:szCs w:val="13"/>
                <w:color w:val="auto"/>
              </w:rPr>
              <w:t>Class B voting</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color w:val="auto"/>
                <w:w w:val="95"/>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46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gridSpan w:val="2"/>
            <w:vMerge w:val="restart"/>
          </w:tcPr>
          <w:p>
            <w:pPr>
              <w:jc w:val="center"/>
              <w:ind w:right="280"/>
              <w:spacing w:after="0" w:line="126" w:lineRule="exact"/>
              <w:rPr>
                <w:sz w:val="20"/>
                <w:szCs w:val="20"/>
                <w:color w:val="auto"/>
              </w:rPr>
            </w:pPr>
            <w:r>
              <w:rPr>
                <w:rFonts w:ascii="Arial" w:cs="Arial" w:eastAsia="Arial" w:hAnsi="Arial"/>
                <w:sz w:val="13"/>
                <w:szCs w:val="13"/>
                <w:color w:val="auto"/>
                <w:w w:val="94"/>
              </w:rPr>
              <w:t>other</w:t>
            </w: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126" w:lineRule="exact"/>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76"/>
        </w:trPr>
        <w:tc>
          <w:tcPr>
            <w:tcW w:w="4600" w:type="dxa"/>
            <w:vAlign w:val="bottom"/>
          </w:tcPr>
          <w:p>
            <w:pPr>
              <w:spacing w:after="0"/>
              <w:rPr>
                <w:sz w:val="6"/>
                <w:szCs w:val="6"/>
                <w:color w:val="auto"/>
              </w:rPr>
            </w:pPr>
          </w:p>
        </w:tc>
        <w:tc>
          <w:tcPr>
            <w:tcW w:w="1460" w:type="dxa"/>
            <w:vAlign w:val="bottom"/>
            <w:gridSpan w:val="3"/>
            <w:vMerge w:val="restart"/>
          </w:tcPr>
          <w:p>
            <w:pPr>
              <w:ind w:left="340"/>
              <w:spacing w:after="0"/>
              <w:rPr>
                <w:sz w:val="20"/>
                <w:szCs w:val="20"/>
                <w:color w:val="auto"/>
              </w:rPr>
            </w:pPr>
            <w:r>
              <w:rPr>
                <w:rFonts w:ascii="Arial" w:cs="Arial" w:eastAsia="Arial" w:hAnsi="Arial"/>
                <w:sz w:val="13"/>
                <w:szCs w:val="13"/>
                <w:color w:val="auto"/>
              </w:rPr>
              <w:t>common stock</w:t>
            </w:r>
          </w:p>
        </w:tc>
        <w:tc>
          <w:tcPr>
            <w:tcW w:w="60" w:type="dxa"/>
            <w:vAlign w:val="bottom"/>
            <w:vMerge w:val="restart"/>
          </w:tcPr>
          <w:p>
            <w:pPr>
              <w:spacing w:after="0"/>
              <w:rPr>
                <w:sz w:val="6"/>
                <w:szCs w:val="6"/>
                <w:color w:val="auto"/>
              </w:rPr>
            </w:pPr>
          </w:p>
        </w:tc>
        <w:tc>
          <w:tcPr>
            <w:tcW w:w="1320" w:type="dxa"/>
            <w:vAlign w:val="bottom"/>
            <w:gridSpan w:val="3"/>
            <w:vMerge w:val="restart"/>
          </w:tcPr>
          <w:p>
            <w:pPr>
              <w:ind w:left="280"/>
              <w:spacing w:after="0"/>
              <w:rPr>
                <w:sz w:val="20"/>
                <w:szCs w:val="20"/>
                <w:color w:val="auto"/>
              </w:rPr>
            </w:pPr>
            <w:r>
              <w:rPr>
                <w:rFonts w:ascii="Arial" w:cs="Arial" w:eastAsia="Arial" w:hAnsi="Arial"/>
                <w:sz w:val="13"/>
                <w:szCs w:val="13"/>
                <w:color w:val="auto"/>
              </w:rPr>
              <w:t>common stock</w:t>
            </w:r>
          </w:p>
        </w:tc>
        <w:tc>
          <w:tcPr>
            <w:tcW w:w="8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4600" w:type="dxa"/>
            <w:vAlign w:val="bottom"/>
          </w:tcPr>
          <w:p>
            <w:pPr>
              <w:spacing w:after="0"/>
              <w:rPr>
                <w:sz w:val="8"/>
                <w:szCs w:val="8"/>
                <w:color w:val="auto"/>
              </w:rPr>
            </w:pPr>
          </w:p>
        </w:tc>
        <w:tc>
          <w:tcPr>
            <w:tcW w:w="1460" w:type="dxa"/>
            <w:vAlign w:val="bottom"/>
            <w:tcBorders>
              <w:bottom w:val="single" w:sz="8" w:color="auto"/>
            </w:tcBorders>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20" w:type="dxa"/>
            <w:vAlign w:val="bottom"/>
            <w:gridSpan w:val="3"/>
          </w:tcPr>
          <w:p>
            <w:pPr>
              <w:ind w:left="40"/>
              <w:spacing w:after="0" w:line="99" w:lineRule="exact"/>
              <w:rPr>
                <w:sz w:val="20"/>
                <w:szCs w:val="20"/>
                <w:color w:val="auto"/>
              </w:rPr>
            </w:pPr>
            <w:r>
              <w:rPr>
                <w:rFonts w:ascii="Arial" w:cs="Arial" w:eastAsia="Arial" w:hAnsi="Arial"/>
                <w:sz w:val="11"/>
                <w:szCs w:val="11"/>
                <w:color w:val="auto"/>
              </w:rPr>
              <w:t>Additional paid-in</w:t>
            </w:r>
          </w:p>
        </w:tc>
        <w:tc>
          <w:tcPr>
            <w:tcW w:w="960" w:type="dxa"/>
            <w:vAlign w:val="bottom"/>
            <w:gridSpan w:val="3"/>
          </w:tcPr>
          <w:p>
            <w:pPr>
              <w:jc w:val="right"/>
              <w:ind w:right="100"/>
              <w:spacing w:after="0" w:line="99" w:lineRule="exact"/>
              <w:rPr>
                <w:sz w:val="20"/>
                <w:szCs w:val="20"/>
                <w:color w:val="auto"/>
              </w:rPr>
            </w:pPr>
            <w:r>
              <w:rPr>
                <w:rFonts w:ascii="Arial" w:cs="Arial" w:eastAsia="Arial" w:hAnsi="Arial"/>
                <w:sz w:val="11"/>
                <w:szCs w:val="11"/>
                <w:color w:val="auto"/>
              </w:rPr>
              <w:t>comprehensive</w:t>
            </w:r>
          </w:p>
        </w:tc>
        <w:tc>
          <w:tcPr>
            <w:tcW w:w="840" w:type="dxa"/>
            <w:vAlign w:val="bottom"/>
            <w:gridSpan w:val="3"/>
          </w:tcPr>
          <w:p>
            <w:pPr>
              <w:ind w:left="20"/>
              <w:spacing w:after="0" w:line="99" w:lineRule="exact"/>
              <w:rPr>
                <w:sz w:val="20"/>
                <w:szCs w:val="20"/>
                <w:color w:val="auto"/>
              </w:rPr>
            </w:pPr>
            <w:r>
              <w:rPr>
                <w:rFonts w:ascii="Arial" w:cs="Arial" w:eastAsia="Arial" w:hAnsi="Arial"/>
                <w:sz w:val="11"/>
                <w:szCs w:val="11"/>
                <w:color w:val="auto"/>
              </w:rPr>
              <w:t>Accumulated</w:t>
            </w:r>
          </w:p>
        </w:tc>
        <w:tc>
          <w:tcPr>
            <w:tcW w:w="800" w:type="dxa"/>
            <w:vAlign w:val="bottom"/>
          </w:tcPr>
          <w:p>
            <w:pPr>
              <w:jc w:val="center"/>
              <w:spacing w:after="0" w:line="99" w:lineRule="exact"/>
              <w:rPr>
                <w:sz w:val="20"/>
                <w:szCs w:val="20"/>
                <w:color w:val="auto"/>
              </w:rPr>
            </w:pPr>
            <w:r>
              <w:rPr>
                <w:rFonts w:ascii="Arial" w:cs="Arial" w:eastAsia="Arial" w:hAnsi="Arial"/>
                <w:sz w:val="11"/>
                <w:szCs w:val="11"/>
                <w:color w:val="auto"/>
              </w:rPr>
              <w:t>stockholders’</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auto"/>
              </w:rPr>
              <w:t>Amount</w:t>
            </w: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960" w:type="dxa"/>
            <w:vAlign w:val="bottom"/>
            <w:gridSpan w:val="3"/>
          </w:tcPr>
          <w:p>
            <w:pPr>
              <w:jc w:val="center"/>
              <w:ind w:right="80"/>
              <w:spacing w:after="0"/>
              <w:rPr>
                <w:sz w:val="20"/>
                <w:szCs w:val="20"/>
                <w:color w:val="auto"/>
              </w:rPr>
            </w:pPr>
            <w:r>
              <w:rPr>
                <w:rFonts w:ascii="Arial" w:cs="Arial" w:eastAsia="Arial" w:hAnsi="Arial"/>
                <w:sz w:val="13"/>
                <w:szCs w:val="13"/>
                <w:color w:val="auto"/>
                <w:w w:val="93"/>
              </w:rPr>
              <w:t>income (loss)</w:t>
            </w: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deficit</w:t>
            </w: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equity</w:t>
            </w: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18,584,478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4,927,401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275,553</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(5,528)</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270,090</w:t>
            </w:r>
          </w:p>
        </w:tc>
        <w:tc>
          <w:tcPr>
            <w:tcW w:w="0" w:type="dxa"/>
            <w:vAlign w:val="bottom"/>
          </w:tcPr>
          <w:p>
            <w:pPr>
              <w:spacing w:after="0"/>
              <w:rPr>
                <w:sz w:val="1"/>
                <w:szCs w:val="1"/>
                <w:color w:val="auto"/>
              </w:rPr>
            </w:pPr>
          </w:p>
        </w:tc>
      </w:tr>
      <w:tr>
        <w:trPr>
          <w:trHeight w:val="167"/>
        </w:trPr>
        <w:tc>
          <w:tcPr>
            <w:tcW w:w="4600" w:type="dxa"/>
            <w:vAlign w:val="bottom"/>
          </w:tcPr>
          <w:p>
            <w:pPr>
              <w:ind w:left="20"/>
              <w:spacing w:after="0"/>
              <w:rPr>
                <w:sz w:val="20"/>
                <w:szCs w:val="20"/>
                <w:color w:val="auto"/>
              </w:rPr>
            </w:pPr>
            <w:r>
              <w:rPr>
                <w:rFonts w:ascii="Arial" w:cs="Arial" w:eastAsia="Arial" w:hAnsi="Arial"/>
                <w:sz w:val="13"/>
                <w:szCs w:val="13"/>
                <w:color w:val="auto"/>
              </w:rPr>
              <w:t>Issuance of debt conversion option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104,553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104,553</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conversion option issuance costs, net of tax</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(3,731)</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Capped call option purchase price</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(43,320)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(43,320)</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Exercises of vested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32,059</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720" w:type="dxa"/>
            <w:vAlign w:val="bottom"/>
          </w:tcPr>
          <w:p>
            <w:pPr>
              <w:jc w:val="right"/>
              <w:spacing w:after="0"/>
              <w:rPr>
                <w:sz w:val="20"/>
                <w:szCs w:val="20"/>
                <w:color w:val="auto"/>
              </w:rPr>
            </w:pPr>
            <w:r>
              <w:rPr>
                <w:rFonts w:ascii="Arial" w:cs="Arial" w:eastAsia="Arial" w:hAnsi="Arial"/>
                <w:sz w:val="13"/>
                <w:szCs w:val="13"/>
                <w:color w:val="auto"/>
              </w:rPr>
              <w:t>103,824</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awards withheld for tax liability</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(14,411)</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Conversion of Class B voting common stock to Class A voting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500,250</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(500,250)</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2,499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2,499</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6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March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19,206,200</w:t>
            </w: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6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4,427,151</w:t>
            </w: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334,777</w:t>
            </w:r>
          </w:p>
        </w:tc>
        <w:tc>
          <w:tcPr>
            <w:tcW w:w="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(6,586)</w:t>
            </w:r>
          </w:p>
        </w:tc>
        <w:tc>
          <w:tcPr>
            <w:tcW w:w="8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328,159</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conversion option issuance costs, net of tax</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Exercises of vested stock options</w:t>
            </w:r>
          </w:p>
        </w:tc>
        <w:tc>
          <w:tcPr>
            <w:tcW w:w="720" w:type="dxa"/>
            <w:vAlign w:val="bottom"/>
          </w:tcPr>
          <w:p>
            <w:pPr>
              <w:jc w:val="right"/>
              <w:spacing w:after="0"/>
              <w:rPr>
                <w:sz w:val="20"/>
                <w:szCs w:val="20"/>
                <w:color w:val="auto"/>
              </w:rPr>
            </w:pPr>
            <w:r>
              <w:rPr>
                <w:rFonts w:ascii="Arial" w:cs="Arial" w:eastAsia="Arial" w:hAnsi="Arial"/>
                <w:sz w:val="13"/>
                <w:szCs w:val="13"/>
                <w:color w:val="auto"/>
              </w:rPr>
              <w:t>502,182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3,296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3,297</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21,871</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Equity awards withheld for tax liability</w:t>
            </w:r>
          </w:p>
        </w:tc>
        <w:tc>
          <w:tcPr>
            <w:tcW w:w="720" w:type="dxa"/>
            <w:vAlign w:val="bottom"/>
          </w:tcPr>
          <w:p>
            <w:pPr>
              <w:jc w:val="right"/>
              <w:spacing w:after="0"/>
              <w:rPr>
                <w:sz w:val="20"/>
                <w:szCs w:val="20"/>
                <w:color w:val="auto"/>
              </w:rPr>
            </w:pPr>
            <w:r>
              <w:rPr>
                <w:rFonts w:ascii="Arial" w:cs="Arial" w:eastAsia="Arial" w:hAnsi="Arial"/>
                <w:sz w:val="13"/>
                <w:szCs w:val="13"/>
                <w:color w:val="auto"/>
              </w:rPr>
              <w:t>(2,133)</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Class B voting common stock to Class A voting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827,597</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(827,597)</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2,425</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(20,641)</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(20,641)</w:t>
            </w: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June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20,555,717</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3,599,554</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340,215</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(27,227)</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312,934</w:t>
            </w:r>
          </w:p>
        </w:tc>
        <w:tc>
          <w:tcPr>
            <w:tcW w:w="0" w:type="dxa"/>
            <w:vAlign w:val="bottom"/>
          </w:tcPr>
          <w:p>
            <w:pPr>
              <w:spacing w:after="0"/>
              <w:rPr>
                <w:sz w:val="1"/>
                <w:szCs w:val="1"/>
                <w:color w:val="auto"/>
              </w:rPr>
            </w:pPr>
          </w:p>
        </w:tc>
      </w:tr>
      <w:tr>
        <w:trPr>
          <w:trHeight w:val="167"/>
        </w:trPr>
        <w:tc>
          <w:tcPr>
            <w:tcW w:w="4600" w:type="dxa"/>
            <w:vAlign w:val="bottom"/>
          </w:tcPr>
          <w:p>
            <w:pPr>
              <w:ind w:left="20"/>
              <w:spacing w:after="0"/>
              <w:rPr>
                <w:sz w:val="20"/>
                <w:szCs w:val="20"/>
                <w:color w:val="auto"/>
              </w:rPr>
            </w:pPr>
            <w:r>
              <w:rPr>
                <w:rFonts w:ascii="Arial" w:cs="Arial" w:eastAsia="Arial" w:hAnsi="Arial"/>
                <w:sz w:val="13"/>
                <w:szCs w:val="13"/>
                <w:color w:val="auto"/>
              </w:rPr>
              <w:t>Exercises of vested stock options</w:t>
            </w:r>
          </w:p>
        </w:tc>
        <w:tc>
          <w:tcPr>
            <w:tcW w:w="720" w:type="dxa"/>
            <w:vAlign w:val="bottom"/>
          </w:tcPr>
          <w:p>
            <w:pPr>
              <w:jc w:val="right"/>
              <w:spacing w:after="0"/>
              <w:rPr>
                <w:sz w:val="20"/>
                <w:szCs w:val="20"/>
                <w:color w:val="auto"/>
              </w:rPr>
            </w:pPr>
            <w:r>
              <w:rPr>
                <w:rFonts w:ascii="Arial" w:cs="Arial" w:eastAsia="Arial" w:hAnsi="Arial"/>
                <w:sz w:val="13"/>
                <w:szCs w:val="13"/>
                <w:color w:val="auto"/>
              </w:rPr>
              <w:t>44,848</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17,948</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Equity awards withheld for tax liability</w:t>
            </w:r>
          </w:p>
        </w:tc>
        <w:tc>
          <w:tcPr>
            <w:tcW w:w="720" w:type="dxa"/>
            <w:vAlign w:val="bottom"/>
          </w:tcPr>
          <w:p>
            <w:pPr>
              <w:jc w:val="right"/>
              <w:spacing w:after="0"/>
              <w:rPr>
                <w:sz w:val="20"/>
                <w:szCs w:val="20"/>
                <w:color w:val="auto"/>
              </w:rPr>
            </w:pPr>
            <w:r>
              <w:rPr>
                <w:rFonts w:ascii="Arial" w:cs="Arial" w:eastAsia="Arial" w:hAnsi="Arial"/>
                <w:sz w:val="13"/>
                <w:szCs w:val="13"/>
                <w:color w:val="auto"/>
              </w:rPr>
              <w:t>(2,002)</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Class B voting common stock to Class A voting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606,418</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(606,418)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2,382</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(2,352)</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(2,352)</w:t>
            </w: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21,222,929</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2,993,136</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342,633</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(29,579)</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313,139</w:t>
            </w:r>
          </w:p>
        </w:tc>
        <w:tc>
          <w:tcPr>
            <w:tcW w:w="0" w:type="dxa"/>
            <w:vAlign w:val="bottom"/>
          </w:tcPr>
          <w:p>
            <w:pPr>
              <w:spacing w:after="0"/>
              <w:rPr>
                <w:sz w:val="1"/>
                <w:szCs w:val="1"/>
                <w:color w:val="auto"/>
              </w:rPr>
            </w:pPr>
          </w:p>
        </w:tc>
      </w:tr>
      <w:tr>
        <w:trPr>
          <w:trHeight w:val="167"/>
        </w:trPr>
        <w:tc>
          <w:tcPr>
            <w:tcW w:w="4600" w:type="dxa"/>
            <w:vAlign w:val="bottom"/>
          </w:tcPr>
          <w:p>
            <w:pPr>
              <w:ind w:left="20"/>
              <w:spacing w:after="0"/>
              <w:rPr>
                <w:sz w:val="20"/>
                <w:szCs w:val="20"/>
                <w:color w:val="auto"/>
              </w:rPr>
            </w:pPr>
            <w:r>
              <w:rPr>
                <w:rFonts w:ascii="Arial" w:cs="Arial" w:eastAsia="Arial" w:hAnsi="Arial"/>
                <w:sz w:val="13"/>
                <w:szCs w:val="13"/>
                <w:color w:val="auto"/>
              </w:rPr>
              <w:t>Exercises of vested stock options</w:t>
            </w:r>
          </w:p>
        </w:tc>
        <w:tc>
          <w:tcPr>
            <w:tcW w:w="720" w:type="dxa"/>
            <w:vAlign w:val="bottom"/>
          </w:tcPr>
          <w:p>
            <w:pPr>
              <w:jc w:val="right"/>
              <w:spacing w:after="0"/>
              <w:rPr>
                <w:sz w:val="20"/>
                <w:szCs w:val="20"/>
                <w:color w:val="auto"/>
              </w:rPr>
            </w:pPr>
            <w:r>
              <w:rPr>
                <w:rFonts w:ascii="Arial" w:cs="Arial" w:eastAsia="Arial" w:hAnsi="Arial"/>
                <w:sz w:val="13"/>
                <w:szCs w:val="13"/>
                <w:color w:val="auto"/>
              </w:rPr>
              <w:t>13,995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17,424</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Equity awards withheld for tax liability</w:t>
            </w:r>
          </w:p>
        </w:tc>
        <w:tc>
          <w:tcPr>
            <w:tcW w:w="720" w:type="dxa"/>
            <w:vAlign w:val="bottom"/>
          </w:tcPr>
          <w:p>
            <w:pPr>
              <w:jc w:val="right"/>
              <w:spacing w:after="0"/>
              <w:rPr>
                <w:sz w:val="20"/>
                <w:szCs w:val="20"/>
                <w:color w:val="auto"/>
              </w:rPr>
            </w:pPr>
            <w:r>
              <w:rPr>
                <w:rFonts w:ascii="Arial" w:cs="Arial" w:eastAsia="Arial" w:hAnsi="Arial"/>
                <w:sz w:val="13"/>
                <w:szCs w:val="13"/>
                <w:color w:val="auto"/>
              </w:rPr>
              <w:t>(1,749)</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Class B voting common stock to Class A voting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497,011</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(497,011)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Equity consideration for Voxbone acquisition</w:t>
            </w:r>
          </w:p>
        </w:tc>
        <w:tc>
          <w:tcPr>
            <w:tcW w:w="720" w:type="dxa"/>
            <w:vAlign w:val="bottom"/>
          </w:tcPr>
          <w:p>
            <w:pPr>
              <w:jc w:val="right"/>
              <w:spacing w:after="0"/>
              <w:rPr>
                <w:sz w:val="20"/>
                <w:szCs w:val="20"/>
                <w:color w:val="auto"/>
              </w:rPr>
            </w:pPr>
            <w:r>
              <w:rPr>
                <w:rFonts w:ascii="Arial" w:cs="Arial" w:eastAsia="Arial" w:hAnsi="Arial"/>
                <w:sz w:val="13"/>
                <w:szCs w:val="13"/>
                <w:color w:val="auto"/>
              </w:rPr>
              <w:t>663,394</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106,379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106,380</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27,880</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520" w:type="dxa"/>
            <w:vAlign w:val="bottom"/>
            <w:gridSpan w:val="4"/>
            <w:vMerge w:val="restart"/>
          </w:tcPr>
          <w:p>
            <w:pPr>
              <w:ind w:left="340"/>
              <w:spacing w:after="0"/>
              <w:rPr>
                <w:sz w:val="20"/>
                <w:szCs w:val="20"/>
                <w:color w:val="auto"/>
              </w:rPr>
            </w:pPr>
            <w:r>
              <w:rPr>
                <w:rFonts w:ascii="Arial" w:cs="Arial" w:eastAsia="Arial" w:hAnsi="Arial"/>
                <w:sz w:val="13"/>
                <w:szCs w:val="13"/>
                <w:color w:val="auto"/>
              </w:rPr>
              <w:t>Class A voting</w:t>
            </w:r>
          </w:p>
        </w:tc>
        <w:tc>
          <w:tcPr>
            <w:tcW w:w="1400" w:type="dxa"/>
            <w:vAlign w:val="bottom"/>
            <w:gridSpan w:val="4"/>
            <w:vMerge w:val="restart"/>
          </w:tcPr>
          <w:p>
            <w:pPr>
              <w:ind w:left="260"/>
              <w:spacing w:after="0"/>
              <w:rPr>
                <w:sz w:val="20"/>
                <w:szCs w:val="20"/>
                <w:color w:val="auto"/>
              </w:rPr>
            </w:pPr>
            <w:r>
              <w:rPr>
                <w:rFonts w:ascii="Arial" w:cs="Arial" w:eastAsia="Arial" w:hAnsi="Arial"/>
                <w:sz w:val="13"/>
                <w:szCs w:val="13"/>
                <w:color w:val="auto"/>
              </w:rPr>
              <w:t>Class B voting</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color w:val="auto"/>
                <w:w w:val="95"/>
              </w:rPr>
              <w:t>Accumulated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46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gridSpan w:val="2"/>
            <w:vMerge w:val="restart"/>
          </w:tcPr>
          <w:p>
            <w:pPr>
              <w:jc w:val="center"/>
              <w:ind w:right="280"/>
              <w:spacing w:after="0" w:line="126" w:lineRule="exact"/>
              <w:rPr>
                <w:sz w:val="20"/>
                <w:szCs w:val="20"/>
                <w:color w:val="auto"/>
              </w:rPr>
            </w:pPr>
            <w:r>
              <w:rPr>
                <w:rFonts w:ascii="Arial" w:cs="Arial" w:eastAsia="Arial" w:hAnsi="Arial"/>
                <w:sz w:val="13"/>
                <w:szCs w:val="13"/>
                <w:color w:val="auto"/>
                <w:w w:val="94"/>
              </w:rPr>
              <w:t>other</w:t>
            </w: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126" w:lineRule="exact"/>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76"/>
        </w:trPr>
        <w:tc>
          <w:tcPr>
            <w:tcW w:w="4600" w:type="dxa"/>
            <w:vAlign w:val="bottom"/>
          </w:tcPr>
          <w:p>
            <w:pPr>
              <w:spacing w:after="0"/>
              <w:rPr>
                <w:sz w:val="6"/>
                <w:szCs w:val="6"/>
                <w:color w:val="auto"/>
              </w:rPr>
            </w:pPr>
          </w:p>
        </w:tc>
        <w:tc>
          <w:tcPr>
            <w:tcW w:w="1460" w:type="dxa"/>
            <w:vAlign w:val="bottom"/>
            <w:gridSpan w:val="3"/>
            <w:vMerge w:val="restart"/>
          </w:tcPr>
          <w:p>
            <w:pPr>
              <w:ind w:left="340"/>
              <w:spacing w:after="0"/>
              <w:rPr>
                <w:sz w:val="20"/>
                <w:szCs w:val="20"/>
                <w:color w:val="auto"/>
              </w:rPr>
            </w:pPr>
            <w:r>
              <w:rPr>
                <w:rFonts w:ascii="Arial" w:cs="Arial" w:eastAsia="Arial" w:hAnsi="Arial"/>
                <w:sz w:val="13"/>
                <w:szCs w:val="13"/>
                <w:color w:val="auto"/>
              </w:rPr>
              <w:t>common stock</w:t>
            </w:r>
          </w:p>
        </w:tc>
        <w:tc>
          <w:tcPr>
            <w:tcW w:w="60" w:type="dxa"/>
            <w:vAlign w:val="bottom"/>
            <w:vMerge w:val="restart"/>
          </w:tcPr>
          <w:p>
            <w:pPr>
              <w:spacing w:after="0"/>
              <w:rPr>
                <w:sz w:val="6"/>
                <w:szCs w:val="6"/>
                <w:color w:val="auto"/>
              </w:rPr>
            </w:pPr>
          </w:p>
        </w:tc>
        <w:tc>
          <w:tcPr>
            <w:tcW w:w="1320" w:type="dxa"/>
            <w:vAlign w:val="bottom"/>
            <w:gridSpan w:val="3"/>
            <w:vMerge w:val="restart"/>
          </w:tcPr>
          <w:p>
            <w:pPr>
              <w:ind w:left="280"/>
              <w:spacing w:after="0"/>
              <w:rPr>
                <w:sz w:val="20"/>
                <w:szCs w:val="20"/>
                <w:color w:val="auto"/>
              </w:rPr>
            </w:pPr>
            <w:r>
              <w:rPr>
                <w:rFonts w:ascii="Arial" w:cs="Arial" w:eastAsia="Arial" w:hAnsi="Arial"/>
                <w:sz w:val="13"/>
                <w:szCs w:val="13"/>
                <w:color w:val="auto"/>
              </w:rPr>
              <w:t>common stock</w:t>
            </w:r>
          </w:p>
        </w:tc>
        <w:tc>
          <w:tcPr>
            <w:tcW w:w="8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4600" w:type="dxa"/>
            <w:vAlign w:val="bottom"/>
          </w:tcPr>
          <w:p>
            <w:pPr>
              <w:spacing w:after="0"/>
              <w:rPr>
                <w:sz w:val="8"/>
                <w:szCs w:val="8"/>
                <w:color w:val="auto"/>
              </w:rPr>
            </w:pPr>
          </w:p>
        </w:tc>
        <w:tc>
          <w:tcPr>
            <w:tcW w:w="1460" w:type="dxa"/>
            <w:vAlign w:val="bottom"/>
            <w:tcBorders>
              <w:bottom w:val="single" w:sz="8" w:color="auto"/>
            </w:tcBorders>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20" w:type="dxa"/>
            <w:vAlign w:val="bottom"/>
            <w:gridSpan w:val="3"/>
          </w:tcPr>
          <w:p>
            <w:pPr>
              <w:ind w:left="40"/>
              <w:spacing w:after="0" w:line="99" w:lineRule="exact"/>
              <w:rPr>
                <w:sz w:val="20"/>
                <w:szCs w:val="20"/>
                <w:color w:val="auto"/>
              </w:rPr>
            </w:pPr>
            <w:r>
              <w:rPr>
                <w:rFonts w:ascii="Arial" w:cs="Arial" w:eastAsia="Arial" w:hAnsi="Arial"/>
                <w:sz w:val="11"/>
                <w:szCs w:val="11"/>
                <w:color w:val="auto"/>
              </w:rPr>
              <w:t>Additional paid-in</w:t>
            </w:r>
          </w:p>
        </w:tc>
        <w:tc>
          <w:tcPr>
            <w:tcW w:w="960" w:type="dxa"/>
            <w:vAlign w:val="bottom"/>
            <w:gridSpan w:val="3"/>
          </w:tcPr>
          <w:p>
            <w:pPr>
              <w:jc w:val="center"/>
              <w:ind w:right="60"/>
              <w:spacing w:after="0" w:line="99" w:lineRule="exact"/>
              <w:rPr>
                <w:sz w:val="20"/>
                <w:szCs w:val="20"/>
                <w:color w:val="auto"/>
              </w:rPr>
            </w:pPr>
            <w:r>
              <w:rPr>
                <w:rFonts w:ascii="Arial" w:cs="Arial" w:eastAsia="Arial" w:hAnsi="Arial"/>
                <w:sz w:val="11"/>
                <w:szCs w:val="11"/>
                <w:color w:val="auto"/>
              </w:rPr>
              <w:t>comprehensive</w:t>
            </w:r>
          </w:p>
        </w:tc>
        <w:tc>
          <w:tcPr>
            <w:tcW w:w="840" w:type="dxa"/>
            <w:vAlign w:val="bottom"/>
            <w:gridSpan w:val="2"/>
          </w:tcPr>
          <w:p>
            <w:pPr>
              <w:ind w:left="20"/>
              <w:spacing w:after="0" w:line="99" w:lineRule="exact"/>
              <w:rPr>
                <w:sz w:val="20"/>
                <w:szCs w:val="20"/>
                <w:color w:val="auto"/>
              </w:rPr>
            </w:pPr>
            <w:r>
              <w:rPr>
                <w:rFonts w:ascii="Arial" w:cs="Arial" w:eastAsia="Arial" w:hAnsi="Arial"/>
                <w:sz w:val="11"/>
                <w:szCs w:val="11"/>
                <w:color w:val="auto"/>
              </w:rPr>
              <w:t>Accumulated</w:t>
            </w:r>
          </w:p>
        </w:tc>
        <w:tc>
          <w:tcPr>
            <w:tcW w:w="800" w:type="dxa"/>
            <w:vAlign w:val="bottom"/>
          </w:tcPr>
          <w:p>
            <w:pPr>
              <w:jc w:val="center"/>
              <w:spacing w:after="0" w:line="99" w:lineRule="exact"/>
              <w:rPr>
                <w:sz w:val="20"/>
                <w:szCs w:val="20"/>
                <w:color w:val="auto"/>
              </w:rPr>
            </w:pPr>
            <w:r>
              <w:rPr>
                <w:rFonts w:ascii="Arial" w:cs="Arial" w:eastAsia="Arial" w:hAnsi="Arial"/>
                <w:sz w:val="11"/>
                <w:szCs w:val="11"/>
                <w:color w:val="auto"/>
              </w:rPr>
              <w:t>stockholders’</w:t>
            </w: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auto"/>
              </w:rPr>
              <w:t>Amount</w:t>
            </w: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960" w:type="dxa"/>
            <w:vAlign w:val="bottom"/>
            <w:gridSpan w:val="3"/>
          </w:tcPr>
          <w:p>
            <w:pPr>
              <w:jc w:val="center"/>
              <w:ind w:right="80"/>
              <w:spacing w:after="0"/>
              <w:rPr>
                <w:sz w:val="20"/>
                <w:szCs w:val="20"/>
                <w:color w:val="auto"/>
              </w:rPr>
            </w:pPr>
            <w:r>
              <w:rPr>
                <w:rFonts w:ascii="Arial" w:cs="Arial" w:eastAsia="Arial" w:hAnsi="Arial"/>
                <w:sz w:val="13"/>
                <w:szCs w:val="13"/>
                <w:color w:val="auto"/>
                <w:w w:val="93"/>
              </w:rPr>
              <w:t>income (loss)</w:t>
            </w:r>
          </w:p>
        </w:tc>
        <w:tc>
          <w:tcPr>
            <w:tcW w:w="840" w:type="dxa"/>
            <w:vAlign w:val="bottom"/>
            <w:gridSpan w:val="2"/>
          </w:tcPr>
          <w:p>
            <w:pPr>
              <w:ind w:left="200"/>
              <w:spacing w:after="0"/>
              <w:rPr>
                <w:sz w:val="20"/>
                <w:szCs w:val="20"/>
                <w:color w:val="auto"/>
              </w:rPr>
            </w:pPr>
            <w:r>
              <w:rPr>
                <w:rFonts w:ascii="Arial" w:cs="Arial" w:eastAsia="Arial" w:hAnsi="Arial"/>
                <w:sz w:val="13"/>
                <w:szCs w:val="13"/>
                <w:color w:val="auto"/>
              </w:rPr>
              <w:t>deficit</w:t>
            </w:r>
          </w:p>
        </w:tc>
        <w:tc>
          <w:tcPr>
            <w:tcW w:w="800" w:type="dxa"/>
            <w:vAlign w:val="bottom"/>
          </w:tcPr>
          <w:p>
            <w:pPr>
              <w:jc w:val="center"/>
              <w:spacing w:after="0"/>
              <w:rPr>
                <w:sz w:val="20"/>
                <w:szCs w:val="20"/>
                <w:color w:val="auto"/>
              </w:rPr>
            </w:pPr>
            <w:r>
              <w:rPr>
                <w:rFonts w:ascii="Arial" w:cs="Arial" w:eastAsia="Arial" w:hAnsi="Arial"/>
                <w:sz w:val="13"/>
                <w:szCs w:val="13"/>
                <w:color w:val="auto"/>
                <w:w w:val="97"/>
              </w:rPr>
              <w:t>equity</w:t>
            </w:r>
          </w:p>
        </w:tc>
        <w:tc>
          <w:tcPr>
            <w:tcW w:w="0" w:type="dxa"/>
            <w:vAlign w:val="bottom"/>
          </w:tcPr>
          <w:p>
            <w:pPr>
              <w:spacing w:after="0"/>
              <w:rPr>
                <w:sz w:val="1"/>
                <w:szCs w:val="1"/>
                <w:color w:val="auto"/>
              </w:rPr>
            </w:pPr>
          </w:p>
        </w:tc>
      </w:tr>
      <w:tr>
        <w:trPr>
          <w:trHeight w:val="177"/>
        </w:trPr>
        <w:tc>
          <w:tcPr>
            <w:tcW w:w="460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2,575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2,575</w:t>
            </w: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(19,926)</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(19,926)</w:t>
            </w:r>
          </w:p>
        </w:tc>
        <w:tc>
          <w:tcPr>
            <w:tcW w:w="0" w:type="dxa"/>
            <w:vAlign w:val="bottom"/>
          </w:tcPr>
          <w:p>
            <w:pPr>
              <w:spacing w:after="0"/>
              <w:rPr>
                <w:sz w:val="1"/>
                <w:szCs w:val="1"/>
                <w:color w:val="auto"/>
              </w:rPr>
            </w:pPr>
          </w:p>
        </w:tc>
      </w:tr>
      <w:tr>
        <w:trPr>
          <w:trHeight w:val="16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December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22,413,004</w:t>
            </w: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6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2,496,125</w:t>
            </w: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451,463</w:t>
            </w:r>
          </w:p>
        </w:tc>
        <w:tc>
          <w:tcPr>
            <w:tcW w:w="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27,941</w:t>
            </w:r>
          </w:p>
        </w:tc>
        <w:tc>
          <w:tcPr>
            <w:tcW w:w="8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(49,505)</w:t>
            </w:r>
          </w:p>
        </w:tc>
        <w:tc>
          <w:tcPr>
            <w:tcW w:w="8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429,923</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debt conversion option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66,908</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66,908</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Debt conversion option issuance costs, net of tax</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(2,049)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(2,049)</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Capped call option purchase price</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(25,500)</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Exercises of vested stock options</w:t>
            </w:r>
          </w:p>
        </w:tc>
        <w:tc>
          <w:tcPr>
            <w:tcW w:w="720" w:type="dxa"/>
            <w:vAlign w:val="bottom"/>
          </w:tcPr>
          <w:p>
            <w:pPr>
              <w:jc w:val="right"/>
              <w:spacing w:after="0"/>
              <w:rPr>
                <w:sz w:val="20"/>
                <w:szCs w:val="20"/>
                <w:color w:val="auto"/>
              </w:rPr>
            </w:pPr>
            <w:r>
              <w:rPr>
                <w:rFonts w:ascii="Arial" w:cs="Arial" w:eastAsia="Arial" w:hAnsi="Arial"/>
                <w:sz w:val="13"/>
                <w:szCs w:val="13"/>
                <w:color w:val="auto"/>
              </w:rPr>
              <w:t>57,817</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141,707</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Equity awards withheld for tax liability</w:t>
            </w:r>
          </w:p>
        </w:tc>
        <w:tc>
          <w:tcPr>
            <w:tcW w:w="720" w:type="dxa"/>
            <w:vAlign w:val="bottom"/>
          </w:tcPr>
          <w:p>
            <w:pPr>
              <w:jc w:val="right"/>
              <w:spacing w:after="0"/>
              <w:rPr>
                <w:sz w:val="20"/>
                <w:szCs w:val="20"/>
                <w:color w:val="auto"/>
              </w:rPr>
            </w:pPr>
            <w:r>
              <w:rPr>
                <w:rFonts w:ascii="Arial" w:cs="Arial" w:eastAsia="Arial" w:hAnsi="Arial"/>
                <w:sz w:val="13"/>
                <w:szCs w:val="13"/>
                <w:color w:val="auto"/>
              </w:rPr>
              <w:t>(19,879)</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(3,187)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(3,187)</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Class B voting common stock to Class A voting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280,955</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(280,955)</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(23,185)</w:t>
            </w:r>
          </w:p>
        </w:tc>
        <w:tc>
          <w:tcPr>
            <w:tcW w:w="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(23,185)</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4,390</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(5,316)</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(5,316)</w:t>
            </w: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22,873,604</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2,215,170</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492,778</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4,756</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(54,821)</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442,738</w:t>
            </w:r>
          </w:p>
        </w:tc>
        <w:tc>
          <w:tcPr>
            <w:tcW w:w="0" w:type="dxa"/>
            <w:vAlign w:val="bottom"/>
          </w:tcPr>
          <w:p>
            <w:pPr>
              <w:spacing w:after="0"/>
              <w:rPr>
                <w:sz w:val="1"/>
                <w:szCs w:val="1"/>
                <w:color w:val="auto"/>
              </w:rPr>
            </w:pPr>
          </w:p>
        </w:tc>
      </w:tr>
      <w:tr>
        <w:trPr>
          <w:trHeight w:val="167"/>
        </w:trPr>
        <w:tc>
          <w:tcPr>
            <w:tcW w:w="4600" w:type="dxa"/>
            <w:vAlign w:val="bottom"/>
          </w:tcPr>
          <w:p>
            <w:pPr>
              <w:ind w:left="20"/>
              <w:spacing w:after="0"/>
              <w:rPr>
                <w:sz w:val="20"/>
                <w:szCs w:val="20"/>
                <w:color w:val="auto"/>
              </w:rPr>
            </w:pPr>
            <w:r>
              <w:rPr>
                <w:rFonts w:ascii="Arial" w:cs="Arial" w:eastAsia="Arial" w:hAnsi="Arial"/>
                <w:sz w:val="13"/>
                <w:szCs w:val="13"/>
                <w:color w:val="auto"/>
              </w:rPr>
              <w:t>Debt conversion option issuance costs, net of tax</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Exercises of vested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4,406</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720" w:type="dxa"/>
            <w:vAlign w:val="bottom"/>
          </w:tcPr>
          <w:p>
            <w:pPr>
              <w:jc w:val="right"/>
              <w:spacing w:after="0"/>
              <w:rPr>
                <w:sz w:val="20"/>
                <w:szCs w:val="20"/>
                <w:color w:val="auto"/>
              </w:rPr>
            </w:pPr>
            <w:r>
              <w:rPr>
                <w:rFonts w:ascii="Arial" w:cs="Arial" w:eastAsia="Arial" w:hAnsi="Arial"/>
                <w:sz w:val="13"/>
                <w:szCs w:val="13"/>
                <w:color w:val="auto"/>
              </w:rPr>
              <w:t>15,605</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awards withheld for tax liability</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6,015</w:t>
            </w:r>
          </w:p>
        </w:tc>
        <w:tc>
          <w:tcPr>
            <w:tcW w:w="8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6,015</w:t>
            </w:r>
          </w:p>
        </w:tc>
        <w:tc>
          <w:tcPr>
            <w:tcW w:w="0" w:type="dxa"/>
            <w:vAlign w:val="bottom"/>
          </w:tcPr>
          <w:p>
            <w:pPr>
              <w:spacing w:after="0"/>
              <w:rPr>
                <w:sz w:val="1"/>
                <w:szCs w:val="1"/>
                <w:color w:val="auto"/>
              </w:rPr>
            </w:pPr>
          </w:p>
        </w:tc>
      </w:tr>
      <w:tr>
        <w:trPr>
          <w:trHeight w:val="179"/>
        </w:trPr>
        <w:tc>
          <w:tcPr>
            <w:tcW w:w="4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3,377</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3,377</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Net loss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(6,928)</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(6,928)</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June 30,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22,891,667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2,215,170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495,966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(61,749)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445,013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2"/>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5"/>
                <w:szCs w:val="15"/>
                <w:color w:val="auto"/>
              </w:rPr>
              <w:t>Net loss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(21,699)</w:t>
            </w:r>
          </w:p>
        </w:tc>
        <w:tc>
          <w:tcPr>
            <w:tcW w:w="10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(12,244)</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(used in) provided by 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2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6,640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18,245</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Right-of-use asset amortization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2,785</w:t>
            </w:r>
          </w:p>
        </w:tc>
        <w:tc>
          <w:tcPr>
            <w:tcW w:w="0" w:type="dxa"/>
            <w:vAlign w:val="bottom"/>
          </w:tcPr>
          <w:p>
            <w:pPr>
              <w:spacing w:after="0"/>
              <w:rPr>
                <w:sz w:val="1"/>
                <w:szCs w:val="1"/>
                <w:color w:val="auto"/>
              </w:rPr>
            </w:pPr>
          </w:p>
        </w:tc>
      </w:tr>
      <w:tr>
        <w:trPr>
          <w:trHeight w:val="199"/>
        </w:trPr>
        <w:tc>
          <w:tcPr>
            <w:tcW w:w="8020" w:type="dxa"/>
            <w:vAlign w:val="bottom"/>
          </w:tcPr>
          <w:p>
            <w:pPr>
              <w:ind w:left="320"/>
              <w:spacing w:after="0"/>
              <w:rPr>
                <w:sz w:val="20"/>
                <w:szCs w:val="20"/>
                <w:color w:val="auto"/>
              </w:rPr>
            </w:pPr>
            <w:r>
              <w:rPr>
                <w:rFonts w:ascii="Arial" w:cs="Arial" w:eastAsia="Arial" w:hAnsi="Arial"/>
                <w:sz w:val="15"/>
                <w:szCs w:val="15"/>
                <w:color w:val="auto"/>
              </w:rPr>
              <w:t>Amortization of debt discount and issuance costs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12,308</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Stock-based compensation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7,767</w:t>
            </w:r>
          </w:p>
        </w:tc>
        <w:tc>
          <w:tcPr>
            <w:tcW w:w="0" w:type="dxa"/>
            <w:vAlign w:val="bottom"/>
          </w:tcPr>
          <w:p>
            <w:pPr>
              <w:spacing w:after="0"/>
              <w:rPr>
                <w:sz w:val="1"/>
                <w:szCs w:val="1"/>
                <w:color w:val="auto"/>
              </w:rPr>
            </w:pPr>
          </w:p>
        </w:tc>
      </w:tr>
      <w:tr>
        <w:trPr>
          <w:trHeight w:val="199"/>
        </w:trPr>
        <w:tc>
          <w:tcPr>
            <w:tcW w:w="8020" w:type="dxa"/>
            <w:vAlign w:val="bottom"/>
          </w:tcPr>
          <w:p>
            <w:pPr>
              <w:ind w:left="320"/>
              <w:spacing w:after="0"/>
              <w:rPr>
                <w:sz w:val="20"/>
                <w:szCs w:val="20"/>
                <w:color w:val="auto"/>
              </w:rPr>
            </w:pPr>
            <w:r>
              <w:rPr>
                <w:rFonts w:ascii="Arial" w:cs="Arial" w:eastAsia="Arial" w:hAnsi="Arial"/>
                <w:sz w:val="15"/>
                <w:szCs w:val="15"/>
                <w:color w:val="auto"/>
              </w:rPr>
              <w:t>Deferred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14,254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on disposal of property and equipment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199"/>
        </w:trPr>
        <w:tc>
          <w:tcPr>
            <w:tcW w:w="8020" w:type="dxa"/>
            <w:vAlign w:val="bottom"/>
          </w:tcPr>
          <w:p>
            <w:pPr>
              <w:ind w:left="320"/>
              <w:spacing w:after="0"/>
              <w:rPr>
                <w:sz w:val="20"/>
                <w:szCs w:val="20"/>
                <w:color w:val="auto"/>
              </w:rPr>
            </w:pPr>
            <w:r>
              <w:rPr>
                <w:rFonts w:ascii="Arial" w:cs="Arial" w:eastAsia="Arial" w:hAnsi="Arial"/>
                <w:sz w:val="15"/>
                <w:szCs w:val="15"/>
                <w:color w:val="auto"/>
              </w:rPr>
              <w:t>Changes in operating assets and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Accounts receivable, net of allowances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(8,159)</w:t>
            </w:r>
          </w:p>
        </w:tc>
        <w:tc>
          <w:tcPr>
            <w:tcW w:w="0" w:type="dxa"/>
            <w:vAlign w:val="bottom"/>
          </w:tcPr>
          <w:p>
            <w:pPr>
              <w:spacing w:after="0"/>
              <w:rPr>
                <w:sz w:val="1"/>
                <w:szCs w:val="1"/>
                <w:color w:val="auto"/>
              </w:rPr>
            </w:pPr>
          </w:p>
        </w:tc>
      </w:tr>
      <w:tr>
        <w:trPr>
          <w:trHeight w:val="199"/>
        </w:trPr>
        <w:tc>
          <w:tcPr>
            <w:tcW w:w="8020" w:type="dxa"/>
            <w:vAlign w:val="bottom"/>
          </w:tcPr>
          <w:p>
            <w:pPr>
              <w:ind w:left="620"/>
              <w:spacing w:after="0"/>
              <w:rPr>
                <w:sz w:val="20"/>
                <w:szCs w:val="20"/>
                <w:color w:val="auto"/>
              </w:rPr>
            </w:pPr>
            <w:r>
              <w:rPr>
                <w:rFonts w:ascii="Arial" w:cs="Arial" w:eastAsia="Arial" w:hAnsi="Arial"/>
                <w:sz w:val="15"/>
                <w:szCs w:val="15"/>
                <w:color w:val="auto"/>
              </w:rPr>
              <w:t>Deferred costs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(757)</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Prepaid expenses and other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(3,729)</w:t>
            </w:r>
          </w:p>
        </w:tc>
        <w:tc>
          <w:tcPr>
            <w:tcW w:w="0" w:type="dxa"/>
            <w:vAlign w:val="bottom"/>
          </w:tcPr>
          <w:p>
            <w:pPr>
              <w:spacing w:after="0"/>
              <w:rPr>
                <w:sz w:val="1"/>
                <w:szCs w:val="1"/>
                <w:color w:val="auto"/>
              </w:rPr>
            </w:pPr>
          </w:p>
        </w:tc>
      </w:tr>
      <w:tr>
        <w:trPr>
          <w:trHeight w:val="199"/>
        </w:trPr>
        <w:tc>
          <w:tcPr>
            <w:tcW w:w="8020" w:type="dxa"/>
            <w:vAlign w:val="bottom"/>
          </w:tcPr>
          <w:p>
            <w:pPr>
              <w:ind w:left="620"/>
              <w:spacing w:after="0"/>
              <w:rPr>
                <w:sz w:val="20"/>
                <w:szCs w:val="20"/>
                <w:color w:val="auto"/>
              </w:rPr>
            </w:pPr>
            <w:r>
              <w:rPr>
                <w:rFonts w:ascii="Arial" w:cs="Arial" w:eastAsia="Arial" w:hAnsi="Arial"/>
                <w:sz w:val="15"/>
                <w:szCs w:val="15"/>
                <w:color w:val="auto"/>
              </w:rPr>
              <w:t>Accounts payable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1,118</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Accrued expenses and other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(6,348)</w:t>
            </w:r>
          </w:p>
        </w:tc>
        <w:tc>
          <w:tcPr>
            <w:tcW w:w="0" w:type="dxa"/>
            <w:vAlign w:val="bottom"/>
          </w:tcPr>
          <w:p>
            <w:pPr>
              <w:spacing w:after="0"/>
              <w:rPr>
                <w:sz w:val="1"/>
                <w:szCs w:val="1"/>
                <w:color w:val="auto"/>
              </w:rPr>
            </w:pPr>
          </w:p>
        </w:tc>
      </w:tr>
      <w:tr>
        <w:trPr>
          <w:trHeight w:val="199"/>
        </w:trPr>
        <w:tc>
          <w:tcPr>
            <w:tcW w:w="8020" w:type="dxa"/>
            <w:vAlign w:val="bottom"/>
          </w:tcPr>
          <w:p>
            <w:pPr>
              <w:ind w:left="620"/>
              <w:spacing w:after="0"/>
              <w:rPr>
                <w:sz w:val="20"/>
                <w:szCs w:val="20"/>
                <w:color w:val="auto"/>
              </w:rPr>
            </w:pPr>
            <w:r>
              <w:rPr>
                <w:rFonts w:ascii="Arial" w:cs="Arial" w:eastAsia="Arial" w:hAnsi="Arial"/>
                <w:sz w:val="15"/>
                <w:szCs w:val="15"/>
                <w:color w:val="auto"/>
              </w:rPr>
              <w:t>Deferred revenue and advanced billings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Operating right-of-use liability</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(2,850)</w:t>
            </w:r>
          </w:p>
        </w:tc>
        <w:tc>
          <w:tcPr>
            <w:tcW w:w="0" w:type="dxa"/>
            <w:vAlign w:val="bottom"/>
          </w:tcPr>
          <w:p>
            <w:pPr>
              <w:spacing w:after="0"/>
              <w:rPr>
                <w:sz w:val="1"/>
                <w:szCs w:val="1"/>
                <w:color w:val="auto"/>
              </w:rPr>
            </w:pPr>
          </w:p>
        </w:tc>
      </w:tr>
      <w:tr>
        <w:trPr>
          <w:trHeight w:val="19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(used in) provided by operating activities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8,845</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5"/>
                <w:szCs w:val="15"/>
                <w:color w:val="auto"/>
              </w:rPr>
              <w:t>Purchase of property and equipment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(10,703)</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Capitalized software development costs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(2,404)</w:t>
            </w: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5"/>
                <w:szCs w:val="15"/>
                <w:color w:val="auto"/>
              </w:rPr>
              <w:t>Purchase of land</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(30,017)</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sale of land</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17,462</w:t>
            </w: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5"/>
                <w:szCs w:val="15"/>
                <w:color w:val="auto"/>
              </w:rPr>
              <w:t>Purchase of other investments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(230,780)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sales and maturities of other investments</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0" w:type="dxa"/>
            <w:vAlign w:val="bottom"/>
          </w:tcPr>
          <w:p>
            <w:pPr>
              <w:spacing w:after="0"/>
              <w:rPr>
                <w:sz w:val="1"/>
                <w:szCs w:val="1"/>
                <w:color w:val="auto"/>
              </w:rPr>
            </w:pPr>
          </w:p>
        </w:tc>
      </w:tr>
      <w:tr>
        <w:trPr>
          <w:trHeight w:val="19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(used in) provided by investing activities</w:t>
            </w: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(239,828)</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14,338</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5"/>
                <w:szCs w:val="15"/>
                <w:color w:val="auto"/>
              </w:rPr>
              <w:t>Payments on finance leases</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issuance of convertible senior notes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5"/>
                <w:szCs w:val="15"/>
                <w:color w:val="auto"/>
              </w:rPr>
              <w:t>Payment of debt issuance costs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(11,965)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(7,544)</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of capped call</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(25,500)</w:t>
            </w: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5"/>
                <w:szCs w:val="15"/>
                <w:color w:val="auto"/>
              </w:rPr>
              <w:t>Proceeds from exercises of stock options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802</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Value of equity awards withheld for tax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(3,456)</w:t>
            </w:r>
          </w:p>
        </w:tc>
        <w:tc>
          <w:tcPr>
            <w:tcW w:w="0" w:type="dxa"/>
            <w:vAlign w:val="bottom"/>
          </w:tcPr>
          <w:p>
            <w:pPr>
              <w:spacing w:after="0"/>
              <w:rPr>
                <w:sz w:val="1"/>
                <w:szCs w:val="1"/>
                <w:color w:val="auto"/>
              </w:rPr>
            </w:pPr>
          </w:p>
        </w:tc>
      </w:tr>
      <w:tr>
        <w:trPr>
          <w:trHeight w:val="19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347,057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214,197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5"/>
                <w:szCs w:val="15"/>
                <w:color w:val="auto"/>
              </w:rPr>
              <w:t>Net increase in cash, cash equivalents, and restricted cash</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106,905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237,584</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185,004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81,437</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291,909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319,021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interest</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Cash (refunded) paid for taxes,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20" w:type="dxa"/>
            <w:vAlign w:val="bottom"/>
            <w:vMerge w:val="continue"/>
          </w:tcPr>
          <w:p>
            <w:pPr>
              <w:spacing w:after="0"/>
              <w:rPr>
                <w:sz w:val="13"/>
                <w:szCs w:val="13"/>
                <w:color w:val="auto"/>
              </w:rPr>
            </w:pPr>
          </w:p>
        </w:tc>
        <w:tc>
          <w:tcPr>
            <w:tcW w:w="360" w:type="dxa"/>
            <w:vAlign w:val="bottom"/>
            <w:tcBorders>
              <w:bottom w:val="single" w:sz="8" w:color="auto"/>
            </w:tcBorders>
          </w:tcPr>
          <w:p>
            <w:pPr>
              <w:jc w:val="right"/>
              <w:ind w:right="184"/>
              <w:spacing w:after="0" w:line="150" w:lineRule="exact"/>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5"/>
                <w:szCs w:val="15"/>
                <w:color w:val="auto"/>
              </w:rPr>
              <w:t>(154)</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184"/>
              <w:spacing w:after="0" w:line="150" w:lineRule="exact"/>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 accrued but not paid</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5092700</wp:posOffset>
            </wp:positionH>
            <wp:positionV relativeFrom="paragraph">
              <wp:posOffset>176530</wp:posOffset>
            </wp:positionV>
            <wp:extent cx="2049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978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Pr>
          <w:p>
            <w:pPr>
              <w:ind w:left="20"/>
              <w:spacing w:after="0"/>
              <w:rPr>
                <w:sz w:val="20"/>
                <w:szCs w:val="20"/>
                <w:color w:val="auto"/>
              </w:rPr>
            </w:pPr>
            <w:r>
              <w:rPr>
                <w:rFonts w:ascii="Arial" w:cs="Arial" w:eastAsia="Arial" w:hAnsi="Arial"/>
                <w:sz w:val="15"/>
                <w:szCs w:val="15"/>
                <w:color w:val="auto"/>
              </w:rPr>
              <w:t>Obligation included in basis of acquired land</w:t>
            </w:r>
          </w:p>
        </w:tc>
        <w:tc>
          <w:tcPr>
            <w:tcW w:w="6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7,752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 incentive</w:t>
            </w:r>
          </w:p>
        </w:tc>
        <w:tc>
          <w:tcPr>
            <w:tcW w:w="68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20"/>
              <w:spacing w:after="0"/>
              <w:rPr>
                <w:sz w:val="20"/>
                <w:szCs w:val="20"/>
                <w:color w:val="auto"/>
              </w:rPr>
            </w:pPr>
            <w:r>
              <w:rPr>
                <w:rFonts w:ascii="Arial" w:cs="Arial" w:eastAsia="Arial" w:hAnsi="Arial"/>
                <w:sz w:val="15"/>
                <w:szCs w:val="15"/>
                <w:color w:val="auto"/>
              </w:rPr>
              <w:t>Obligation included in basis of land acquired by the Developer</w:t>
            </w: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020" w:type="dxa"/>
            <w:vAlign w:val="bottom"/>
            <w:vMerge w:val="continue"/>
          </w:tcPr>
          <w:p>
            <w:pPr>
              <w:spacing w:after="0"/>
              <w:rPr>
                <w:sz w:val="12"/>
                <w:szCs w:val="12"/>
                <w:color w:val="auto"/>
              </w:rPr>
            </w:pPr>
          </w:p>
        </w:tc>
        <w:tc>
          <w:tcPr>
            <w:tcW w:w="680" w:type="dxa"/>
            <w:vAlign w:val="bottom"/>
          </w:tcPr>
          <w:p>
            <w:pPr>
              <w:jc w:val="right"/>
              <w:ind w:right="504"/>
              <w:spacing w:after="0" w:line="147" w:lineRule="exact"/>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160"/>
              <w:spacing w:after="0" w:line="147" w:lineRule="exact"/>
              <w:rPr>
                <w:sz w:val="20"/>
                <w:szCs w:val="20"/>
                <w:color w:val="auto"/>
              </w:rPr>
            </w:pPr>
            <w:r>
              <w:rPr>
                <w:rFonts w:ascii="Arial" w:cs="Arial" w:eastAsia="Arial" w:hAnsi="Arial"/>
                <w:sz w:val="15"/>
                <w:szCs w:val="15"/>
                <w:color w:val="auto"/>
              </w:rPr>
              <w:t>—</w:t>
            </w:r>
          </w:p>
        </w:tc>
        <w:tc>
          <w:tcPr>
            <w:tcW w:w="620" w:type="dxa"/>
            <w:vAlign w:val="bottom"/>
          </w:tcPr>
          <w:p>
            <w:pPr>
              <w:jc w:val="right"/>
              <w:ind w:right="444"/>
              <w:spacing w:after="0" w:line="147"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line="147" w:lineRule="exact"/>
              <w:rPr>
                <w:sz w:val="20"/>
                <w:szCs w:val="20"/>
                <w:color w:val="auto"/>
              </w:rPr>
            </w:pPr>
            <w:r>
              <w:rPr>
                <w:rFonts w:ascii="Arial" w:cs="Arial" w:eastAsia="Arial" w:hAnsi="Arial"/>
                <w:sz w:val="15"/>
                <w:szCs w:val="15"/>
                <w:color w:val="auto"/>
              </w:rPr>
              <w:t>4,512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Equity awards withheld for tax liabilities, accrued but not paid</w:t>
            </w:r>
          </w:p>
        </w:tc>
        <w:tc>
          <w:tcPr>
            <w:tcW w:w="68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63"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Bandwidth Inc. (together with its subsidiaries, “Bandwidth” or the “Company”) was founded in July 2000 and incorporated in Delaware on March 29, 2001. The Company’s headquarters are located in Raleigh, North Carolina. The Company is an international cloud-based, software-powered communications platform-as-a-service (“CPaaS”) provider that enables enterprises to create, scale and operate voice or messaging communications services across any mobile application or connected device.</w:t>
      </w:r>
    </w:p>
    <w:p>
      <w:pPr>
        <w:spacing w:after="0" w:line="115"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19" w:lineRule="exact"/>
        <w:rPr>
          <w:sz w:val="20"/>
          <w:szCs w:val="20"/>
          <w:color w:val="auto"/>
        </w:rPr>
      </w:pPr>
    </w:p>
    <w:p>
      <w:pPr>
        <w:jc w:val="both"/>
        <w:ind w:firstLine="605"/>
        <w:spacing w:after="0" w:line="269" w:lineRule="auto"/>
        <w:rPr>
          <w:sz w:val="20"/>
          <w:szCs w:val="20"/>
          <w:color w:val="auto"/>
        </w:rPr>
      </w:pPr>
      <w:r>
        <w:rPr>
          <w:rFonts w:ascii="Arial" w:cs="Arial" w:eastAsia="Arial" w:hAnsi="Arial"/>
          <w:sz w:val="17"/>
          <w:szCs w:val="17"/>
          <w:color w:val="auto"/>
        </w:rPr>
        <w:t>On November 2, 2020, the Company acquired all of the A Ordinary Shares, B Ordinary Shares and C Ordinary Shares of Voice Topco through a Share Purchase Agreement. Voice Topco directly or indirectly held all of the issued and outstanding shares of Voxbone S.A., which (with its subsidiaries) was the operating subsidiary of Voice Topco (“Voxbone)”. The transaction was valued at €446 million. As consideration for the Share Purchase, the Company (i) paid the selling stockholders approximately $400 million (or approximately €338 million based on prevailing exchange rates at the close of business on October 9, 2020) at the Closing and (ii) issued to the selling stockholders at the Closing shares of the Company’s Class A common stock, with an aggregate value of approximately €108 million (or approximately $128 million based on prevailing exchange rates at the close of business on October 9, 2020). Due to the timing and magnitude of the transaction and multi-jurisdictional nature of the net assets acquired, initial accounting for the acquisition is not complete, and further measurement adjustments may occur in fiscal year 2021. The Company will reflect measurement period adjustments in the period in which the adjustments are determined.</w:t>
      </w:r>
    </w:p>
    <w:p>
      <w:pPr>
        <w:spacing w:after="0" w:line="331" w:lineRule="exact"/>
        <w:rPr>
          <w:sz w:val="20"/>
          <w:szCs w:val="20"/>
          <w:color w:val="auto"/>
        </w:rPr>
      </w:pPr>
    </w:p>
    <w:p>
      <w:pPr>
        <w:ind w:left="460" w:right="7580" w:hanging="459"/>
        <w:spacing w:after="0" w:line="426" w:lineRule="auto"/>
        <w:tabs>
          <w:tab w:leader="none" w:pos="19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605"/>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March 1, 2021.</w:t>
      </w:r>
    </w:p>
    <w:p>
      <w:pPr>
        <w:spacing w:after="0" w:line="12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but does not include all disclosures, including certain notes required by GAAP on an annual reporting basis.</w:t>
      </w:r>
    </w:p>
    <w:p>
      <w:pPr>
        <w:spacing w:after="0" w:line="97"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year 2021 or any future period.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6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condensed consolidated financial statements include the accounts of Bandwidth Inc. and its wholly owned subsidiaries. All intercompany accounts and transactions have been eliminated in consolidation.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3" w:lineRule="exact"/>
        <w:rPr>
          <w:sz w:val="20"/>
          <w:szCs w:val="20"/>
          <w:color w:val="auto"/>
        </w:rPr>
      </w:pPr>
    </w:p>
    <w:p>
      <w:pPr>
        <w:jc w:val="both"/>
        <w:ind w:firstLine="605"/>
        <w:spacing w:after="0" w:line="252"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the Company to make estimates and judgments that affect the amounts reported in these financial statements and accompanying notes. These estimates in the condensed consolidated financial statements include, but are not limited to, allowance for doubtful accounts, reserve for expected credit losses, reserve for sales credits, recoverability of long lived and intangible assets, fair value of acquired intangible assets and goodwill, discount rates used in the valuation of right-of-use assets and lease liabilities, the fair value of the liability and equity components of the Company’s Convertible Notes (as defined herein), estimated period of benefit, valuation allowances on deferred tax assets, certain accrued expenses and contingencies, economic and demographic actuarial assumptions related to pension and other postretirement benefit costs and liabilities, estimated cash flows on asset retirement obligation. Although the Company believes that the estimates it uses are reasonable, due to the inherent uncertainty involved in making these estimates, actual results reported in future periods could differ from those estimates.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3" w:lineRule="exact"/>
        <w:rPr>
          <w:sz w:val="20"/>
          <w:szCs w:val="20"/>
          <w:color w:val="auto"/>
        </w:rPr>
      </w:pPr>
    </w:p>
    <w:p>
      <w:pPr>
        <w:jc w:val="both"/>
        <w:ind w:firstLine="605"/>
        <w:spacing w:after="0" w:line="257" w:lineRule="auto"/>
        <w:rPr>
          <w:sz w:val="20"/>
          <w:szCs w:val="20"/>
          <w:color w:val="auto"/>
        </w:rPr>
      </w:pPr>
      <w:r>
        <w:rPr>
          <w:rFonts w:ascii="Arial" w:cs="Arial" w:eastAsia="Arial" w:hAnsi="Arial"/>
          <w:sz w:val="17"/>
          <w:szCs w:val="17"/>
          <w:color w:val="auto"/>
        </w:rPr>
        <w:t>The Company classifies all highly liquid investments with original stated maturities of three months or less from the date of purchase as cash equivalents. All highly liquid investments with original stated maturities of greater than three months from the date of purchase are classified as current marketable securities, with the exception of time deposits with maturities greater than ninety days which are classified as other investments. Cash deposits are primarily in financial institutions in the United States. However, cash for monthly operating costs of international operations are deposited in banks outside the United States. The Company has a policy of making investments only with commercial institutions that have at least an investment grade credit rating. The Company utilizes money market funds as an investment option and only invests in AAA rated funds.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Cash</w:t>
      </w:r>
    </w:p>
    <w:p>
      <w:pPr>
        <w:spacing w:after="0" w:line="16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Restricted cash consists primarily of the holdback amount and its accrued interest remaining to be paid to the selling stockholders of Voxbone, employee withholding tax liability and employee benefits contributions not yet remitted. The Company has classified this asset as a short-term asset in order to match the expected period of restriction.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 and Current Expected Credit Losses</w:t>
      </w:r>
    </w:p>
    <w:p>
      <w:pPr>
        <w:spacing w:after="0" w:line="163"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Accounts receivable are stated at realizable value, net of allowances, which includes an allowance for doubtful accounts and a reserve for expected credit losses. The allowance for doubtful accounts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trade accounts receivable and determined that allowances of approximately $1,203 and $1,364 for uncollectible accounts and customer balances that are disputed were required as of December 31, 2020 and June 30, 2021, respectively. Refer to Note 4, “Financial Statement Components” to these condensed consolidated financial statements, for a rollforward of the components of the allowances as of December 31, 2020 and June 30, 2021.</w:t>
      </w:r>
    </w:p>
    <w:p>
      <w:pPr>
        <w:spacing w:after="0" w:line="107"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Company includes unbilled receivables in its accounts receivable balance. Generally, these receivables represent earned revenue from services provided to customers, which will be billed in the next billing cycle. All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amounts are considered collectible and billable. As of December 31, 2020 and June 30, 2021, unbilled receivables were $27,692 and $31,749,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Financial instruments that are exposed to concentration of credit risk consist primarily of cash and cash equivalents, other investments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11"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2020, one individual customer represented approximately 11% of the Company’s accounts receivable, net of allowance for doubtful accounts. As of June 30, 2021, no individual customer represented more than 10% of the Company’s accounts receivable, net of allowance for doubtful accounts.</w:t>
      </w:r>
    </w:p>
    <w:p>
      <w:pPr>
        <w:spacing w:after="0" w:line="86"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For the three and six months ended June 30, 2020, one individual customer represented approximately 10% of the Company’s revenue. For the three and six months ended June 30, 2021, no individual customer represented more than 10% of the Company’s revenue.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Issuance Costs</w:t>
      </w:r>
    </w:p>
    <w:p>
      <w:pPr>
        <w:spacing w:after="0" w:line="163"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The Company incurs debt issuance costs associated with obtaining and entering into credit agreements, including the issuances of convertible notes. These costs customarily include non-refundable structuring fees, commitment fees, up-front fees and syndication expenses. The Company has a policy of deferring and amortizing these costs based on the effective interest method over the term of the credit agreements.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63" w:lineRule="exact"/>
        <w:rPr>
          <w:sz w:val="20"/>
          <w:szCs w:val="20"/>
          <w:color w:val="auto"/>
        </w:rPr>
      </w:pPr>
    </w:p>
    <w:p>
      <w:pPr>
        <w:jc w:val="both"/>
        <w:ind w:firstLine="605"/>
        <w:spacing w:after="0" w:line="296"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740): Simplifying the Accounting for Income Taxes</w:t>
      </w:r>
      <w:r>
        <w:rPr>
          <w:rFonts w:ascii="Arial" w:cs="Arial" w:eastAsia="Arial" w:hAnsi="Arial"/>
          <w:sz w:val="16"/>
          <w:szCs w:val="16"/>
          <w:color w:val="auto"/>
        </w:rPr>
        <w:t>, which is intended to simplify various aspects related to accounting for income taxes. ASU</w:t>
      </w:r>
      <w:r>
        <w:rPr>
          <w:rFonts w:ascii="Arial" w:cs="Arial" w:eastAsia="Arial" w:hAnsi="Arial"/>
          <w:sz w:val="16"/>
          <w:szCs w:val="16"/>
          <w:i w:val="1"/>
          <w:iCs w:val="1"/>
          <w:color w:val="auto"/>
        </w:rPr>
        <w:t xml:space="preserve"> </w:t>
      </w:r>
      <w:r>
        <w:rPr>
          <w:rFonts w:ascii="Arial" w:cs="Arial" w:eastAsia="Arial" w:hAnsi="Arial"/>
          <w:sz w:val="16"/>
          <w:szCs w:val="16"/>
          <w:color w:val="auto"/>
        </w:rPr>
        <w:t>2019-12 removes certain exceptions to the general principles in Topic 740 and also clarifies and amends existing guidance to improve consistent application. ASU 2019-12 is effective for fiscal years, and interim periods within those fiscal years, beginning after December 15, 2020. The Company adopted this standard on January 1, 2021 on a prospective basis, which did not have a material impact on the Company’s financial statements.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63"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Compensation--Stock Compensation (Topic 718), and Derivatives and Hedging--Contracts in Entity's Own Equity (Subtopic 815-40)</w:t>
      </w:r>
      <w:r>
        <w:rPr>
          <w:rFonts w:ascii="Arial" w:cs="Arial" w:eastAsia="Arial" w:hAnsi="Arial"/>
          <w:sz w:val="17"/>
          <w:szCs w:val="17"/>
          <w:color w:val="auto"/>
        </w:rPr>
        <w:t>, which is 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to provide clarity surrounding the treatment for a modification or an exchange of a freestanding equity-classified written call option. The amendments also provide guidance for the recognition and measurement of EPS for certain modifications or exchanges of freestanding equity-classified written call options for entities that present EPS. The amendments do not affect a holder’s accounting for freestanding call options. ASU 2021-04 is effective for fiscal years beginning after December 15, 2021, including interim periods within those fiscal years. Early adoptions is permitted, including adoption in an interim period. The Company did not have any modification or exchanges of freestanding written call options classified in equity during the reporting period and does not expect adoption will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 Contracts in Entity's Own Equity (Subtopic 815-40)</w:t>
      </w:r>
      <w:r>
        <w:rPr>
          <w:rFonts w:ascii="Arial" w:cs="Arial" w:eastAsia="Arial" w:hAnsi="Arial"/>
          <w:sz w:val="17"/>
          <w:szCs w:val="17"/>
          <w:color w:val="auto"/>
        </w:rPr>
        <w:t>, which is intended to address issues identified as a result of the complexity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(EPS) guidance on the basis of feedback from financial statement users. ASU 2020-06 is effective for fiscal years, and interim periods within those fiscal years, beginning after December 15, 2021. Early adoption is permitted, but no earlier than fiscal years beginning after December 15, 2020, including interim periods within those fiscal years. The Company is evaluating the effect of adopting this new accounting guidance on its financial statements and earnings per share calculations.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6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carrying amounts of cash and cash equivalents, other investments, accounts receivable, accounts payable and accrued expenses approximate fair value as of December 31, 2020 and June 30, 2021 because of the relatively short duration of these instruments.</w:t>
      </w:r>
    </w:p>
    <w:p>
      <w:pPr>
        <w:spacing w:after="0" w:line="97"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w:t>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assets measured at fair value as of December 31, 2020 and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60" w:type="dxa"/>
            <w:vAlign w:val="bottom"/>
            <w:gridSpan w:val="9"/>
          </w:tcPr>
          <w:p>
            <w:pPr>
              <w:jc w:val="center"/>
              <w:ind w:left="456"/>
              <w:spacing w:after="0"/>
              <w:rPr>
                <w:sz w:val="20"/>
                <w:szCs w:val="20"/>
                <w:color w:val="auto"/>
              </w:rPr>
            </w:pPr>
            <w:r>
              <w:rPr>
                <w:rFonts w:ascii="Arial" w:cs="Arial" w:eastAsia="Arial" w:hAnsi="Arial"/>
                <w:sz w:val="17"/>
                <w:szCs w:val="17"/>
                <w:b w:val="1"/>
                <w:bCs w:val="1"/>
                <w:color w:val="auto"/>
                <w:w w:val="88"/>
              </w:rPr>
              <w:t>Fair value measurements on a recurring basis</w:t>
            </w:r>
          </w:p>
        </w:tc>
        <w:tc>
          <w:tcPr>
            <w:tcW w:w="740" w:type="dxa"/>
            <w:vAlign w:val="bottom"/>
          </w:tcPr>
          <w:p>
            <w:pPr>
              <w:spacing w:after="0"/>
              <w:rPr>
                <w:sz w:val="16"/>
                <w:szCs w:val="16"/>
                <w:color w:val="auto"/>
              </w:rPr>
            </w:pPr>
          </w:p>
        </w:tc>
      </w:tr>
      <w:tr>
        <w:trPr>
          <w:trHeight w:val="214"/>
        </w:trPr>
        <w:tc>
          <w:tcPr>
            <w:tcW w:w="6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w w:val="88"/>
              </w:rPr>
              <w:t>December 31, 2020</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9"/>
        </w:trPr>
        <w:tc>
          <w:tcPr>
            <w:tcW w:w="6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2</w:t>
            </w:r>
          </w:p>
        </w:tc>
        <w:tc>
          <w:tcPr>
            <w:tcW w:w="22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3</w:t>
            </w:r>
          </w:p>
        </w:tc>
        <w:tc>
          <w:tcPr>
            <w:tcW w:w="380" w:type="dxa"/>
            <w:vAlign w:val="bottom"/>
          </w:tcPr>
          <w:p>
            <w:pPr>
              <w:spacing w:after="0"/>
              <w:rPr>
                <w:sz w:val="19"/>
                <w:szCs w:val="19"/>
                <w:color w:val="auto"/>
              </w:rPr>
            </w:pPr>
          </w:p>
        </w:tc>
        <w:tc>
          <w:tcPr>
            <w:tcW w:w="740" w:type="dxa"/>
            <w:vAlign w:val="bottom"/>
          </w:tcPr>
          <w:p>
            <w:pPr>
              <w:jc w:val="right"/>
              <w:ind w:right="296"/>
              <w:spacing w:after="0"/>
              <w:rPr>
                <w:sz w:val="20"/>
                <w:szCs w:val="20"/>
                <w:color w:val="auto"/>
              </w:rPr>
            </w:pPr>
            <w:r>
              <w:rPr>
                <w:rFonts w:ascii="Arial" w:cs="Arial" w:eastAsia="Arial" w:hAnsi="Arial"/>
                <w:sz w:val="17"/>
                <w:szCs w:val="17"/>
                <w:b w:val="1"/>
                <w:bCs w:val="1"/>
                <w:color w:val="auto"/>
                <w:w w:val="83"/>
              </w:rPr>
              <w:t>Total</w:t>
            </w:r>
          </w:p>
        </w:tc>
      </w:tr>
      <w:tr>
        <w:trPr>
          <w:trHeight w:val="195"/>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r>
      <w:tr>
        <w:trPr>
          <w:trHeight w:val="214"/>
        </w:trPr>
        <w:tc>
          <w:tcPr>
            <w:tcW w:w="64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6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Money market account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57,517</w:t>
            </w:r>
          </w:p>
        </w:tc>
      </w:tr>
      <w:tr>
        <w:trPr>
          <w:trHeight w:val="194"/>
        </w:trPr>
        <w:tc>
          <w:tcPr>
            <w:tcW w:w="6440" w:type="dxa"/>
            <w:vAlign w:val="bottom"/>
          </w:tcPr>
          <w:p>
            <w:pPr>
              <w:ind w:left="20"/>
              <w:spacing w:after="0" w:line="194" w:lineRule="exact"/>
              <w:rPr>
                <w:sz w:val="20"/>
                <w:szCs w:val="20"/>
                <w:color w:val="auto"/>
              </w:rPr>
            </w:pPr>
            <w:r>
              <w:rPr>
                <w:rFonts w:ascii="Arial" w:cs="Arial" w:eastAsia="Arial" w:hAnsi="Arial"/>
                <w:sz w:val="17"/>
                <w:szCs w:val="17"/>
                <w:color w:val="auto"/>
              </w:rPr>
              <w:t>Other investments:</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15"/>
        </w:trPr>
        <w:tc>
          <w:tcPr>
            <w:tcW w:w="6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Time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r>
      <w:tr>
        <w:trPr>
          <w:trHeight w:val="207"/>
        </w:trPr>
        <w:tc>
          <w:tcPr>
            <w:tcW w:w="6440" w:type="dxa"/>
            <w:vAlign w:val="bottom"/>
          </w:tcPr>
          <w:p>
            <w:pPr>
              <w:ind w:left="20"/>
              <w:spacing w:after="0" w:line="194" w:lineRule="exact"/>
              <w:rPr>
                <w:sz w:val="20"/>
                <w:szCs w:val="20"/>
                <w:color w:val="auto"/>
              </w:rPr>
            </w:pPr>
            <w:r>
              <w:rPr>
                <w:rFonts w:ascii="Arial" w:cs="Arial" w:eastAsia="Arial" w:hAnsi="Arial"/>
                <w:sz w:val="17"/>
                <w:szCs w:val="17"/>
                <w:color w:val="auto"/>
              </w:rPr>
              <w:t>Total financial assets</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97,517</w:t>
            </w:r>
          </w:p>
        </w:tc>
        <w:tc>
          <w:tcPr>
            <w:tcW w:w="80" w:type="dxa"/>
            <w:vAlign w:val="bottom"/>
          </w:tcPr>
          <w:p>
            <w:pPr>
              <w:spacing w:after="0"/>
              <w:rPr>
                <w:sz w:val="17"/>
                <w:szCs w:val="17"/>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97,517</w:t>
            </w:r>
          </w:p>
        </w:tc>
      </w:tr>
      <w:tr>
        <w:trPr>
          <w:trHeight w:val="20"/>
        </w:trPr>
        <w:tc>
          <w:tcPr>
            <w:tcW w:w="6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gridSpan w:val="8"/>
          </w:tcPr>
          <w:p>
            <w:pPr>
              <w:ind w:left="360"/>
              <w:spacing w:after="0"/>
              <w:rPr>
                <w:sz w:val="20"/>
                <w:szCs w:val="20"/>
                <w:color w:val="auto"/>
              </w:rPr>
            </w:pPr>
            <w:r>
              <w:rPr>
                <w:rFonts w:ascii="Arial" w:cs="Arial" w:eastAsia="Arial" w:hAnsi="Arial"/>
                <w:sz w:val="17"/>
                <w:szCs w:val="17"/>
                <w:b w:val="1"/>
                <w:bCs w:val="1"/>
                <w:color w:val="auto"/>
                <w:w w:val="93"/>
              </w:rPr>
              <w:t>Fair value measurements on a recurring basis</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4"/>
        </w:trPr>
        <w:tc>
          <w:tcPr>
            <w:tcW w:w="38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420"/>
              <w:spacing w:after="0"/>
              <w:rPr>
                <w:sz w:val="20"/>
                <w:szCs w:val="20"/>
                <w:color w:val="auto"/>
              </w:rPr>
            </w:pPr>
            <w:r>
              <w:rPr>
                <w:rFonts w:ascii="Arial" w:cs="Arial" w:eastAsia="Arial" w:hAnsi="Arial"/>
                <w:sz w:val="17"/>
                <w:szCs w:val="17"/>
                <w:b w:val="1"/>
                <w:bCs w:val="1"/>
                <w:color w:val="auto"/>
                <w:w w:val="95"/>
              </w:rPr>
              <w:t>June 30, 2021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32"/>
        </w:trPr>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1</w:t>
            </w:r>
          </w:p>
        </w:tc>
        <w:tc>
          <w:tcPr>
            <w:tcW w:w="7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7"/>
                <w:szCs w:val="17"/>
                <w:b w:val="1"/>
                <w:bCs w:val="1"/>
                <w:color w:val="auto"/>
              </w:rPr>
              <w:t>Level 2</w:t>
            </w:r>
          </w:p>
        </w:tc>
        <w:tc>
          <w:tcPr>
            <w:tcW w:w="24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7"/>
                <w:szCs w:val="17"/>
                <w:b w:val="1"/>
                <w:bCs w:val="1"/>
                <w:color w:val="auto"/>
              </w:rPr>
              <w:t>Level 3</w:t>
            </w:r>
          </w:p>
        </w:tc>
        <w:tc>
          <w:tcPr>
            <w:tcW w:w="520" w:type="dxa"/>
            <w:vAlign w:val="bottom"/>
          </w:tcPr>
          <w:p>
            <w:pPr>
              <w:spacing w:after="0"/>
              <w:rPr>
                <w:sz w:val="20"/>
                <w:szCs w:val="20"/>
                <w:color w:val="auto"/>
              </w:rPr>
            </w:pPr>
          </w:p>
        </w:tc>
        <w:tc>
          <w:tcPr>
            <w:tcW w:w="1020" w:type="dxa"/>
            <w:vAlign w:val="bottom"/>
          </w:tcPr>
          <w:p>
            <w:pPr>
              <w:jc w:val="right"/>
              <w:ind w:right="396"/>
              <w:spacing w:after="0"/>
              <w:rPr>
                <w:sz w:val="20"/>
                <w:szCs w:val="20"/>
                <w:color w:val="auto"/>
              </w:rPr>
            </w:pPr>
            <w:r>
              <w:rPr>
                <w:rFonts w:ascii="Arial" w:cs="Arial" w:eastAsia="Arial" w:hAnsi="Arial"/>
                <w:sz w:val="17"/>
                <w:szCs w:val="17"/>
                <w:b w:val="1"/>
                <w:bCs w:val="1"/>
                <w:color w:val="auto"/>
              </w:rPr>
              <w:t>Total</w:t>
            </w:r>
          </w:p>
        </w:tc>
      </w:tr>
      <w:tr>
        <w:trPr>
          <w:trHeight w:val="195"/>
        </w:trPr>
        <w:tc>
          <w:tcPr>
            <w:tcW w:w="382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7"/>
                <w:szCs w:val="17"/>
                <w:b w:val="1"/>
                <w:bCs w:val="1"/>
                <w:color w:val="auto"/>
              </w:rPr>
              <w:t>Financial assets:</w:t>
            </w:r>
          </w:p>
        </w:tc>
        <w:tc>
          <w:tcPr>
            <w:tcW w:w="8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14"/>
        </w:trPr>
        <w:tc>
          <w:tcPr>
            <w:tcW w:w="3820" w:type="dxa"/>
            <w:vAlign w:val="bottom"/>
          </w:tcPr>
          <w:p>
            <w:pPr>
              <w:ind w:left="620"/>
              <w:spacing w:after="0"/>
              <w:rPr>
                <w:sz w:val="20"/>
                <w:szCs w:val="20"/>
                <w:color w:val="auto"/>
              </w:rPr>
            </w:pPr>
            <w:r>
              <w:rPr>
                <w:rFonts w:ascii="Arial" w:cs="Arial" w:eastAsia="Arial" w:hAnsi="Arial"/>
                <w:sz w:val="17"/>
                <w:szCs w:val="17"/>
                <w:color w:val="auto"/>
              </w:rPr>
              <w:t>Cash and cash equivalents:</w:t>
            </w: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38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Money market account</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284,201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284,201</w:t>
            </w:r>
          </w:p>
        </w:tc>
      </w:tr>
      <w:tr>
        <w:trPr>
          <w:trHeight w:val="214"/>
        </w:trPr>
        <w:tc>
          <w:tcPr>
            <w:tcW w:w="3820" w:type="dxa"/>
            <w:vAlign w:val="bottom"/>
            <w:tcBorders>
              <w:bottom w:val="single" w:sz="8" w:color="CCEEFF"/>
            </w:tcBorders>
          </w:tcPr>
          <w:p>
            <w:pPr>
              <w:ind w:left="820"/>
              <w:spacing w:after="0"/>
              <w:rPr>
                <w:sz w:val="20"/>
                <w:szCs w:val="20"/>
                <w:color w:val="auto"/>
              </w:rPr>
            </w:pPr>
            <w:r>
              <w:rPr>
                <w:rFonts w:ascii="Arial" w:cs="Arial" w:eastAsia="Arial" w:hAnsi="Arial"/>
                <w:sz w:val="17"/>
                <w:szCs w:val="17"/>
                <w:color w:val="auto"/>
              </w:rPr>
              <w:t>Time deposits</w:t>
            </w: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r>
      <w:tr>
        <w:trPr>
          <w:trHeight w:val="227"/>
        </w:trPr>
        <w:tc>
          <w:tcPr>
            <w:tcW w:w="382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Total financial assets</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299,201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299,201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As of June 30, 2021, the fair value of the 2026 and 2028 Convertible Notes, as further described in Note 8, “Debt”, was approximately $650,876 and $257,041, respectively. The fair value was determined based on the closing price for the Convertible Notes on the last trading day of the reporting period and is considered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Statement Components</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Accounts receivable, net of allowances consist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tcPr>
          <w:p>
            <w:pPr>
              <w:spacing w:after="0"/>
              <w:rPr>
                <w:sz w:val="18"/>
                <w:szCs w:val="18"/>
                <w:color w:val="auto"/>
              </w:rPr>
            </w:pPr>
          </w:p>
        </w:tc>
        <w:tc>
          <w:tcPr>
            <w:tcW w:w="16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7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207"/>
        </w:trPr>
        <w:tc>
          <w:tcPr>
            <w:tcW w:w="72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Trade accounts 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31,997</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Unbilled accounts receivable</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27,692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31,749</w:t>
            </w:r>
          </w:p>
        </w:tc>
      </w:tr>
      <w:tr>
        <w:trPr>
          <w:trHeight w:val="21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 and reserve for expected credit losses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r>
      <w:tr>
        <w:trPr>
          <w:trHeight w:val="214"/>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accounts receivable</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w:t>
            </w:r>
          </w:p>
        </w:tc>
      </w:tr>
      <w:tr>
        <w:trPr>
          <w:trHeight w:val="232"/>
        </w:trPr>
        <w:tc>
          <w:tcPr>
            <w:tcW w:w="72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63,098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Components of allowance for doubtful accounts and reserve for expected credit losses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4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07"/>
        </w:trPr>
        <w:tc>
          <w:tcPr>
            <w:tcW w:w="36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4"/>
        </w:trPr>
        <w:tc>
          <w:tcPr>
            <w:tcW w:w="36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i w:val="1"/>
                <w:iCs w:val="1"/>
                <w:color w:val="auto"/>
              </w:rPr>
              <w:t>Allowance for doubtful accounts:</w:t>
            </w:r>
          </w:p>
        </w:tc>
        <w:tc>
          <w:tcPr>
            <w:tcW w:w="1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7"/>
                <w:szCs w:val="17"/>
                <w:color w:val="auto"/>
              </w:rPr>
              <w:t>Balance, beginning of period</w:t>
            </w:r>
          </w:p>
        </w:tc>
        <w:tc>
          <w:tcPr>
            <w:tcW w:w="1160" w:type="dxa"/>
            <w:vAlign w:val="bottom"/>
          </w:tcPr>
          <w:p>
            <w:pPr>
              <w:jc w:val="right"/>
              <w:ind w:right="97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(883)</w:t>
            </w:r>
          </w:p>
        </w:tc>
        <w:tc>
          <w:tcPr>
            <w:tcW w:w="80" w:type="dxa"/>
            <w:vAlign w:val="bottom"/>
          </w:tcPr>
          <w:p>
            <w:pPr>
              <w:spacing w:after="0"/>
              <w:rPr>
                <w:sz w:val="18"/>
                <w:szCs w:val="18"/>
                <w:color w:val="auto"/>
              </w:rPr>
            </w:pPr>
          </w:p>
        </w:tc>
        <w:tc>
          <w:tcPr>
            <w:tcW w:w="1100" w:type="dxa"/>
            <w:vAlign w:val="bottom"/>
          </w:tcPr>
          <w:p>
            <w:pPr>
              <w:jc w:val="right"/>
              <w:ind w:right="916"/>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(1,203)</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Charged to bad debt expense</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14"/>
        </w:trPr>
        <w:tc>
          <w:tcPr>
            <w:tcW w:w="3640" w:type="dxa"/>
            <w:vAlign w:val="bottom"/>
          </w:tcPr>
          <w:p>
            <w:pPr>
              <w:ind w:left="20"/>
              <w:spacing w:after="0"/>
              <w:rPr>
                <w:sz w:val="20"/>
                <w:szCs w:val="20"/>
                <w:color w:val="auto"/>
              </w:rPr>
            </w:pPr>
            <w:r>
              <w:rPr>
                <w:rFonts w:ascii="Arial" w:cs="Arial" w:eastAsia="Arial" w:hAnsi="Arial"/>
                <w:sz w:val="17"/>
                <w:szCs w:val="17"/>
                <w:color w:val="auto"/>
              </w:rPr>
              <w:t>Deductions (1)</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277</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 of foreign currency translation</w:t>
            </w: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7"/>
        </w:trPr>
        <w:tc>
          <w:tcPr>
            <w:tcW w:w="3640" w:type="dxa"/>
            <w:vAlign w:val="bottom"/>
          </w:tcPr>
          <w:p>
            <w:pPr>
              <w:ind w:left="20"/>
              <w:spacing w:after="0" w:line="194" w:lineRule="exact"/>
              <w:rPr>
                <w:sz w:val="20"/>
                <w:szCs w:val="20"/>
                <w:color w:val="auto"/>
              </w:rPr>
            </w:pPr>
            <w:r>
              <w:rPr>
                <w:rFonts w:ascii="Arial" w:cs="Arial" w:eastAsia="Arial" w:hAnsi="Arial"/>
                <w:sz w:val="17"/>
                <w:szCs w:val="17"/>
                <w:color w:val="auto"/>
              </w:rPr>
              <w:t>Balance, end of period</w:t>
            </w: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(597)</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(1,364)</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(1,364)</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3"/>
                <w:szCs w:val="13"/>
                <w:b w:val="1"/>
                <w:bCs w:val="1"/>
                <w:color w:val="auto"/>
              </w:rPr>
              <w:t>________________________</w:t>
            </w: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6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520" w:type="dxa"/>
            <w:vAlign w:val="bottom"/>
            <w:gridSpan w:val="5"/>
          </w:tcPr>
          <w:p>
            <w:pPr>
              <w:ind w:left="600"/>
              <w:spacing w:after="0"/>
              <w:rPr>
                <w:sz w:val="20"/>
                <w:szCs w:val="20"/>
                <w:color w:val="auto"/>
              </w:rPr>
            </w:pPr>
            <w:r>
              <w:rPr>
                <w:rFonts w:ascii="Arial" w:cs="Arial" w:eastAsia="Arial" w:hAnsi="Arial"/>
                <w:sz w:val="17"/>
                <w:szCs w:val="17"/>
                <w:color w:val="auto"/>
                <w:w w:val="92"/>
              </w:rPr>
              <w:t>(1) Write off of uncollectible accounts after all collection efforts have been exhausted.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tcPr>
          <w:p>
            <w:pPr>
              <w:spacing w:after="0"/>
              <w:rPr>
                <w:sz w:val="18"/>
                <w:szCs w:val="18"/>
                <w:color w:val="auto"/>
              </w:rPr>
            </w:pPr>
          </w:p>
        </w:tc>
        <w:tc>
          <w:tcPr>
            <w:tcW w:w="16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7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207"/>
        </w:trPr>
        <w:tc>
          <w:tcPr>
            <w:tcW w:w="72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Accrued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33,691</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Accrued compensation and benefits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19,534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13,623</w:t>
            </w:r>
          </w:p>
        </w:tc>
      </w:tr>
      <w:tr>
        <w:trPr>
          <w:trHeight w:val="21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sales, use, VAT and telecommunications related taxes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9,439</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Current portion of finance lease</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1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 included in basis of acquired land</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7,752</w:t>
            </w:r>
          </w:p>
        </w:tc>
      </w:tr>
      <w:tr>
        <w:trPr>
          <w:trHeight w:val="214"/>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accrued expenses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w:t>
            </w:r>
          </w:p>
        </w:tc>
      </w:tr>
      <w:tr>
        <w:trPr>
          <w:trHeight w:val="232"/>
        </w:trPr>
        <w:tc>
          <w:tcPr>
            <w:tcW w:w="72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66,553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Right-of-Use Asset and Lease Liabilities</w:t>
      </w:r>
    </w:p>
    <w:p>
      <w:pPr>
        <w:spacing w:after="0" w:line="163"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Right-of-use (“ROU”) assets represent the Company’s right to use an underlying asset for the lease term, and lease liabilities represent the Company’s obligation to make lease payments arising from the lease. The Company determines if an arrangement is a lease at inception. ROU assets and liabilities are recognized at commencement date based on the present value of lease payments over the lease term. Operating lease expense attributable to lease payments is recognized on a straight-line basis over the lease term and is included in cost of sales and selling, general, and administrative expense on the Company’s condensed consolidated statements of operations. Finance leases result in the recognition of depreciation expense, which is recognized on a straight-line basis over the expected life of the leased asset, and interest expense, which is recognized following an effective</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85090</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6" w:name="page17"/>
    <w:bookmarkEnd w:id="1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method. Depreciation expense attributable to finance leases is included in cost of sales on the Company’s condensed consolidated statements of operations. The Company presents the operating leases in long-term assets and current and long-term liabilities in the accompanying condensed consolidated balance sheets. Finance leases are reported in property, plant and equipment, net, accrued expenses and other current liabilities, and other liabilities on the Company’s condensed consolidated balance sheets.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 sub-leases approximately 17,073 square feet of office space to a related party, Relay, Inc. (f/k/a Republic Wireless,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(“Relay”). Future minimum sub-lease receipts required under the non-cancellable lease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256"/>
              <w:spacing w:after="0"/>
              <w:rPr>
                <w:sz w:val="20"/>
                <w:szCs w:val="20"/>
                <w:color w:val="auto"/>
              </w:rPr>
            </w:pPr>
            <w:r>
              <w:rPr>
                <w:rFonts w:ascii="Arial" w:cs="Arial" w:eastAsia="Arial" w:hAnsi="Arial"/>
                <w:sz w:val="17"/>
                <w:szCs w:val="17"/>
                <w:b w:val="1"/>
                <w:bCs w:val="1"/>
                <w:color w:val="auto"/>
                <w:w w:val="97"/>
              </w:rPr>
              <w:t>As of June 30,</w:t>
            </w:r>
          </w:p>
        </w:tc>
      </w:tr>
      <w:tr>
        <w:trPr>
          <w:trHeight w:val="218"/>
        </w:trPr>
        <w:tc>
          <w:tcPr>
            <w:tcW w:w="9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2021</w:t>
            </w:r>
          </w:p>
        </w:tc>
      </w:tr>
      <w:tr>
        <w:trPr>
          <w:trHeight w:val="207"/>
        </w:trPr>
        <w:tc>
          <w:tcPr>
            <w:tcW w:w="9540" w:type="dxa"/>
            <w:vAlign w:val="bottom"/>
          </w:tcPr>
          <w:p>
            <w:pPr>
              <w:ind w:left="20"/>
              <w:spacing w:after="0" w:line="194" w:lineRule="exact"/>
              <w:rPr>
                <w:sz w:val="20"/>
                <w:szCs w:val="20"/>
                <w:color w:val="auto"/>
              </w:rPr>
            </w:pPr>
            <w:r>
              <w:rPr>
                <w:rFonts w:ascii="Arial" w:cs="Arial" w:eastAsia="Arial" w:hAnsi="Arial"/>
                <w:sz w:val="17"/>
                <w:szCs w:val="17"/>
                <w:color w:val="auto"/>
              </w:rPr>
              <w:t>2021 (remaining)</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230</w:t>
            </w:r>
          </w:p>
        </w:tc>
      </w:tr>
      <w:tr>
        <w:trPr>
          <w:trHeight w:val="214"/>
        </w:trPr>
        <w:tc>
          <w:tcPr>
            <w:tcW w:w="9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07"/>
        </w:trPr>
        <w:tc>
          <w:tcPr>
            <w:tcW w:w="954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r>
      <w:tr>
        <w:trPr>
          <w:trHeight w:val="20"/>
        </w:trPr>
        <w:tc>
          <w:tcPr>
            <w:tcW w:w="9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605"/>
        <w:spacing w:after="0" w:line="241" w:lineRule="auto"/>
        <w:rPr>
          <w:sz w:val="20"/>
          <w:szCs w:val="20"/>
          <w:color w:val="auto"/>
        </w:rPr>
      </w:pPr>
      <w:r>
        <w:rPr>
          <w:rFonts w:ascii="Arial" w:cs="Arial" w:eastAsia="Arial" w:hAnsi="Arial"/>
          <w:sz w:val="18"/>
          <w:szCs w:val="18"/>
          <w:color w:val="auto"/>
        </w:rPr>
        <w:t>As of June 30, 2021, the Company had various leased properties in the United States and internationally, with remaining lease terms of five months to 5.5 years, some of which include options to extend the leases for up to 5 years. None of the options to extend the leases are recognized in operating lease ROU assets or lease liabilities. The Company has one lease with an early-termination option, which it does not expect to exercise. The Company has one lease not yet commenced, with a lease term of 20 years and two options to extend the lease by a term of ten years each, up to twenty additional years in total.</w:t>
      </w:r>
    </w:p>
    <w:p>
      <w:pPr>
        <w:spacing w:after="0" w:line="121"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components of lease expense recorded in general and administrative expenses in the condensed consolidated statement of operations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4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7"/>
                <w:szCs w:val="17"/>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4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2021</w:t>
            </w: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3,303</w:t>
            </w: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of assets</w:t>
            </w:r>
          </w:p>
        </w:tc>
        <w:tc>
          <w:tcPr>
            <w:tcW w:w="1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14"/>
        </w:trPr>
        <w:tc>
          <w:tcPr>
            <w:tcW w:w="4140" w:type="dxa"/>
            <w:vAlign w:val="bottom"/>
          </w:tcPr>
          <w:p>
            <w:pPr>
              <w:ind w:left="120"/>
              <w:spacing w:after="0"/>
              <w:rPr>
                <w:sz w:val="20"/>
                <w:szCs w:val="20"/>
                <w:color w:val="auto"/>
              </w:rPr>
            </w:pPr>
            <w:r>
              <w:rPr>
                <w:rFonts w:ascii="Arial" w:cs="Arial" w:eastAsia="Arial" w:hAnsi="Arial"/>
                <w:sz w:val="17"/>
                <w:szCs w:val="17"/>
                <w:color w:val="auto"/>
              </w:rPr>
              <w:t>Interest on lease liabilities</w:t>
            </w:r>
          </w:p>
        </w:tc>
        <w:tc>
          <w:tcPr>
            <w:tcW w:w="1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4"/>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Sublease income (1)</w:t>
            </w: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r>
      <w:tr>
        <w:trPr>
          <w:trHeight w:val="207"/>
        </w:trPr>
        <w:tc>
          <w:tcPr>
            <w:tcW w:w="4140" w:type="dxa"/>
            <w:vAlign w:val="bottom"/>
          </w:tcPr>
          <w:p>
            <w:pPr>
              <w:ind w:left="220"/>
              <w:spacing w:after="0"/>
              <w:rPr>
                <w:sz w:val="20"/>
                <w:szCs w:val="20"/>
                <w:color w:val="auto"/>
              </w:rPr>
            </w:pPr>
            <w:r>
              <w:rPr>
                <w:rFonts w:ascii="Arial" w:cs="Arial" w:eastAsia="Arial" w:hAnsi="Arial"/>
                <w:sz w:val="17"/>
                <w:szCs w:val="17"/>
                <w:color w:val="auto"/>
              </w:rPr>
              <w:t>Total net lease cost</w:t>
            </w:r>
          </w:p>
        </w:tc>
        <w:tc>
          <w:tcPr>
            <w:tcW w:w="1140" w:type="dxa"/>
            <w:vAlign w:val="bottom"/>
            <w:tcBorders>
              <w:bottom w:val="single" w:sz="8" w:color="auto"/>
            </w:tcBorders>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3,225</w:t>
            </w:r>
          </w:p>
        </w:tc>
      </w:tr>
      <w:tr>
        <w:trPr>
          <w:trHeight w:val="20"/>
        </w:trPr>
        <w:tc>
          <w:tcPr>
            <w:tcW w:w="4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________________________</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(1) See Note 15, “Related Parties” to these condensed consolidated financial statements, for additional details on sublease income.</w:t>
      </w:r>
    </w:p>
    <w:p>
      <w:pPr>
        <w:spacing w:after="0" w:line="215"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During the three and six months ended June 30, 2020, short-term operating lease expense was $0. During the three and six months ended June 30, 2021, short-term operating lease expense was $381 and $726,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tcPr>
          <w:p>
            <w:pPr>
              <w:spacing w:after="0"/>
              <w:rPr>
                <w:sz w:val="18"/>
                <w:szCs w:val="18"/>
                <w:color w:val="auto"/>
              </w:rPr>
            </w:pPr>
          </w:p>
        </w:tc>
        <w:tc>
          <w:tcPr>
            <w:tcW w:w="16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Leases</w:t>
            </w:r>
          </w:p>
        </w:tc>
        <w:tc>
          <w:tcPr>
            <w:tcW w:w="528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Classification</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207"/>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4"/>
        </w:trPr>
        <w:tc>
          <w:tcPr>
            <w:tcW w:w="1940" w:type="dxa"/>
            <w:vAlign w:val="bottom"/>
          </w:tcPr>
          <w:p>
            <w:pPr>
              <w:ind w:left="120"/>
              <w:spacing w:after="0"/>
              <w:rPr>
                <w:sz w:val="20"/>
                <w:szCs w:val="20"/>
                <w:color w:val="auto"/>
              </w:rPr>
            </w:pPr>
            <w:r>
              <w:rPr>
                <w:rFonts w:ascii="Arial" w:cs="Arial" w:eastAsia="Arial" w:hAnsi="Arial"/>
                <w:sz w:val="17"/>
                <w:szCs w:val="17"/>
                <w:color w:val="auto"/>
              </w:rPr>
              <w:t>Operating lease assets</w:t>
            </w:r>
          </w:p>
        </w:tc>
        <w:tc>
          <w:tcPr>
            <w:tcW w:w="5280" w:type="dxa"/>
            <w:vAlign w:val="bottom"/>
          </w:tcPr>
          <w:p>
            <w:pPr>
              <w:ind w:left="260"/>
              <w:spacing w:after="0"/>
              <w:rPr>
                <w:sz w:val="20"/>
                <w:szCs w:val="20"/>
                <w:color w:val="auto"/>
              </w:rPr>
            </w:pPr>
            <w:r>
              <w:rPr>
                <w:rFonts w:ascii="Arial" w:cs="Arial" w:eastAsia="Arial" w:hAnsi="Arial"/>
                <w:sz w:val="17"/>
                <w:szCs w:val="17"/>
                <w:color w:val="auto"/>
              </w:rPr>
              <w:t>Operating right-of-use asset, net (1)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19,491</w:t>
            </w:r>
          </w:p>
        </w:tc>
        <w:tc>
          <w:tcPr>
            <w:tcW w:w="10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16,894</w:t>
            </w:r>
          </w:p>
        </w:tc>
      </w:tr>
      <w:tr>
        <w:trPr>
          <w:trHeight w:val="215"/>
        </w:trPr>
        <w:tc>
          <w:tcPr>
            <w:tcW w:w="1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 lease assets</w:t>
            </w:r>
          </w:p>
        </w:tc>
        <w:tc>
          <w:tcPr>
            <w:tcW w:w="52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Property, plant and equipment, net (2)</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w:t>
            </w:r>
          </w:p>
        </w:tc>
      </w:tr>
      <w:tr>
        <w:trPr>
          <w:trHeight w:val="207"/>
        </w:trPr>
        <w:tc>
          <w:tcPr>
            <w:tcW w:w="1940" w:type="dxa"/>
            <w:vAlign w:val="bottom"/>
          </w:tcPr>
          <w:p>
            <w:pPr>
              <w:ind w:left="220"/>
              <w:spacing w:after="0"/>
              <w:rPr>
                <w:sz w:val="20"/>
                <w:szCs w:val="20"/>
                <w:color w:val="auto"/>
              </w:rPr>
            </w:pPr>
            <w:r>
              <w:rPr>
                <w:rFonts w:ascii="Arial" w:cs="Arial" w:eastAsia="Arial" w:hAnsi="Arial"/>
                <w:sz w:val="17"/>
                <w:szCs w:val="17"/>
                <w:b w:val="1"/>
                <w:bCs w:val="1"/>
                <w:color w:val="auto"/>
              </w:rPr>
              <w:t>Total leased assets</w:t>
            </w:r>
          </w:p>
        </w:tc>
        <w:tc>
          <w:tcPr>
            <w:tcW w:w="52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17,369</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8"/>
        </w:trPr>
        <w:tc>
          <w:tcPr>
            <w:tcW w:w="194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4"/>
        </w:trPr>
        <w:tc>
          <w:tcPr>
            <w:tcW w:w="194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4"/>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4"/>
        </w:trPr>
        <w:tc>
          <w:tcPr>
            <w:tcW w:w="1940" w:type="dxa"/>
            <w:vAlign w:val="bottom"/>
          </w:tcPr>
          <w:p>
            <w:pPr>
              <w:ind w:left="120"/>
              <w:spacing w:after="0"/>
              <w:rPr>
                <w:sz w:val="20"/>
                <w:szCs w:val="20"/>
                <w:color w:val="auto"/>
              </w:rPr>
            </w:pPr>
            <w:r>
              <w:rPr>
                <w:rFonts w:ascii="Arial" w:cs="Arial" w:eastAsia="Arial" w:hAnsi="Arial"/>
                <w:sz w:val="17"/>
                <w:szCs w:val="17"/>
                <w:color w:val="auto"/>
              </w:rPr>
              <w:t>Operating</w:t>
            </w:r>
          </w:p>
        </w:tc>
        <w:tc>
          <w:tcPr>
            <w:tcW w:w="5280" w:type="dxa"/>
            <w:vAlign w:val="bottom"/>
          </w:tcPr>
          <w:p>
            <w:pPr>
              <w:ind w:left="260"/>
              <w:spacing w:after="0"/>
              <w:rPr>
                <w:sz w:val="20"/>
                <w:szCs w:val="20"/>
                <w:color w:val="auto"/>
              </w:rPr>
            </w:pPr>
            <w:r>
              <w:rPr>
                <w:rFonts w:ascii="Arial" w:cs="Arial" w:eastAsia="Arial" w:hAnsi="Arial"/>
                <w:sz w:val="17"/>
                <w:szCs w:val="17"/>
                <w:color w:val="auto"/>
              </w:rPr>
              <w:t>Operating lease liability, current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5,515</w:t>
            </w:r>
          </w:p>
        </w:tc>
        <w:tc>
          <w:tcPr>
            <w:tcW w:w="10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15"/>
        </w:trPr>
        <w:tc>
          <w:tcPr>
            <w:tcW w:w="1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w:t>
            </w:r>
          </w:p>
        </w:tc>
        <w:tc>
          <w:tcPr>
            <w:tcW w:w="52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14"/>
        </w:trPr>
        <w:tc>
          <w:tcPr>
            <w:tcW w:w="1940" w:type="dxa"/>
            <w:vAlign w:val="bottom"/>
          </w:tcPr>
          <w:p>
            <w:pPr>
              <w:ind w:left="20"/>
              <w:spacing w:after="0"/>
              <w:rPr>
                <w:sz w:val="20"/>
                <w:szCs w:val="20"/>
                <w:color w:val="auto"/>
              </w:rPr>
            </w:pPr>
            <w:r>
              <w:rPr>
                <w:rFonts w:ascii="Arial" w:cs="Arial" w:eastAsia="Arial" w:hAnsi="Arial"/>
                <w:sz w:val="17"/>
                <w:szCs w:val="17"/>
                <w:color w:val="auto"/>
              </w:rPr>
              <w:t>Non-current</w:t>
            </w: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1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w:t>
            </w:r>
          </w:p>
        </w:tc>
        <w:tc>
          <w:tcPr>
            <w:tcW w:w="52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Operating lease liability, net of current portion</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14,048</w:t>
            </w:r>
          </w:p>
        </w:tc>
      </w:tr>
      <w:tr>
        <w:trPr>
          <w:trHeight w:val="214"/>
        </w:trPr>
        <w:tc>
          <w:tcPr>
            <w:tcW w:w="19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Finance</w:t>
            </w:r>
          </w:p>
        </w:tc>
        <w:tc>
          <w:tcPr>
            <w:tcW w:w="52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w:t>
            </w:r>
          </w:p>
        </w:tc>
      </w:tr>
      <w:tr>
        <w:trPr>
          <w:trHeight w:val="232"/>
        </w:trPr>
        <w:tc>
          <w:tcPr>
            <w:tcW w:w="1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Total lease liabilities</w:t>
            </w:r>
          </w:p>
        </w:tc>
        <w:tc>
          <w:tcPr>
            <w:tcW w:w="5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20,528</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w:t>
      </w:r>
    </w:p>
    <w:p>
      <w:pPr>
        <w:spacing w:after="0" w:line="24" w:lineRule="exact"/>
        <w:rPr>
          <w:sz w:val="20"/>
          <w:szCs w:val="20"/>
          <w:color w:val="auto"/>
        </w:rPr>
      </w:pPr>
    </w:p>
    <w:p>
      <w:pPr>
        <w:ind w:left="840" w:hanging="234"/>
        <w:spacing w:after="0"/>
        <w:tabs>
          <w:tab w:leader="none" w:pos="8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Operating lease assets are recorded net of accumulated amortization of $9,083 and $11,869 as of December 31, 2020 and June 30, 2021, respectively.</w:t>
      </w:r>
    </w:p>
    <w:p>
      <w:pPr>
        <w:spacing w:after="0" w:line="27" w:lineRule="exact"/>
        <w:rPr>
          <w:rFonts w:ascii="Arial" w:cs="Arial" w:eastAsia="Arial" w:hAnsi="Arial"/>
          <w:sz w:val="15"/>
          <w:szCs w:val="15"/>
          <w:color w:val="auto"/>
        </w:rPr>
      </w:pPr>
    </w:p>
    <w:p>
      <w:pPr>
        <w:ind w:left="840" w:hanging="234"/>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Finance lease assets are recorded net of accumulated depreciation of $28 and $135 as of December 31, 2020 and June 30, 2021, respectively.</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cash flow and other information related to leases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7"/>
                <w:szCs w:val="17"/>
                <w:b w:val="1"/>
                <w:bCs w:val="1"/>
                <w:color w:val="auto"/>
              </w:rPr>
              <w:t>Six months ended June 30,</w:t>
            </w:r>
          </w:p>
        </w:tc>
        <w:tc>
          <w:tcPr>
            <w:tcW w:w="720" w:type="dxa"/>
            <w:vAlign w:val="bottom"/>
            <w:tcBorders>
              <w:bottom w:val="single" w:sz="8" w:color="auto"/>
            </w:tcBorders>
          </w:tcPr>
          <w:p>
            <w:pPr>
              <w:spacing w:after="0"/>
              <w:rPr>
                <w:sz w:val="18"/>
                <w:szCs w:val="18"/>
                <w:color w:val="auto"/>
              </w:rPr>
            </w:pPr>
          </w:p>
        </w:tc>
      </w:tr>
      <w:tr>
        <w:trPr>
          <w:trHeight w:val="207"/>
        </w:trPr>
        <w:tc>
          <w:tcPr>
            <w:tcW w:w="70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2021</w:t>
            </w:r>
          </w:p>
        </w:tc>
        <w:tc>
          <w:tcPr>
            <w:tcW w:w="720" w:type="dxa"/>
            <w:vAlign w:val="bottom"/>
            <w:tcBorders>
              <w:bottom w:val="single" w:sz="8" w:color="auto"/>
            </w:tcBorders>
          </w:tcPr>
          <w:p>
            <w:pPr>
              <w:spacing w:after="0"/>
              <w:rPr>
                <w:sz w:val="18"/>
                <w:szCs w:val="18"/>
                <w:color w:val="auto"/>
              </w:rPr>
            </w:pPr>
          </w:p>
        </w:tc>
      </w:tr>
      <w:tr>
        <w:trPr>
          <w:trHeight w:val="194"/>
        </w:trPr>
        <w:tc>
          <w:tcPr>
            <w:tcW w:w="7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Cash paid for amounts included in the measurement of lease liabilities</w:t>
            </w:r>
          </w:p>
        </w:tc>
        <w:tc>
          <w:tcPr>
            <w:tcW w:w="1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4"/>
        </w:trPr>
        <w:tc>
          <w:tcPr>
            <w:tcW w:w="7020" w:type="dxa"/>
            <w:vAlign w:val="bottom"/>
          </w:tcPr>
          <w:p>
            <w:pPr>
              <w:ind w:left="120"/>
              <w:spacing w:after="0"/>
              <w:rPr>
                <w:sz w:val="20"/>
                <w:szCs w:val="20"/>
                <w:color w:val="auto"/>
              </w:rPr>
            </w:pPr>
            <w:r>
              <w:rPr>
                <w:rFonts w:ascii="Arial" w:cs="Arial" w:eastAsia="Arial" w:hAnsi="Arial"/>
                <w:sz w:val="17"/>
                <w:szCs w:val="17"/>
                <w:color w:val="auto"/>
              </w:rPr>
              <w:t>Operating cash flows from operating leases</w:t>
            </w:r>
          </w:p>
        </w:tc>
        <w:tc>
          <w:tcPr>
            <w:tcW w:w="1340" w:type="dxa"/>
            <w:vAlign w:val="bottom"/>
          </w:tcPr>
          <w:p>
            <w:pPr>
              <w:jc w:val="right"/>
              <w:ind w:right="115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16"/>
              <w:spacing w:after="0"/>
              <w:rPr>
                <w:sz w:val="20"/>
                <w:szCs w:val="20"/>
                <w:color w:val="auto"/>
              </w:rPr>
            </w:pPr>
            <w:r>
              <w:rPr>
                <w:rFonts w:ascii="Arial" w:cs="Arial" w:eastAsia="Arial" w:hAnsi="Arial"/>
                <w:sz w:val="17"/>
                <w:szCs w:val="17"/>
                <w:color w:val="auto"/>
              </w:rPr>
              <w:t>2,612</w:t>
            </w:r>
          </w:p>
        </w:tc>
        <w:tc>
          <w:tcPr>
            <w:tcW w:w="100" w:type="dxa"/>
            <w:vAlign w:val="bottom"/>
          </w:tcPr>
          <w:p>
            <w:pPr>
              <w:spacing w:after="0"/>
              <w:rPr>
                <w:sz w:val="18"/>
                <w:szCs w:val="18"/>
                <w:color w:val="auto"/>
              </w:rPr>
            </w:pPr>
          </w:p>
        </w:tc>
        <w:tc>
          <w:tcPr>
            <w:tcW w:w="1340" w:type="dxa"/>
            <w:vAlign w:val="bottom"/>
          </w:tcPr>
          <w:p>
            <w:pPr>
              <w:jc w:val="right"/>
              <w:ind w:right="115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16"/>
              <w:spacing w:after="0"/>
              <w:rPr>
                <w:sz w:val="20"/>
                <w:szCs w:val="20"/>
                <w:color w:val="auto"/>
              </w:rPr>
            </w:pPr>
            <w:r>
              <w:rPr>
                <w:rFonts w:ascii="Arial" w:cs="Arial" w:eastAsia="Arial" w:hAnsi="Arial"/>
                <w:sz w:val="17"/>
                <w:szCs w:val="17"/>
                <w:color w:val="auto"/>
              </w:rPr>
              <w:t>2,850</w:t>
            </w:r>
          </w:p>
        </w:tc>
      </w:tr>
      <w:tr>
        <w:trPr>
          <w:trHeight w:val="214"/>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Financing cash flows from finance leases</w:t>
            </w:r>
          </w:p>
        </w:tc>
        <w:tc>
          <w:tcPr>
            <w:tcW w:w="1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105</w:t>
            </w:r>
          </w:p>
        </w:tc>
      </w:tr>
      <w:tr>
        <w:trPr>
          <w:trHeight w:val="207"/>
        </w:trPr>
        <w:tc>
          <w:tcPr>
            <w:tcW w:w="702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1156"/>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2,612</w:t>
            </w:r>
          </w:p>
        </w:tc>
        <w:tc>
          <w:tcPr>
            <w:tcW w:w="100" w:type="dxa"/>
            <w:vAlign w:val="bottom"/>
            <w:tcBorders>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1156"/>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2,955</w:t>
            </w:r>
          </w:p>
        </w:tc>
      </w:tr>
      <w:tr>
        <w:trPr>
          <w:trHeight w:val="232"/>
        </w:trPr>
        <w:tc>
          <w:tcPr>
            <w:tcW w:w="70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14"/>
        </w:trPr>
        <w:tc>
          <w:tcPr>
            <w:tcW w:w="7020" w:type="dxa"/>
            <w:vAlign w:val="bottom"/>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leases</w:t>
            </w: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14"/>
        </w:trPr>
        <w:tc>
          <w:tcPr>
            <w:tcW w:w="7020" w:type="dxa"/>
            <w:vAlign w:val="bottom"/>
          </w:tcPr>
          <w:p>
            <w:pPr>
              <w:ind w:left="120"/>
              <w:spacing w:after="0"/>
              <w:rPr>
                <w:sz w:val="20"/>
                <w:szCs w:val="20"/>
                <w:color w:val="auto"/>
              </w:rPr>
            </w:pPr>
            <w:r>
              <w:rPr>
                <w:rFonts w:ascii="Arial" w:cs="Arial" w:eastAsia="Arial" w:hAnsi="Arial"/>
                <w:sz w:val="17"/>
                <w:szCs w:val="17"/>
                <w:color w:val="auto"/>
              </w:rPr>
              <w:t>Finance leases</w:t>
            </w:r>
          </w:p>
        </w:tc>
        <w:tc>
          <w:tcPr>
            <w:tcW w:w="13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2.72</w:t>
            </w:r>
          </w:p>
        </w:tc>
      </w:tr>
      <w:tr>
        <w:trPr>
          <w:trHeight w:val="252"/>
        </w:trPr>
        <w:tc>
          <w:tcPr>
            <w:tcW w:w="70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14"/>
        </w:trPr>
        <w:tc>
          <w:tcPr>
            <w:tcW w:w="702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7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leases</w:t>
            </w: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4.78 %</w:t>
            </w:r>
          </w:p>
        </w:tc>
      </w:tr>
      <w:tr>
        <w:trPr>
          <w:trHeight w:val="214"/>
        </w:trPr>
        <w:tc>
          <w:tcPr>
            <w:tcW w:w="7020" w:type="dxa"/>
            <w:vAlign w:val="bottom"/>
          </w:tcPr>
          <w:p>
            <w:pPr>
              <w:ind w:left="120"/>
              <w:spacing w:after="0"/>
              <w:rPr>
                <w:sz w:val="20"/>
                <w:szCs w:val="20"/>
                <w:color w:val="auto"/>
              </w:rPr>
            </w:pPr>
            <w:r>
              <w:rPr>
                <w:rFonts w:ascii="Arial" w:cs="Arial" w:eastAsia="Arial" w:hAnsi="Arial"/>
                <w:sz w:val="17"/>
                <w:szCs w:val="17"/>
                <w:color w:val="auto"/>
              </w:rPr>
              <w:t>Finance leases</w:t>
            </w:r>
          </w:p>
        </w:tc>
        <w:tc>
          <w:tcPr>
            <w:tcW w:w="13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Maturities of operating lease liabilities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9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207"/>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(remaining)</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3,211</w:t>
            </w:r>
          </w:p>
        </w:tc>
      </w:tr>
      <w:tr>
        <w:trPr>
          <w:trHeight w:val="214"/>
        </w:trPr>
        <w:tc>
          <w:tcPr>
            <w:tcW w:w="9280" w:type="dxa"/>
            <w:vAlign w:val="bottom"/>
          </w:tcPr>
          <w:p>
            <w:pPr>
              <w:ind w:left="20"/>
              <w:spacing w:after="0"/>
              <w:rPr>
                <w:sz w:val="20"/>
                <w:szCs w:val="20"/>
                <w:color w:val="auto"/>
              </w:rPr>
            </w:pPr>
            <w:r>
              <w:rPr>
                <w:rFonts w:ascii="Arial" w:cs="Arial" w:eastAsia="Arial" w:hAnsi="Arial"/>
                <w:sz w:val="17"/>
                <w:szCs w:val="17"/>
                <w:color w:val="auto"/>
              </w:rPr>
              <w:t>2022</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6,850</w:t>
            </w:r>
          </w:p>
        </w:tc>
      </w:tr>
      <w:tr>
        <w:trPr>
          <w:trHeight w:val="215"/>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6,601</w:t>
            </w:r>
          </w:p>
        </w:tc>
      </w:tr>
      <w:tr>
        <w:trPr>
          <w:trHeight w:val="214"/>
        </w:trPr>
        <w:tc>
          <w:tcPr>
            <w:tcW w:w="9280" w:type="dxa"/>
            <w:vAlign w:val="bottom"/>
          </w:tcPr>
          <w:p>
            <w:pPr>
              <w:ind w:left="20"/>
              <w:spacing w:after="0"/>
              <w:rPr>
                <w:sz w:val="20"/>
                <w:szCs w:val="20"/>
                <w:color w:val="auto"/>
              </w:rPr>
            </w:pPr>
            <w:r>
              <w:rPr>
                <w:rFonts w:ascii="Arial" w:cs="Arial" w:eastAsia="Arial" w:hAnsi="Arial"/>
                <w:sz w:val="17"/>
                <w:szCs w:val="17"/>
                <w:color w:val="auto"/>
              </w:rPr>
              <w:t>2024</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2,679</w:t>
            </w:r>
          </w:p>
        </w:tc>
      </w:tr>
      <w:tr>
        <w:trPr>
          <w:trHeight w:val="215"/>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w:t>
            </w:r>
          </w:p>
        </w:tc>
      </w:tr>
      <w:tr>
        <w:trPr>
          <w:trHeight w:val="214"/>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w:t>
            </w:r>
          </w:p>
        </w:tc>
      </w:tr>
      <w:tr>
        <w:trPr>
          <w:trHeight w:val="207"/>
        </w:trPr>
        <w:tc>
          <w:tcPr>
            <w:tcW w:w="9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lease payments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21,724</w:t>
            </w:r>
          </w:p>
        </w:tc>
      </w:tr>
      <w:tr>
        <w:trPr>
          <w:trHeight w:val="214"/>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w:t>
            </w:r>
          </w:p>
        </w:tc>
      </w:tr>
      <w:tr>
        <w:trPr>
          <w:trHeight w:val="207"/>
        </w:trPr>
        <w:tc>
          <w:tcPr>
            <w:tcW w:w="9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lease obligations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20,048</w:t>
            </w:r>
          </w:p>
        </w:tc>
      </w:tr>
      <w:tr>
        <w:trPr>
          <w:trHeight w:val="214"/>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obligations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(6,000)</w:t>
            </w:r>
          </w:p>
        </w:tc>
      </w:tr>
      <w:tr>
        <w:trPr>
          <w:trHeight w:val="232"/>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lease obligations</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Maturities of financing lease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9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207"/>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(remaining)</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14"/>
        </w:trPr>
        <w:tc>
          <w:tcPr>
            <w:tcW w:w="9280" w:type="dxa"/>
            <w:vAlign w:val="bottom"/>
          </w:tcPr>
          <w:p>
            <w:pPr>
              <w:ind w:left="20"/>
              <w:spacing w:after="0"/>
              <w:rPr>
                <w:sz w:val="20"/>
                <w:szCs w:val="20"/>
                <w:color w:val="auto"/>
              </w:rPr>
            </w:pPr>
            <w:r>
              <w:rPr>
                <w:rFonts w:ascii="Arial" w:cs="Arial" w:eastAsia="Arial" w:hAnsi="Arial"/>
                <w:sz w:val="17"/>
                <w:szCs w:val="17"/>
                <w:color w:val="auto"/>
              </w:rPr>
              <w:t>2022</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15"/>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4"/>
        </w:trPr>
        <w:tc>
          <w:tcPr>
            <w:tcW w:w="9280" w:type="dxa"/>
            <w:vAlign w:val="bottom"/>
          </w:tcPr>
          <w:p>
            <w:pPr>
              <w:ind w:left="20"/>
              <w:spacing w:after="0"/>
              <w:rPr>
                <w:sz w:val="20"/>
                <w:szCs w:val="20"/>
                <w:color w:val="auto"/>
              </w:rPr>
            </w:pPr>
            <w:r>
              <w:rPr>
                <w:rFonts w:ascii="Arial" w:cs="Arial" w:eastAsia="Arial" w:hAnsi="Arial"/>
                <w:sz w:val="17"/>
                <w:szCs w:val="17"/>
                <w:color w:val="auto"/>
              </w:rPr>
              <w:t>2024</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15"/>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7"/>
        </w:trPr>
        <w:tc>
          <w:tcPr>
            <w:tcW w:w="9280" w:type="dxa"/>
            <w:vAlign w:val="bottom"/>
          </w:tcPr>
          <w:p>
            <w:pPr>
              <w:ind w:left="120"/>
              <w:spacing w:after="0"/>
              <w:rPr>
                <w:sz w:val="20"/>
                <w:szCs w:val="20"/>
                <w:color w:val="auto"/>
              </w:rPr>
            </w:pPr>
            <w:r>
              <w:rPr>
                <w:rFonts w:ascii="Arial" w:cs="Arial" w:eastAsia="Arial" w:hAnsi="Arial"/>
                <w:sz w:val="17"/>
                <w:szCs w:val="17"/>
                <w:color w:val="auto"/>
              </w:rPr>
              <w:t>Total lease payments</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15"/>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07"/>
        </w:trPr>
        <w:tc>
          <w:tcPr>
            <w:tcW w:w="9280" w:type="dxa"/>
            <w:vAlign w:val="bottom"/>
          </w:tcPr>
          <w:p>
            <w:pPr>
              <w:ind w:left="120"/>
              <w:spacing w:after="0"/>
              <w:rPr>
                <w:sz w:val="20"/>
                <w:szCs w:val="20"/>
                <w:color w:val="auto"/>
              </w:rPr>
            </w:pPr>
            <w:r>
              <w:rPr>
                <w:rFonts w:ascii="Arial" w:cs="Arial" w:eastAsia="Arial" w:hAnsi="Arial"/>
                <w:sz w:val="17"/>
                <w:szCs w:val="17"/>
                <w:color w:val="auto"/>
              </w:rPr>
              <w:t>Total lease obligations</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480</w:t>
            </w:r>
          </w:p>
        </w:tc>
      </w:tr>
      <w:tr>
        <w:trPr>
          <w:trHeight w:val="214"/>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obligations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07"/>
        </w:trPr>
        <w:tc>
          <w:tcPr>
            <w:tcW w:w="9280" w:type="dxa"/>
            <w:vAlign w:val="bottom"/>
          </w:tcPr>
          <w:p>
            <w:pPr>
              <w:ind w:left="20"/>
              <w:spacing w:after="0"/>
              <w:rPr>
                <w:sz w:val="20"/>
                <w:szCs w:val="20"/>
                <w:color w:val="auto"/>
              </w:rPr>
            </w:pPr>
            <w:r>
              <w:rPr>
                <w:rFonts w:ascii="Arial" w:cs="Arial" w:eastAsia="Arial" w:hAnsi="Arial"/>
                <w:sz w:val="17"/>
                <w:szCs w:val="17"/>
                <w:color w:val="auto"/>
              </w:rPr>
              <w:t>Long-term lease obligations</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w:t>
            </w:r>
          </w:p>
        </w:tc>
      </w:tr>
      <w:tr>
        <w:trPr>
          <w:trHeight w:val="20"/>
        </w:trPr>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7"/>
          <w:szCs w:val="17"/>
          <w:color w:val="auto"/>
        </w:rPr>
        <w:t>On June 4, 2021, the Company purchased approximately 40 acres of undeveloped land (the “Property”) in Raleigh, North Carolina, from the State of North Carolina (the “State”). The Company paid $30,017 for the land. Additionally, as consideration for the Property, the Company agreed to construct, at its expense, a parking lot and related improvements (the “Parking Improvements”) on land owned by the State adjacent to the Property. The estimated cost of construction of the Parking Improvements is $7,752. Subsequent to the purchase of the Property, the Company sold a portion of the Property constituting approximately 23.76 acres (the “Conveyed Parcel”) to USEF Edwards Mill Owner, LLC (the “Developer”) for $17,462. In addition, the Developer agreed to construct, at its expense, the Parking Improvements in connection with the Company’s purchase of the Property from the State. The Company retained approximately 17.06 acres of the Property, which was recorded at cost and is included in the Company’s condensed consolidated balance sheet as a component property, plant and equipment, net. The Company recorded a liability to construct the Parking Improvements, which is included as a component of accrued expenses and other current liabilities in the condensed consolidated balance sheet. The Company recorded an asset for the Developer’s obligation to construct the Parking Improvements at the Developer's expense, which is included as a component of prepaid expenses and other current assets in the condensed consolidated balance sheet. A lease incentive of $3,193 was recognized for the difference between the consideration received from the Developer for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Conveyed Parcel and the cost basis of the Conveyed Parcel and is included as a component of other liabilities on the condensed consolidated balance sheet.</w:t>
      </w:r>
    </w:p>
    <w:p>
      <w:pPr>
        <w:spacing w:after="0" w:line="97"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7"/>
          <w:szCs w:val="17"/>
          <w:color w:val="auto"/>
        </w:rPr>
        <w:t>On May 27, 2021, the Company entered into a Lease Agreement (the “Lease”) with the Developer for the Conveyed Parcel, together with improvements for office and related infrastructure to be constructed thereon, collectively constituting approximately 534,000 gross square feet (the “Project”). The lease became effective upon closing of the sale of the Conveyed Parcel to the Developer. When construction of the Project is completed, the Company intends to relocate its corporate headquarters to the Project. The lease term will commence upon substantial completion of the final building to be delivered, as evidenced by a certificate of occupancy issued by the City of Raleigh (the “Commencement Date”), and continue for a period of twenty (20) years (the “Initial Term”). It is anticipated that the Commencement Date will occur in May 2023. The Company has the option to renew the Initial Term for two ten-year periods at a rental rate equal to 100% of the then-prevailing market rental rate for comparable buildings in the Raleigh, North Carolina, market. Upon the effective date, the Company deposited $2,500 with the Developer as security on the lease. The deposit is included in other long-term assets on the Company’s condensed consolidated balance sheet. Additionally, the Company placed $3,000 in escrow to fund the certain tenant improvements expected to be constructed as part of the development of the Project.</w:t>
      </w:r>
    </w:p>
    <w:p>
      <w:pPr>
        <w:spacing w:after="0" w:line="112"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No right-of-use assets or lease liabilities have been recognized in connection with the lease as of June 30, 2021. Future lease payments are included in Note 12, “Commitments and Contingencies”.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tcPr>
          <w:p>
            <w:pPr>
              <w:spacing w:after="0"/>
              <w:rPr>
                <w:sz w:val="18"/>
                <w:szCs w:val="18"/>
                <w:color w:val="auto"/>
              </w:rPr>
            </w:pPr>
          </w:p>
        </w:tc>
        <w:tc>
          <w:tcPr>
            <w:tcW w:w="16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7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207"/>
        </w:trPr>
        <w:tc>
          <w:tcPr>
            <w:tcW w:w="72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Furniture and fixtures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Computer and office equipment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4,605</w:t>
            </w:r>
          </w:p>
        </w:tc>
      </w:tr>
      <w:tr>
        <w:trPr>
          <w:trHeight w:val="21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Telecommunications equipment</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64,593</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6,285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6,262</w:t>
            </w:r>
          </w:p>
        </w:tc>
      </w:tr>
      <w:tr>
        <w:trPr>
          <w:trHeight w:val="21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4,755</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Internal-use software development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19,968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22,175</w:t>
            </w:r>
          </w:p>
        </w:tc>
      </w:tr>
      <w:tr>
        <w:trPr>
          <w:trHeight w:val="215"/>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Automobile</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Land</w:t>
            </w:r>
          </w:p>
        </w:tc>
        <w:tc>
          <w:tcPr>
            <w:tcW w:w="18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15,785</w:t>
            </w:r>
          </w:p>
        </w:tc>
      </w:tr>
      <w:tr>
        <w:trPr>
          <w:trHeight w:val="207"/>
        </w:trPr>
        <w:tc>
          <w:tcPr>
            <w:tcW w:w="722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cost</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97,725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120,975</w:t>
            </w:r>
          </w:p>
        </w:tc>
      </w:tr>
      <w:tr>
        <w:trPr>
          <w:trHeight w:val="214"/>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Less—accumulated depreciation</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(54,325)</w:t>
            </w:r>
          </w:p>
        </w:tc>
      </w:tr>
      <w:tr>
        <w:trPr>
          <w:trHeight w:val="232"/>
        </w:trPr>
        <w:tc>
          <w:tcPr>
            <w:tcW w:w="72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66,650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Company capitalized $708 and $1,498 of software development costs for the three and six months ended June 30, 2020, respectively, and $1,301 and $2,404 for the three and six months ended June 30, 2021, respectively.</w:t>
      </w:r>
    </w:p>
    <w:p>
      <w:pPr>
        <w:spacing w:after="0" w:line="97"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Amortization expense related to capitalized software development costs were $588 and $1,170 for the three and six months ended June 30, 2020, respectively, and $525 and $945 for the three and six months ended June 30, 2021, respectively. As of June 30, 2021, unamortized implementation costs related to cloud computing arrangements are $499, of which $140 are included in prepaid expenses and other current assets and $359 are included in other long-term assets.</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Company leases automobiles under leases accounted for as finance leases with expiration dates ranging from December 31, 2021 to June 30, 2025. As of June 30, 2021, cost and accumulated depreciation of the assets under finance leases recorded by the Company were $610 and $135,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7"/>
                <w:szCs w:val="17"/>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4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2021</w:t>
            </w:r>
          </w:p>
        </w:tc>
      </w:tr>
      <w:tr>
        <w:trPr>
          <w:trHeight w:val="207"/>
        </w:trPr>
        <w:tc>
          <w:tcPr>
            <w:tcW w:w="41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Cost of revenue</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5,971</w:t>
            </w:r>
          </w:p>
        </w:tc>
      </w:tr>
      <w:tr>
        <w:trPr>
          <w:trHeight w:val="214"/>
        </w:trPr>
        <w:tc>
          <w:tcPr>
            <w:tcW w:w="41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533</w:t>
            </w:r>
          </w:p>
        </w:tc>
      </w:tr>
      <w:tr>
        <w:trPr>
          <w:trHeight w:val="215"/>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14"/>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1,952</w:t>
            </w:r>
          </w:p>
        </w:tc>
      </w:tr>
      <w:tr>
        <w:trPr>
          <w:trHeight w:val="232"/>
        </w:trPr>
        <w:tc>
          <w:tcPr>
            <w:tcW w:w="41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depreciation expense</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Intangible assets, net consisted of the following as of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Gross</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b w:val="1"/>
                <w:bCs w:val="1"/>
                <w:color w:val="auto"/>
              </w:rPr>
              <w:t>Accumulated</w:t>
            </w:r>
          </w:p>
        </w:tc>
        <w:tc>
          <w:tcPr>
            <w:tcW w:w="180" w:type="dxa"/>
            <w:vAlign w:val="bottom"/>
          </w:tcPr>
          <w:p>
            <w:pPr>
              <w:spacing w:after="0"/>
              <w:rPr>
                <w:sz w:val="16"/>
                <w:szCs w:val="16"/>
                <w:color w:val="auto"/>
              </w:rPr>
            </w:pPr>
          </w:p>
        </w:tc>
        <w:tc>
          <w:tcPr>
            <w:tcW w:w="1340" w:type="dxa"/>
            <w:vAlign w:val="bottom"/>
          </w:tcPr>
          <w:p>
            <w:pPr>
              <w:jc w:val="right"/>
              <w:ind w:right="196"/>
              <w:spacing w:after="0"/>
              <w:rPr>
                <w:sz w:val="20"/>
                <w:szCs w:val="20"/>
                <w:color w:val="auto"/>
              </w:rPr>
            </w:pPr>
            <w:r>
              <w:rPr>
                <w:rFonts w:ascii="Arial" w:cs="Arial" w:eastAsia="Arial" w:hAnsi="Arial"/>
                <w:sz w:val="17"/>
                <w:szCs w:val="17"/>
                <w:b w:val="1"/>
                <w:bCs w:val="1"/>
                <w:color w:val="auto"/>
              </w:rPr>
              <w:t>Net Carrying</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2"/>
              </w:rPr>
              <w:t>Amortization</w:t>
            </w:r>
          </w:p>
        </w:tc>
      </w:tr>
      <w:tr>
        <w:trPr>
          <w:trHeight w:val="214"/>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Amount</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Amortization</w:t>
            </w:r>
          </w:p>
        </w:tc>
        <w:tc>
          <w:tcPr>
            <w:tcW w:w="180" w:type="dxa"/>
            <w:vAlign w:val="bottom"/>
          </w:tcPr>
          <w:p>
            <w:pPr>
              <w:spacing w:after="0"/>
              <w:rPr>
                <w:sz w:val="18"/>
                <w:szCs w:val="18"/>
                <w:color w:val="auto"/>
              </w:rPr>
            </w:pPr>
          </w:p>
        </w:tc>
        <w:tc>
          <w:tcPr>
            <w:tcW w:w="1340" w:type="dxa"/>
            <w:vAlign w:val="bottom"/>
          </w:tcPr>
          <w:p>
            <w:pPr>
              <w:jc w:val="right"/>
              <w:ind w:right="476"/>
              <w:spacing w:after="0"/>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Period</w:t>
            </w:r>
          </w:p>
        </w:tc>
      </w:tr>
      <w:tr>
        <w:trPr>
          <w:trHeight w:val="207"/>
        </w:trPr>
        <w:tc>
          <w:tcPr>
            <w:tcW w:w="4840" w:type="dxa"/>
            <w:vAlign w:val="bottom"/>
          </w:tcPr>
          <w:p>
            <w:pPr>
              <w:ind w:left="20"/>
              <w:spacing w:after="0"/>
              <w:rPr>
                <w:sz w:val="20"/>
                <w:szCs w:val="20"/>
                <w:color w:val="auto"/>
              </w:rPr>
            </w:pPr>
            <w:r>
              <w:rPr>
                <w:rFonts w:ascii="Arial" w:cs="Arial" w:eastAsia="Arial" w:hAnsi="Arial"/>
                <w:sz w:val="17"/>
                <w:szCs w:val="17"/>
                <w:color w:val="auto"/>
              </w:rPr>
              <w:t>Dash acquisition and other intangibles:</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(Years)</w:t>
            </w:r>
          </w:p>
        </w:tc>
      </w:tr>
      <w:tr>
        <w:trPr>
          <w:trHeight w:val="214"/>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5,285</w:t>
            </w:r>
          </w:p>
        </w:tc>
        <w:tc>
          <w:tcPr>
            <w:tcW w:w="162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4"/>
              </w:rPr>
              <w:t>20</w:t>
            </w: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Other, definite lived</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36"/>
              <w:spacing w:after="0"/>
              <w:rPr>
                <w:sz w:val="20"/>
                <w:szCs w:val="20"/>
                <w:color w:val="auto"/>
              </w:rPr>
            </w:pPr>
            <w:r>
              <w:rPr>
                <w:rFonts w:ascii="Arial" w:cs="Arial" w:eastAsia="Arial" w:hAnsi="Arial"/>
                <w:sz w:val="17"/>
                <w:szCs w:val="17"/>
                <w:color w:val="auto"/>
                <w:w w:val="88"/>
              </w:rPr>
              <w:t>2 - 7</w:t>
            </w: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Licenses, indefinite lived</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r>
      <w:tr>
        <w:trPr>
          <w:trHeight w:val="20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Dash acquistion and other intangible assets</w:t>
            </w: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15,093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(9,044)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6,049</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r>
      <w:tr>
        <w:trPr>
          <w:trHeight w:val="119"/>
        </w:trPr>
        <w:tc>
          <w:tcPr>
            <w:tcW w:w="4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Voxbone acquistion:</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156,559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154,820</w:t>
            </w:r>
          </w:p>
        </w:tc>
        <w:tc>
          <w:tcPr>
            <w:tcW w:w="162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4"/>
              </w:rPr>
              <w:t>15</w:t>
            </w:r>
          </w:p>
        </w:tc>
      </w:tr>
      <w:tr>
        <w:trPr>
          <w:trHeight w:val="214"/>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Developed technology</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87,186</w:t>
            </w:r>
          </w:p>
        </w:tc>
        <w:tc>
          <w:tcPr>
            <w:tcW w:w="1620" w:type="dxa"/>
            <w:vAlign w:val="bottom"/>
            <w:tcBorders>
              <w:bottom w:val="single" w:sz="8" w:color="CCEEFF"/>
            </w:tcBorders>
            <w:gridSpan w:val="2"/>
          </w:tcPr>
          <w:p>
            <w:pPr>
              <w:jc w:val="center"/>
              <w:ind w:left="16"/>
              <w:spacing w:after="0"/>
              <w:rPr>
                <w:sz w:val="20"/>
                <w:szCs w:val="20"/>
                <w:color w:val="auto"/>
              </w:rPr>
            </w:pPr>
            <w:r>
              <w:rPr>
                <w:rFonts w:ascii="Arial" w:cs="Arial" w:eastAsia="Arial" w:hAnsi="Arial"/>
                <w:sz w:val="17"/>
                <w:szCs w:val="17"/>
                <w:color w:val="auto"/>
                <w:w w:val="84"/>
              </w:rPr>
              <w:t>10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Voxbone acquisition</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245,223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242,006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19"/>
        </w:trPr>
        <w:tc>
          <w:tcPr>
            <w:tcW w:w="484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r>
      <w:tr>
        <w:trPr>
          <w:trHeight w:val="232"/>
        </w:trPr>
        <w:tc>
          <w:tcPr>
            <w:tcW w:w="484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intangible assets, net</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260,316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248,055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Intangible assets, net consisted of the following as of June 30,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Gross</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b w:val="1"/>
                <w:bCs w:val="1"/>
                <w:color w:val="auto"/>
              </w:rPr>
              <w:t>Accumulated</w:t>
            </w:r>
          </w:p>
        </w:tc>
        <w:tc>
          <w:tcPr>
            <w:tcW w:w="180" w:type="dxa"/>
            <w:vAlign w:val="bottom"/>
          </w:tcPr>
          <w:p>
            <w:pPr>
              <w:spacing w:after="0"/>
              <w:rPr>
                <w:sz w:val="16"/>
                <w:szCs w:val="16"/>
                <w:color w:val="auto"/>
              </w:rPr>
            </w:pPr>
          </w:p>
        </w:tc>
        <w:tc>
          <w:tcPr>
            <w:tcW w:w="1340" w:type="dxa"/>
            <w:vAlign w:val="bottom"/>
          </w:tcPr>
          <w:p>
            <w:pPr>
              <w:jc w:val="right"/>
              <w:ind w:right="196"/>
              <w:spacing w:after="0"/>
              <w:rPr>
                <w:sz w:val="20"/>
                <w:szCs w:val="20"/>
                <w:color w:val="auto"/>
              </w:rPr>
            </w:pPr>
            <w:r>
              <w:rPr>
                <w:rFonts w:ascii="Arial" w:cs="Arial" w:eastAsia="Arial" w:hAnsi="Arial"/>
                <w:sz w:val="17"/>
                <w:szCs w:val="17"/>
                <w:b w:val="1"/>
                <w:bCs w:val="1"/>
                <w:color w:val="auto"/>
              </w:rPr>
              <w:t>Net Carrying</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2"/>
              </w:rPr>
              <w:t>Amortization</w:t>
            </w:r>
          </w:p>
        </w:tc>
      </w:tr>
      <w:tr>
        <w:trPr>
          <w:trHeight w:val="214"/>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Amount</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Amortization</w:t>
            </w:r>
          </w:p>
        </w:tc>
        <w:tc>
          <w:tcPr>
            <w:tcW w:w="180" w:type="dxa"/>
            <w:vAlign w:val="bottom"/>
          </w:tcPr>
          <w:p>
            <w:pPr>
              <w:spacing w:after="0"/>
              <w:rPr>
                <w:sz w:val="18"/>
                <w:szCs w:val="18"/>
                <w:color w:val="auto"/>
              </w:rPr>
            </w:pPr>
          </w:p>
        </w:tc>
        <w:tc>
          <w:tcPr>
            <w:tcW w:w="1340" w:type="dxa"/>
            <w:vAlign w:val="bottom"/>
          </w:tcPr>
          <w:p>
            <w:pPr>
              <w:jc w:val="right"/>
              <w:ind w:right="476"/>
              <w:spacing w:after="0"/>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Period</w:t>
            </w:r>
          </w:p>
        </w:tc>
      </w:tr>
      <w:tr>
        <w:trPr>
          <w:trHeight w:val="207"/>
        </w:trPr>
        <w:tc>
          <w:tcPr>
            <w:tcW w:w="4840" w:type="dxa"/>
            <w:vAlign w:val="bottom"/>
          </w:tcPr>
          <w:p>
            <w:pPr>
              <w:ind w:left="20"/>
              <w:spacing w:after="0"/>
              <w:rPr>
                <w:sz w:val="20"/>
                <w:szCs w:val="20"/>
                <w:color w:val="auto"/>
              </w:rPr>
            </w:pPr>
            <w:r>
              <w:rPr>
                <w:rFonts w:ascii="Arial" w:cs="Arial" w:eastAsia="Arial" w:hAnsi="Arial"/>
                <w:sz w:val="17"/>
                <w:szCs w:val="17"/>
                <w:color w:val="auto"/>
              </w:rPr>
              <w:t>Dash acquisition and other intangibles:</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(Years)</w:t>
            </w:r>
          </w:p>
        </w:tc>
      </w:tr>
      <w:tr>
        <w:trPr>
          <w:trHeight w:val="214"/>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5,025</w:t>
            </w:r>
          </w:p>
        </w:tc>
        <w:tc>
          <w:tcPr>
            <w:tcW w:w="162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4"/>
              </w:rPr>
              <w:t>20</w:t>
            </w: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Other, definite lived</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36"/>
              <w:spacing w:after="0"/>
              <w:rPr>
                <w:sz w:val="20"/>
                <w:szCs w:val="20"/>
                <w:color w:val="auto"/>
              </w:rPr>
            </w:pPr>
            <w:r>
              <w:rPr>
                <w:rFonts w:ascii="Arial" w:cs="Arial" w:eastAsia="Arial" w:hAnsi="Arial"/>
                <w:sz w:val="17"/>
                <w:szCs w:val="17"/>
                <w:color w:val="auto"/>
                <w:w w:val="88"/>
              </w:rPr>
              <w:t>2 - 7</w:t>
            </w: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Licenses, indefinite lived</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Indefinite</w:t>
            </w:r>
          </w:p>
        </w:tc>
      </w:tr>
      <w:tr>
        <w:trPr>
          <w:trHeight w:val="20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Dash acquisition and other intangible assets</w:t>
            </w: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15,093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(9,304)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5,789</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r>
      <w:tr>
        <w:trPr>
          <w:trHeight w:val="119"/>
        </w:trPr>
        <w:tc>
          <w:tcPr>
            <w:tcW w:w="4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Voxbone acquisition:</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relationships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144,816</w:t>
            </w:r>
          </w:p>
        </w:tc>
        <w:tc>
          <w:tcPr>
            <w:tcW w:w="1620" w:type="dxa"/>
            <w:vAlign w:val="bottom"/>
            <w:gridSpan w:val="2"/>
            <w:shd w:val="clear" w:color="auto" w:fill="CCEEFF"/>
          </w:tcPr>
          <w:p>
            <w:pPr>
              <w:jc w:val="center"/>
              <w:ind w:left="16"/>
              <w:spacing w:after="0"/>
              <w:rPr>
                <w:sz w:val="20"/>
                <w:szCs w:val="20"/>
                <w:color w:val="auto"/>
              </w:rPr>
            </w:pPr>
            <w:r>
              <w:rPr>
                <w:rFonts w:ascii="Arial" w:cs="Arial" w:eastAsia="Arial" w:hAnsi="Arial"/>
                <w:sz w:val="17"/>
                <w:szCs w:val="17"/>
                <w:color w:val="auto"/>
                <w:w w:val="84"/>
              </w:rPr>
              <w:t>15</w:t>
            </w:r>
          </w:p>
        </w:tc>
      </w:tr>
      <w:tr>
        <w:trPr>
          <w:trHeight w:val="214"/>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Developed technology</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80,106</w:t>
            </w:r>
          </w:p>
        </w:tc>
        <w:tc>
          <w:tcPr>
            <w:tcW w:w="1620" w:type="dxa"/>
            <w:vAlign w:val="bottom"/>
            <w:tcBorders>
              <w:bottom w:val="single" w:sz="8" w:color="CCEEFF"/>
            </w:tcBorders>
            <w:gridSpan w:val="2"/>
          </w:tcPr>
          <w:p>
            <w:pPr>
              <w:jc w:val="center"/>
              <w:ind w:left="16"/>
              <w:spacing w:after="0"/>
              <w:rPr>
                <w:sz w:val="20"/>
                <w:szCs w:val="20"/>
                <w:color w:val="auto"/>
              </w:rPr>
            </w:pPr>
            <w:r>
              <w:rPr>
                <w:rFonts w:ascii="Arial" w:cs="Arial" w:eastAsia="Arial" w:hAnsi="Arial"/>
                <w:sz w:val="17"/>
                <w:szCs w:val="17"/>
                <w:color w:val="auto"/>
                <w:w w:val="84"/>
              </w:rPr>
              <w:t>10</w:t>
            </w:r>
          </w:p>
        </w:tc>
      </w:tr>
      <w:tr>
        <w:trPr>
          <w:trHeight w:val="207"/>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Voxbone acquisition</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237,379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224,922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19"/>
        </w:trPr>
        <w:tc>
          <w:tcPr>
            <w:tcW w:w="484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20" w:type="dxa"/>
            <w:vAlign w:val="bottom"/>
            <w:tcBorders>
              <w:bottom w:val="single" w:sz="8" w:color="CCEEFF"/>
            </w:tcBorders>
          </w:tcPr>
          <w:p>
            <w:pPr>
              <w:spacing w:after="0"/>
              <w:rPr>
                <w:sz w:val="10"/>
                <w:szCs w:val="10"/>
                <w:color w:val="auto"/>
              </w:rPr>
            </w:pPr>
          </w:p>
        </w:tc>
      </w:tr>
      <w:tr>
        <w:trPr>
          <w:trHeight w:val="23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230,711</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recognized amortization expense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7"/>
                <w:szCs w:val="17"/>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4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2021</w:t>
            </w:r>
          </w:p>
        </w:tc>
      </w:tr>
      <w:tr>
        <w:trPr>
          <w:trHeight w:val="207"/>
        </w:trPr>
        <w:tc>
          <w:tcPr>
            <w:tcW w:w="4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Cost of revenue</w:t>
            </w:r>
          </w:p>
        </w:tc>
        <w:tc>
          <w:tcPr>
            <w:tcW w:w="1200" w:type="dxa"/>
            <w:vAlign w:val="bottom"/>
            <w:shd w:val="clear" w:color="auto" w:fill="CCEEFF"/>
          </w:tcPr>
          <w:p>
            <w:pPr>
              <w:jc w:val="right"/>
              <w:ind w:right="1016"/>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4,351</w:t>
            </w:r>
          </w:p>
        </w:tc>
      </w:tr>
      <w:tr>
        <w:trPr>
          <w:trHeight w:val="214"/>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5,380</w:t>
            </w:r>
          </w:p>
        </w:tc>
      </w:tr>
      <w:tr>
        <w:trPr>
          <w:trHeight w:val="232"/>
        </w:trPr>
        <w:tc>
          <w:tcPr>
            <w:tcW w:w="420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amortization expense</w:t>
            </w: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remaining weighted average amortization period for definite lived intangible assets is 12.5 years.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estimated amortization expense for definite lived intangible assets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41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9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b w:val="1"/>
                <w:bCs w:val="1"/>
                <w:color w:val="auto"/>
              </w:rPr>
              <w:t>2021</w:t>
            </w:r>
          </w:p>
        </w:tc>
      </w:tr>
      <w:tr>
        <w:trPr>
          <w:trHeight w:val="207"/>
        </w:trPr>
        <w:tc>
          <w:tcPr>
            <w:tcW w:w="92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2021 (remaining)</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9,603</w:t>
            </w:r>
          </w:p>
        </w:tc>
      </w:tr>
      <w:tr>
        <w:trPr>
          <w:trHeight w:val="214"/>
        </w:trPr>
        <w:tc>
          <w:tcPr>
            <w:tcW w:w="9220" w:type="dxa"/>
            <w:vAlign w:val="bottom"/>
          </w:tcPr>
          <w:p>
            <w:pPr>
              <w:ind w:left="20"/>
              <w:spacing w:after="0"/>
              <w:rPr>
                <w:sz w:val="20"/>
                <w:szCs w:val="20"/>
                <w:color w:val="auto"/>
              </w:rPr>
            </w:pPr>
            <w:r>
              <w:rPr>
                <w:rFonts w:ascii="Arial" w:cs="Arial" w:eastAsia="Arial" w:hAnsi="Arial"/>
                <w:sz w:val="17"/>
                <w:szCs w:val="17"/>
                <w:color w:val="auto"/>
              </w:rPr>
              <w:t>2022</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19,206</w:t>
            </w:r>
          </w:p>
        </w:tc>
      </w:tr>
      <w:tr>
        <w:trPr>
          <w:trHeight w:val="215"/>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19,206</w:t>
            </w:r>
          </w:p>
        </w:tc>
      </w:tr>
      <w:tr>
        <w:trPr>
          <w:trHeight w:val="214"/>
        </w:trPr>
        <w:tc>
          <w:tcPr>
            <w:tcW w:w="9220" w:type="dxa"/>
            <w:vAlign w:val="bottom"/>
          </w:tcPr>
          <w:p>
            <w:pPr>
              <w:ind w:left="20"/>
              <w:spacing w:after="0"/>
              <w:rPr>
                <w:sz w:val="20"/>
                <w:szCs w:val="20"/>
                <w:color w:val="auto"/>
              </w:rPr>
            </w:pPr>
            <w:r>
              <w:rPr>
                <w:rFonts w:ascii="Arial" w:cs="Arial" w:eastAsia="Arial" w:hAnsi="Arial"/>
                <w:sz w:val="17"/>
                <w:szCs w:val="17"/>
                <w:color w:val="auto"/>
              </w:rPr>
              <w:t>2024</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19,206</w:t>
            </w:r>
          </w:p>
        </w:tc>
      </w:tr>
      <w:tr>
        <w:trPr>
          <w:trHeight w:val="215"/>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19,206</w:t>
            </w:r>
          </w:p>
        </w:tc>
      </w:tr>
      <w:tr>
        <w:trPr>
          <w:trHeight w:val="214"/>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143,520</w:t>
            </w:r>
          </w:p>
        </w:tc>
      </w:tr>
      <w:tr>
        <w:trPr>
          <w:trHeight w:val="232"/>
        </w:trPr>
        <w:tc>
          <w:tcPr>
            <w:tcW w:w="9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229,947</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Revolving Loan</w:t>
      </w:r>
    </w:p>
    <w:p>
      <w:pPr>
        <w:spacing w:after="0" w:line="159" w:lineRule="exact"/>
        <w:rPr>
          <w:sz w:val="20"/>
          <w:szCs w:val="20"/>
          <w:color w:val="auto"/>
        </w:rPr>
      </w:pPr>
    </w:p>
    <w:p>
      <w:pPr>
        <w:jc w:val="both"/>
        <w:ind w:firstLine="605"/>
        <w:spacing w:after="0" w:line="279" w:lineRule="auto"/>
        <w:rPr>
          <w:sz w:val="20"/>
          <w:szCs w:val="20"/>
          <w:color w:val="auto"/>
        </w:rPr>
      </w:pPr>
      <w:r>
        <w:rPr>
          <w:rFonts w:ascii="Arial" w:cs="Arial" w:eastAsia="Arial" w:hAnsi="Arial"/>
          <w:sz w:val="17"/>
          <w:szCs w:val="17"/>
          <w:color w:val="auto"/>
        </w:rPr>
        <w:t>On May 25, 2021, the Company terminated the Credit and Security Agreement, dated as of November 4, 2016 as amended and restated as of March 1, 2019, among the Company, Key Bank National Association, and KeyBanc Capital Markets Inc. (the “Credit Agreement”). The agreement provided for a secured $25,000 revolving credit facility. As of December 31, 2020 and at the date of termination, no outstanding indebtedness existed under the Credit Facility and the Company was in compliance with all financial and non-financial covenants.</w:t>
      </w:r>
    </w:p>
    <w:p>
      <w:pPr>
        <w:spacing w:after="0" w:line="100"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As of December 31, 2020, unamortized debt issuance costs were $83, of which $74 were included in prepaid expenses and other current assets and $9 were included in other long-term assets. As of June 30, 2021, the outstanding debt issuance costs were $0.</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Senior Notes and Capped Call Transactions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2026 Convertible Notes</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On February 28, 2020, the Company issued $400,000 aggregate principal amount of 0.25% Convertible Notes due March 1, 2026 in a private placement to qualified institutional buyers pursuant to Rule 144A under the Securities Act (the “2026 Convertible Notes,” and together with the 2028 Convertible Notes, the “Convertible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Notes”). The interest on the 2026 Convertible Notes is payable semi-annually in arrears on March 1 and September 1 of each year, beginning on September 1, 2020.</w:t>
      </w:r>
    </w:p>
    <w:p>
      <w:pPr>
        <w:spacing w:after="0" w:line="97"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The 2026 Convertible Notes may bear special interest under specified circumstances relating to the Company's failure to comply with its reporting obligations under the indenture governing the 2026 Convertible Notes (the “2026 Indenture”) or if the 2026 Convertible Notes are not freely tradeable as required by the 2026 Indenture. The 2026 Convertible Notes will mature on March 1, 2026, unless earlier repurchased, redeemed by the Company, or converted pursuant to their terms. The total net proceeds from the 2026 Convertible Notes, after deducting initial purchaser discounts, costs related to the 2026 Capped Calls, and debt issuance costs, paid by the Company, were approximately $344,722.</w:t>
      </w:r>
    </w:p>
    <w:p>
      <w:pPr>
        <w:spacing w:after="0" w:line="103"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Each $1 principal amount of the 2026 Convertible Notes is initially convertible into 10.9857 shares of the Company's Class A common stock, par value $0.001 per share, which is equivalent to an initial conversion price of approximately $91.03 per share. The conversion rate is subject to adjustment upon the occurrence of certain specified events but will not be adjusted for any accrued and unpaid special interest. In addition, upon the occurrence of a make-whole fundamental change, as defined in the 2026 Indenture, the Company will, in certain circumstances, increase the conversion rate by a number of additional shares for a holder that elects to convert its 2026 Convertible Notes in connection with such make-whole fundamental change or during the relevant redemption period.</w:t>
      </w:r>
    </w:p>
    <w:p>
      <w:pPr>
        <w:spacing w:after="0" w:line="123" w:lineRule="exact"/>
        <w:rPr>
          <w:sz w:val="20"/>
          <w:szCs w:val="20"/>
          <w:color w:val="auto"/>
        </w:rPr>
      </w:pPr>
    </w:p>
    <w:p>
      <w:pPr>
        <w:jc w:val="both"/>
        <w:ind w:firstLine="605"/>
        <w:spacing w:after="0" w:line="296" w:lineRule="auto"/>
        <w:rPr>
          <w:sz w:val="20"/>
          <w:szCs w:val="20"/>
          <w:color w:val="auto"/>
        </w:rPr>
      </w:pPr>
      <w:r>
        <w:rPr>
          <w:rFonts w:ascii="Arial" w:cs="Arial" w:eastAsia="Arial" w:hAnsi="Arial"/>
          <w:sz w:val="16"/>
          <w:szCs w:val="16"/>
          <w:color w:val="auto"/>
        </w:rPr>
        <w:t>The 2026 Convertible Notes will be redeemable in whole or in part at the Company's option on or after March 6, 2023, but before the 40th scheduled trading day before the maturity date, at a cash redemption price equal to 100% of the principal amount of the 2026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88"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Prior to the close of business on the business day immediately preceding September 1, 2025, the 2026 Convertible Notes may be convertible at the option of the holders only under the following circumstances:</w:t>
      </w:r>
    </w:p>
    <w:p>
      <w:pPr>
        <w:spacing w:after="0" w:line="97" w:lineRule="exact"/>
        <w:rPr>
          <w:sz w:val="20"/>
          <w:szCs w:val="20"/>
          <w:color w:val="auto"/>
        </w:rPr>
      </w:pPr>
    </w:p>
    <w:p>
      <w:pPr>
        <w:jc w:val="both"/>
        <w:ind w:left="600" w:firstLine="611"/>
        <w:spacing w:after="0" w:line="259" w:lineRule="auto"/>
        <w:tabs>
          <w:tab w:leader="none" w:pos="1799"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2020 (and only during such calendar quarter),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15" w:lineRule="exact"/>
        <w:rPr>
          <w:rFonts w:ascii="Arial" w:cs="Arial" w:eastAsia="Arial" w:hAnsi="Arial"/>
          <w:sz w:val="18"/>
          <w:szCs w:val="18"/>
          <w:color w:val="auto"/>
        </w:rPr>
      </w:pPr>
    </w:p>
    <w:p>
      <w:pPr>
        <w:jc w:val="both"/>
        <w:ind w:left="600" w:firstLine="611"/>
        <w:spacing w:after="0" w:line="259" w:lineRule="auto"/>
        <w:tabs>
          <w:tab w:leader="none" w:pos="1799"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(such 10 consecutive trading day period, the “measurement period”) in which the trading price per $1 principal amount of 2026 Convertible Notes for each trading day of the measurement period was less than 98% of the product of the last reported sale price per share of the Company's Class A common stock on such trading day and the conversion rate on such trading day;</w:t>
      </w:r>
    </w:p>
    <w:p>
      <w:pPr>
        <w:spacing w:after="0" w:line="115" w:lineRule="exact"/>
        <w:rPr>
          <w:rFonts w:ascii="Arial" w:cs="Arial" w:eastAsia="Arial" w:hAnsi="Arial"/>
          <w:sz w:val="18"/>
          <w:szCs w:val="18"/>
          <w:color w:val="auto"/>
        </w:rPr>
      </w:pPr>
    </w:p>
    <w:p>
      <w:pPr>
        <w:ind w:left="1800" w:hanging="589"/>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its Class A common stock; and</w:t>
      </w:r>
    </w:p>
    <w:p>
      <w:pPr>
        <w:spacing w:after="0" w:line="158" w:lineRule="exact"/>
        <w:rPr>
          <w:rFonts w:ascii="Arial" w:cs="Arial" w:eastAsia="Arial" w:hAnsi="Arial"/>
          <w:sz w:val="18"/>
          <w:szCs w:val="18"/>
          <w:color w:val="auto"/>
        </w:rPr>
      </w:pPr>
    </w:p>
    <w:p>
      <w:pPr>
        <w:ind w:left="1800" w:hanging="589"/>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calls such 2026 Convertible Notes for redemption.</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On or after September 1, 2025, until the close of business on the second scheduled trading day immediately preceding the maturity date, holders of the 2026 Convertible Notes may, at their option, convert all or a portion of their 2026 Convertible Notes regardless of the foregoing conditions.</w:t>
      </w:r>
    </w:p>
    <w:p>
      <w:pPr>
        <w:spacing w:after="0" w:line="111"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Prior to and during the three and six months ended June 30, 2021, the conditional conversion feature of the 2026 Convertible Notes was triggered as the last reported sale price of the Company's Class A common stock was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 than or equal to 130% of the conversion price for at least 20 trading days (whether or not consecutive) in the period of 30 consecutive trading days ending on or after June 30, 2020 (the last trading day of the calendar quarter), and therefore the 2026 Convertible Notes were convertible, in whole or in part, at the option of the holders between July 1, 2020 through June 30, 2021. Whether the 2026 Convertible Notes will be convertible following such period will depend on the continued satisfaction of this condition or another conversion condition in the future. The Company continues to classify the 2026 Convertible Notes as a long-term liability in its condensed consolidated balance sheet as of June 30, 2021, based on contractual settlement provisions.</w:t>
      </w:r>
    </w:p>
    <w:p>
      <w:pPr>
        <w:spacing w:after="0" w:line="12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Upon conversion, the Company will pay or deliver, as the case may be, cash, shares of Class A common stock, or a combination of cash and shares of Class A common stock, at the Company's election. It is the Company's current intent to settle the principal amount of the 2026 Convertible Notes with cash.</w:t>
      </w:r>
    </w:p>
    <w:p>
      <w:pPr>
        <w:spacing w:after="0" w:line="111"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No sinking fund is provided for the 2026 Convertible Notes. Upon the occurrence of a fundamental change (as defined in the 2026 Indenture) prior to the maturity date, holders may require the Company to repurchase all or a portion of the 2026 Convertible Notes for cash at a price equal to the principal amount of the 2026 Convertible Notes to be repurchased, plus any accrued and unpaid interest to, but excluding, the fundamental change repurchase date.</w:t>
      </w:r>
    </w:p>
    <w:p>
      <w:pPr>
        <w:spacing w:after="0" w:line="115" w:lineRule="exact"/>
        <w:rPr>
          <w:sz w:val="20"/>
          <w:szCs w:val="20"/>
          <w:color w:val="auto"/>
        </w:rPr>
      </w:pPr>
    </w:p>
    <w:p>
      <w:pPr>
        <w:jc w:val="both"/>
        <w:ind w:firstLine="605"/>
        <w:spacing w:after="0" w:line="289" w:lineRule="auto"/>
        <w:rPr>
          <w:sz w:val="20"/>
          <w:szCs w:val="20"/>
          <w:color w:val="auto"/>
        </w:rPr>
      </w:pPr>
      <w:r>
        <w:rPr>
          <w:rFonts w:ascii="Arial" w:cs="Arial" w:eastAsia="Arial" w:hAnsi="Arial"/>
          <w:sz w:val="16"/>
          <w:szCs w:val="16"/>
          <w:color w:val="auto"/>
        </w:rPr>
        <w:t>In accounting for the issuance of the 2026 Convertible Notes, the Company separated the 2026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$125,160 and was determined by deducting the fair value of the liability component from the par value of the 2026 Convertible Notes. The difference represents the debt discount that is amortized to interest expense at an effective interest rate of 6.763% over the term of the 2026 Convertible Notes. The carrying amount of the equity component was $57,491 and is recorded in additional paid-in-capital.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6.907% over the contractual terms of the 2026 Convertible Notes.</w:t>
      </w:r>
    </w:p>
    <w:p>
      <w:pPr>
        <w:spacing w:after="0" w:line="94"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In accounting for the transaction costs related to the 2026 Convertible Notes, the Company allocated the total amount incurred to the liability and equity components of the 2026 Convertible Notes based on the proportion of the proceeds allocated to the debt and equity components. Issuance costs attributable to the liability component were approximately $8,217, were recorded as an additional debt discount and are amortized to interest expense using the effective interest method over the contractual terms of the 2026 Convertible Notes. Issuance costs attributable to the equity component of $3,742 were netted with the equity component in stockholders’ equity.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2028 Convertible Notes</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On March 16, 2021, the Company issued $250,000 aggregate principal amount of 0.50% Convertible Notes due April 1, 2028 in a private placement to qualified institutional buyers pursuant to Rule 144A under the Securities Act (the “2028 Convertible Notes”). The interest on the 2028 Convertible Notes is payable semi-annually in arrears on April 1 and October 1 of each year, beginning on October 1, 2021.</w:t>
      </w:r>
    </w:p>
    <w:p>
      <w:pPr>
        <w:spacing w:after="0" w:line="111"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The 2028 Convertible Notes may bear special interest under specified circumstances relating to the Company's failure to comply with its reporting obligations under the indenture governing the 2028 Convertible Notes (the “2028 Indenture”) or if the 2028 Convertible Notes are not freely tradeable as required by the 2028 Indenture. The 2028 Convertible Notes will mature on April 1, 2028, unless earlier repurchased, redeemed by the Company, or converted pursuant to their terms. The total net proceeds from the 2028 Convertible Notes, after deducting initial purchaser discounts, costs related to the 2028 Capped Calls, and debt issuance costs, paid by the Company, were approximately $216,956.</w:t>
      </w:r>
    </w:p>
    <w:p>
      <w:pPr>
        <w:spacing w:after="0" w:line="10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Each $1 principal amount of the 2028 Convertible Notes is initially convertible into 5.5781 shares of the Company's Class A common stock, par value $0.001 per share, which is equivalent to an initial conversion price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approximately $179.27 per share. The conversion rate is subject to adjustment upon the occurrence of certain specified events but will not be adjusted for any accrued and unpaid special interest. In addition, upon the occurrence of a make-whole fundamental change, as defined in the 2028 Indenture, the Company will, in certain circumstances, increase the conversion rate by a number of additional shares for a holder that elects to convert its 2028 Convertible Notes in connection with such make-whole fundamental change or during the relevant redemption period.</w:t>
      </w:r>
    </w:p>
    <w:p>
      <w:pPr>
        <w:spacing w:after="0" w:line="100" w:lineRule="exact"/>
        <w:rPr>
          <w:sz w:val="20"/>
          <w:szCs w:val="20"/>
          <w:color w:val="auto"/>
        </w:rPr>
      </w:pPr>
    </w:p>
    <w:p>
      <w:pPr>
        <w:jc w:val="both"/>
        <w:ind w:firstLine="605"/>
        <w:spacing w:after="0" w:line="296" w:lineRule="auto"/>
        <w:rPr>
          <w:sz w:val="20"/>
          <w:szCs w:val="20"/>
          <w:color w:val="auto"/>
        </w:rPr>
      </w:pPr>
      <w:r>
        <w:rPr>
          <w:rFonts w:ascii="Arial" w:cs="Arial" w:eastAsia="Arial" w:hAnsi="Arial"/>
          <w:sz w:val="16"/>
          <w:szCs w:val="16"/>
          <w:color w:val="auto"/>
        </w:rPr>
        <w:t>The 2028 Convertible Notes will be redeemable in whole or in part at the Company's option on or after April 6, 2025, but before the 40th scheduled trading day before the maturity date, at a cash redemption price equal to 100% of the principal amount of the 2028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or after April 6, 2025 until the close of business on the scheduled trading day immediately preceding the maturity date, the 2028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may be convertible at the option of the holders only under the following circumstances:</w:t>
      </w:r>
    </w:p>
    <w:p>
      <w:pPr>
        <w:spacing w:after="0" w:line="143" w:lineRule="exact"/>
        <w:rPr>
          <w:sz w:val="20"/>
          <w:szCs w:val="20"/>
          <w:color w:val="auto"/>
        </w:rPr>
      </w:pPr>
    </w:p>
    <w:p>
      <w:pPr>
        <w:jc w:val="both"/>
        <w:ind w:left="600" w:firstLine="611"/>
        <w:spacing w:after="0" w:line="259" w:lineRule="auto"/>
        <w:tabs>
          <w:tab w:leader="none" w:pos="1799"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15" w:lineRule="exact"/>
        <w:rPr>
          <w:rFonts w:ascii="Arial" w:cs="Arial" w:eastAsia="Arial" w:hAnsi="Arial"/>
          <w:sz w:val="18"/>
          <w:szCs w:val="18"/>
          <w:color w:val="auto"/>
        </w:rPr>
      </w:pPr>
    </w:p>
    <w:p>
      <w:pPr>
        <w:jc w:val="both"/>
        <w:ind w:left="600" w:firstLine="611"/>
        <w:spacing w:after="0" w:line="259" w:lineRule="auto"/>
        <w:tabs>
          <w:tab w:leader="none" w:pos="1799"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10 consecutive trading day period (such 10 consecutive trading day period, the “measurement period”) in which the trading price per $1 principal amount of 2028 Convertible Notes for each trading day of the measurement period was less than 98% of the product of the last reported sale price per share of the Company's Class A common stock on such trading day and the conversion rate on such trading day;</w:t>
      </w:r>
    </w:p>
    <w:p>
      <w:pPr>
        <w:spacing w:after="0" w:line="115" w:lineRule="exact"/>
        <w:rPr>
          <w:rFonts w:ascii="Arial" w:cs="Arial" w:eastAsia="Arial" w:hAnsi="Arial"/>
          <w:sz w:val="18"/>
          <w:szCs w:val="18"/>
          <w:color w:val="auto"/>
        </w:rPr>
      </w:pPr>
    </w:p>
    <w:p>
      <w:pPr>
        <w:ind w:left="1800" w:hanging="589"/>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its Class A common stock; and</w:t>
      </w:r>
    </w:p>
    <w:p>
      <w:pPr>
        <w:spacing w:after="0" w:line="158" w:lineRule="exact"/>
        <w:rPr>
          <w:rFonts w:ascii="Arial" w:cs="Arial" w:eastAsia="Arial" w:hAnsi="Arial"/>
          <w:sz w:val="18"/>
          <w:szCs w:val="18"/>
          <w:color w:val="auto"/>
        </w:rPr>
      </w:pPr>
    </w:p>
    <w:p>
      <w:pPr>
        <w:ind w:left="1800" w:hanging="589"/>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Company calls such 2028 Convertible Notes for redemption.</w:t>
      </w:r>
    </w:p>
    <w:p>
      <w:pPr>
        <w:spacing w:after="0" w:line="159" w:lineRule="exact"/>
        <w:rPr>
          <w:sz w:val="20"/>
          <w:szCs w:val="20"/>
          <w:color w:val="auto"/>
        </w:rPr>
      </w:pPr>
    </w:p>
    <w:p>
      <w:pPr>
        <w:jc w:val="both"/>
        <w:ind w:firstLine="605"/>
        <w:spacing w:after="0" w:line="311" w:lineRule="auto"/>
        <w:rPr>
          <w:sz w:val="20"/>
          <w:szCs w:val="20"/>
          <w:color w:val="auto"/>
        </w:rPr>
      </w:pPr>
      <w:r>
        <w:rPr>
          <w:rFonts w:ascii="Arial" w:cs="Arial" w:eastAsia="Arial" w:hAnsi="Arial"/>
          <w:sz w:val="17"/>
          <w:szCs w:val="17"/>
          <w:color w:val="auto"/>
        </w:rPr>
        <w:t>On or after October 1, 2027, until the close of business on the second scheduled trading day immediately preceding the maturity date, holders of the 2028 Convertible Notes may, at their option, convert all or a portion of their Convertible Notes regardless of the foregoing conditions.</w:t>
      </w:r>
    </w:p>
    <w:p>
      <w:pPr>
        <w:spacing w:after="0" w:line="7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Upon conversion, the Company will pay or deliver, as the case may be, cash, shares of Class A common stock, or a combination of cash and shares of Class A common stock, at the Company's election. It is the Company's current intent to settle the principal amount of the 2028 Convertible Notes with cash.</w:t>
      </w:r>
    </w:p>
    <w:p>
      <w:pPr>
        <w:spacing w:after="0" w:line="111"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No sinking fund is provided for the 2028 Convertible Notes. Upon the occurrence of a fundamental change (as defined in the 2028 Indenture) prior to the maturity date, holders may require the Company to repurchase all or a portion of the 2028 Convertible Notes for cash at a price equal to the principal amount of the 2028 Convertible Notes to be repurchased, plus any accrued and unpaid interest to, but excluding, the fundamental change repurchase date.</w:t>
      </w:r>
    </w:p>
    <w:p>
      <w:pPr>
        <w:spacing w:after="0" w:line="115"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In accounting for the issuance of the 2028 Convertible Notes, the Company separated the 2028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$66,908 and was determined by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deducting the fair value of the liability component from the par value of the 2028 Convertible Notes. The difference represents the debt discount that is amortized to interest expense at an effective interest rate of 5.125% over the term of the 2028 Convertible Notes. The carrying amount of the equity component was $39,389 and is recorded in additional paid-in-capital.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4.959% over the contractual terms of the 2028 Convertible Notes.</w:t>
      </w:r>
    </w:p>
    <w:p>
      <w:pPr>
        <w:spacing w:after="0" w:line="103"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In accounting for the transaction costs related to the 2028 Convertible Notes, the Company allocated the total amount incurred to the liability and equity components of the 2028 Convertible Notes based on the proportion of the proceeds allocated to the debt and equity components. Issuance costs attributable to the liability component were approximately $5,525, were recorded as an additional debt discount and are amortized to interest expense using the effective interest method over the contractual terms of the 2028 Convertible Notes. Issuance costs attributable to the equity component of $2,019 were netted with the equity component in stockholders’ equity.</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net carrying amount of the liability components of the 2026 and 2028 Convertible Notes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tcPr>
          <w:p>
            <w:pPr>
              <w:spacing w:after="0"/>
              <w:rPr>
                <w:sz w:val="18"/>
                <w:szCs w:val="18"/>
                <w:color w:val="auto"/>
              </w:rPr>
            </w:pPr>
          </w:p>
        </w:tc>
        <w:tc>
          <w:tcPr>
            <w:tcW w:w="16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195"/>
        </w:trPr>
        <w:tc>
          <w:tcPr>
            <w:tcW w:w="380" w:type="dxa"/>
            <w:vAlign w:val="bottom"/>
          </w:tcPr>
          <w:p>
            <w:pPr>
              <w:ind w:left="20"/>
              <w:spacing w:after="0" w:line="194" w:lineRule="exact"/>
              <w:rPr>
                <w:sz w:val="20"/>
                <w:szCs w:val="20"/>
                <w:color w:val="auto"/>
              </w:rPr>
            </w:pPr>
            <w:r>
              <w:rPr>
                <w:rFonts w:ascii="Arial" w:cs="Arial" w:eastAsia="Arial" w:hAnsi="Arial"/>
                <w:sz w:val="17"/>
                <w:szCs w:val="17"/>
                <w:color w:val="auto"/>
                <w:w w:val="89"/>
              </w:rPr>
              <w:t>2026</w:t>
            </w:r>
          </w:p>
        </w:tc>
        <w:tc>
          <w:tcPr>
            <w:tcW w:w="6840" w:type="dxa"/>
            <w:vAlign w:val="bottom"/>
          </w:tcPr>
          <w:p>
            <w:pPr>
              <w:ind w:left="20"/>
              <w:spacing w:after="0" w:line="194" w:lineRule="exact"/>
              <w:rPr>
                <w:sz w:val="20"/>
                <w:szCs w:val="20"/>
                <w:color w:val="auto"/>
              </w:rPr>
            </w:pPr>
            <w:r>
              <w:rPr>
                <w:rFonts w:ascii="Arial" w:cs="Arial" w:eastAsia="Arial" w:hAnsi="Arial"/>
                <w:sz w:val="17"/>
                <w:szCs w:val="17"/>
                <w:color w:val="auto"/>
              </w:rPr>
              <w:t>Convertible Notes:</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5"/>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Principal</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r>
      <w:tr>
        <w:trPr>
          <w:trHeight w:val="214"/>
        </w:trPr>
        <w:tc>
          <w:tcPr>
            <w:tcW w:w="7220" w:type="dxa"/>
            <w:vAlign w:val="bottom"/>
            <w:gridSpan w:val="2"/>
          </w:tcPr>
          <w:p>
            <w:pPr>
              <w:ind w:left="240"/>
              <w:spacing w:after="0"/>
              <w:rPr>
                <w:sz w:val="20"/>
                <w:szCs w:val="20"/>
                <w:color w:val="auto"/>
              </w:rPr>
            </w:pPr>
            <w:r>
              <w:rPr>
                <w:rFonts w:ascii="Arial" w:cs="Arial" w:eastAsia="Arial" w:hAnsi="Arial"/>
                <w:sz w:val="17"/>
                <w:szCs w:val="17"/>
                <w:color w:val="auto"/>
              </w:rPr>
              <w:t>Unamortized discount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(110,546)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(101,450)</w:t>
            </w:r>
          </w:p>
        </w:tc>
      </w:tr>
      <w:tr>
        <w:trPr>
          <w:trHeight w:val="215"/>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Unamortized debt 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(6,660)</w:t>
            </w:r>
          </w:p>
        </w:tc>
      </w:tr>
      <w:tr>
        <w:trPr>
          <w:trHeight w:val="207"/>
        </w:trPr>
        <w:tc>
          <w:tcPr>
            <w:tcW w:w="38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w w:val="89"/>
              </w:rPr>
              <w:t>2026</w:t>
            </w:r>
          </w:p>
        </w:tc>
        <w:tc>
          <w:tcPr>
            <w:tcW w:w="684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Convertible Notes net carrying amount</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282,196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291,890</w:t>
            </w:r>
          </w:p>
        </w:tc>
      </w:tr>
      <w:tr>
        <w:trPr>
          <w:trHeight w:val="119"/>
        </w:trPr>
        <w:tc>
          <w:tcPr>
            <w:tcW w:w="380" w:type="dxa"/>
            <w:vAlign w:val="bottom"/>
            <w:shd w:val="clear" w:color="auto" w:fill="CCEEFF"/>
          </w:tcPr>
          <w:p>
            <w:pPr>
              <w:spacing w:after="0"/>
              <w:rPr>
                <w:sz w:val="10"/>
                <w:szCs w:val="10"/>
                <w:color w:val="auto"/>
              </w:rPr>
            </w:pPr>
          </w:p>
        </w:tc>
        <w:tc>
          <w:tcPr>
            <w:tcW w:w="6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r>
      <w:tr>
        <w:trPr>
          <w:trHeight w:val="214"/>
        </w:trPr>
        <w:tc>
          <w:tcPr>
            <w:tcW w:w="380" w:type="dxa"/>
            <w:vAlign w:val="bottom"/>
          </w:tcPr>
          <w:p>
            <w:pPr>
              <w:ind w:left="20"/>
              <w:spacing w:after="0"/>
              <w:rPr>
                <w:sz w:val="20"/>
                <w:szCs w:val="20"/>
                <w:color w:val="auto"/>
              </w:rPr>
            </w:pPr>
            <w:r>
              <w:rPr>
                <w:rFonts w:ascii="Arial" w:cs="Arial" w:eastAsia="Arial" w:hAnsi="Arial"/>
                <w:sz w:val="17"/>
                <w:szCs w:val="17"/>
                <w:color w:val="auto"/>
                <w:w w:val="89"/>
              </w:rPr>
              <w:t>2028</w:t>
            </w:r>
          </w:p>
        </w:tc>
        <w:tc>
          <w:tcPr>
            <w:tcW w:w="6840" w:type="dxa"/>
            <w:vAlign w:val="bottom"/>
          </w:tcPr>
          <w:p>
            <w:pPr>
              <w:ind w:left="20"/>
              <w:spacing w:after="0"/>
              <w:rPr>
                <w:sz w:val="20"/>
                <w:szCs w:val="20"/>
                <w:color w:val="auto"/>
              </w:rPr>
            </w:pPr>
            <w:r>
              <w:rPr>
                <w:rFonts w:ascii="Arial" w:cs="Arial" w:eastAsia="Arial" w:hAnsi="Arial"/>
                <w:sz w:val="17"/>
                <w:szCs w:val="17"/>
                <w:color w:val="auto"/>
              </w:rPr>
              <w:t>Convertible Notes:</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Principal</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r>
      <w:tr>
        <w:trPr>
          <w:trHeight w:val="214"/>
        </w:trPr>
        <w:tc>
          <w:tcPr>
            <w:tcW w:w="7220" w:type="dxa"/>
            <w:vAlign w:val="bottom"/>
            <w:gridSpan w:val="2"/>
          </w:tcPr>
          <w:p>
            <w:pPr>
              <w:ind w:left="240"/>
              <w:spacing w:after="0"/>
              <w:rPr>
                <w:sz w:val="20"/>
                <w:szCs w:val="20"/>
                <w:color w:val="auto"/>
              </w:rPr>
            </w:pPr>
            <w:r>
              <w:rPr>
                <w:rFonts w:ascii="Arial" w:cs="Arial" w:eastAsia="Arial" w:hAnsi="Arial"/>
                <w:sz w:val="17"/>
                <w:szCs w:val="17"/>
                <w:color w:val="auto"/>
              </w:rPr>
              <w:t>Unamortized discount</w:t>
            </w:r>
          </w:p>
        </w:tc>
        <w:tc>
          <w:tcPr>
            <w:tcW w:w="2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(64,571)</w:t>
            </w:r>
          </w:p>
        </w:tc>
      </w:tr>
      <w:tr>
        <w:trPr>
          <w:trHeight w:val="215"/>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Unamortized debt 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(5,332)</w:t>
            </w:r>
          </w:p>
        </w:tc>
      </w:tr>
      <w:tr>
        <w:trPr>
          <w:trHeight w:val="207"/>
        </w:trPr>
        <w:tc>
          <w:tcPr>
            <w:tcW w:w="380" w:type="dxa"/>
            <w:vAlign w:val="bottom"/>
          </w:tcPr>
          <w:p>
            <w:pPr>
              <w:ind w:left="20"/>
              <w:spacing w:after="0" w:line="194" w:lineRule="exact"/>
              <w:rPr>
                <w:sz w:val="20"/>
                <w:szCs w:val="20"/>
                <w:color w:val="auto"/>
              </w:rPr>
            </w:pPr>
            <w:r>
              <w:rPr>
                <w:rFonts w:ascii="Arial" w:cs="Arial" w:eastAsia="Arial" w:hAnsi="Arial"/>
                <w:sz w:val="17"/>
                <w:szCs w:val="17"/>
                <w:color w:val="auto"/>
                <w:w w:val="89"/>
              </w:rPr>
              <w:t>2028</w:t>
            </w:r>
          </w:p>
        </w:tc>
        <w:tc>
          <w:tcPr>
            <w:tcW w:w="6840" w:type="dxa"/>
            <w:vAlign w:val="bottom"/>
          </w:tcPr>
          <w:p>
            <w:pPr>
              <w:ind w:left="20"/>
              <w:spacing w:after="0" w:line="194" w:lineRule="exact"/>
              <w:rPr>
                <w:sz w:val="20"/>
                <w:szCs w:val="20"/>
                <w:color w:val="auto"/>
              </w:rPr>
            </w:pPr>
            <w:r>
              <w:rPr>
                <w:rFonts w:ascii="Arial" w:cs="Arial" w:eastAsia="Arial" w:hAnsi="Arial"/>
                <w:sz w:val="17"/>
                <w:szCs w:val="17"/>
                <w:color w:val="auto"/>
              </w:rPr>
              <w:t>Convertible Notes net carrying amount</w:t>
            </w:r>
          </w:p>
        </w:tc>
        <w:tc>
          <w:tcPr>
            <w:tcW w:w="20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180,097</w:t>
            </w:r>
          </w:p>
        </w:tc>
      </w:tr>
      <w:tr>
        <w:trPr>
          <w:trHeight w:val="232"/>
        </w:trPr>
        <w:tc>
          <w:tcPr>
            <w:tcW w:w="7220" w:type="dxa"/>
            <w:vAlign w:val="bottom"/>
            <w:tcBorders>
              <w:top w:val="single" w:sz="8" w:color="CCEEFF"/>
              <w:bottom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Total net carrying amount</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282,196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471,987</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net carrying amount of the equity components of the 2026 and 2028 Convertible Notes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tcPr>
          <w:p>
            <w:pPr>
              <w:spacing w:after="0"/>
              <w:rPr>
                <w:sz w:val="18"/>
                <w:szCs w:val="18"/>
                <w:color w:val="auto"/>
              </w:rPr>
            </w:pPr>
          </w:p>
        </w:tc>
        <w:tc>
          <w:tcPr>
            <w:tcW w:w="16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195"/>
        </w:trPr>
        <w:tc>
          <w:tcPr>
            <w:tcW w:w="380" w:type="dxa"/>
            <w:vAlign w:val="bottom"/>
          </w:tcPr>
          <w:p>
            <w:pPr>
              <w:ind w:left="20"/>
              <w:spacing w:after="0" w:line="194" w:lineRule="exact"/>
              <w:rPr>
                <w:sz w:val="20"/>
                <w:szCs w:val="20"/>
                <w:color w:val="auto"/>
              </w:rPr>
            </w:pPr>
            <w:r>
              <w:rPr>
                <w:rFonts w:ascii="Arial" w:cs="Arial" w:eastAsia="Arial" w:hAnsi="Arial"/>
                <w:sz w:val="17"/>
                <w:szCs w:val="17"/>
                <w:color w:val="auto"/>
                <w:w w:val="89"/>
              </w:rPr>
              <w:t>2026</w:t>
            </w:r>
          </w:p>
        </w:tc>
        <w:tc>
          <w:tcPr>
            <w:tcW w:w="6840" w:type="dxa"/>
            <w:vAlign w:val="bottom"/>
          </w:tcPr>
          <w:p>
            <w:pPr>
              <w:ind w:left="20"/>
              <w:spacing w:after="0" w:line="194" w:lineRule="exact"/>
              <w:rPr>
                <w:sz w:val="20"/>
                <w:szCs w:val="20"/>
                <w:color w:val="auto"/>
              </w:rPr>
            </w:pPr>
            <w:r>
              <w:rPr>
                <w:rFonts w:ascii="Arial" w:cs="Arial" w:eastAsia="Arial" w:hAnsi="Arial"/>
                <w:sz w:val="17"/>
                <w:szCs w:val="17"/>
                <w:color w:val="auto"/>
              </w:rPr>
              <w:t>Convertible Notes:</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5"/>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Proceeds allocated to the conversion options (debt discount)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125,152</w:t>
            </w:r>
          </w:p>
        </w:tc>
      </w:tr>
      <w:tr>
        <w:trPr>
          <w:trHeight w:val="214"/>
        </w:trPr>
        <w:tc>
          <w:tcPr>
            <w:tcW w:w="7220" w:type="dxa"/>
            <w:vAlign w:val="bottom"/>
            <w:tcBorders>
              <w:bottom w:val="single" w:sz="8" w:color="CCEEFF"/>
            </w:tcBorders>
            <w:gridSpan w:val="2"/>
          </w:tcPr>
          <w:p>
            <w:pPr>
              <w:ind w:left="240"/>
              <w:spacing w:after="0"/>
              <w:rPr>
                <w:sz w:val="20"/>
                <w:szCs w:val="20"/>
                <w:color w:val="auto"/>
              </w:rPr>
            </w:pPr>
            <w:r>
              <w:rPr>
                <w:rFonts w:ascii="Arial" w:cs="Arial" w:eastAsia="Arial" w:hAnsi="Arial"/>
                <w:sz w:val="17"/>
                <w:szCs w:val="17"/>
                <w:color w:val="auto"/>
              </w:rPr>
              <w:t>Issuance costs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(3,742)</w:t>
            </w:r>
          </w:p>
        </w:tc>
      </w:tr>
      <w:tr>
        <w:trPr>
          <w:trHeight w:val="207"/>
        </w:trPr>
        <w:tc>
          <w:tcPr>
            <w:tcW w:w="3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w w:val="89"/>
              </w:rPr>
              <w:t>2026</w:t>
            </w:r>
          </w:p>
        </w:tc>
        <w:tc>
          <w:tcPr>
            <w:tcW w:w="68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Convertible Notes net carrying amount</w:t>
            </w:r>
          </w:p>
        </w:tc>
        <w:tc>
          <w:tcPr>
            <w:tcW w:w="2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121,410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121,410</w:t>
            </w:r>
          </w:p>
        </w:tc>
      </w:tr>
      <w:tr>
        <w:trPr>
          <w:trHeight w:val="119"/>
        </w:trPr>
        <w:tc>
          <w:tcPr>
            <w:tcW w:w="38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214"/>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2028</w:t>
            </w:r>
          </w:p>
        </w:tc>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4"/>
        </w:trPr>
        <w:tc>
          <w:tcPr>
            <w:tcW w:w="7220" w:type="dxa"/>
            <w:vAlign w:val="bottom"/>
            <w:gridSpan w:val="2"/>
          </w:tcPr>
          <w:p>
            <w:pPr>
              <w:ind w:left="240"/>
              <w:spacing w:after="0"/>
              <w:rPr>
                <w:sz w:val="20"/>
                <w:szCs w:val="20"/>
                <w:color w:val="auto"/>
              </w:rPr>
            </w:pPr>
            <w:r>
              <w:rPr>
                <w:rFonts w:ascii="Arial" w:cs="Arial" w:eastAsia="Arial" w:hAnsi="Arial"/>
                <w:sz w:val="17"/>
                <w:szCs w:val="17"/>
                <w:color w:val="auto"/>
              </w:rPr>
              <w:t>Proceeds allocated to the conversion options (debt discount)</w:t>
            </w:r>
          </w:p>
        </w:tc>
        <w:tc>
          <w:tcPr>
            <w:tcW w:w="2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66,908</w:t>
            </w:r>
          </w:p>
        </w:tc>
      </w:tr>
      <w:tr>
        <w:trPr>
          <w:trHeight w:val="215"/>
        </w:trPr>
        <w:tc>
          <w:tcPr>
            <w:tcW w:w="72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w:t>
            </w:r>
          </w:p>
        </w:tc>
      </w:tr>
      <w:tr>
        <w:trPr>
          <w:trHeight w:val="207"/>
        </w:trPr>
        <w:tc>
          <w:tcPr>
            <w:tcW w:w="380" w:type="dxa"/>
            <w:vAlign w:val="bottom"/>
          </w:tcPr>
          <w:p>
            <w:pPr>
              <w:ind w:left="20"/>
              <w:spacing w:after="0" w:line="194" w:lineRule="exact"/>
              <w:rPr>
                <w:sz w:val="20"/>
                <w:szCs w:val="20"/>
                <w:color w:val="auto"/>
              </w:rPr>
            </w:pPr>
            <w:r>
              <w:rPr>
                <w:rFonts w:ascii="Arial" w:cs="Arial" w:eastAsia="Arial" w:hAnsi="Arial"/>
                <w:sz w:val="17"/>
                <w:szCs w:val="17"/>
                <w:color w:val="auto"/>
                <w:w w:val="89"/>
              </w:rPr>
              <w:t>2028</w:t>
            </w:r>
          </w:p>
        </w:tc>
        <w:tc>
          <w:tcPr>
            <w:tcW w:w="6840" w:type="dxa"/>
            <w:vAlign w:val="bottom"/>
          </w:tcPr>
          <w:p>
            <w:pPr>
              <w:ind w:left="20"/>
              <w:spacing w:after="0" w:line="194" w:lineRule="exact"/>
              <w:rPr>
                <w:sz w:val="20"/>
                <w:szCs w:val="20"/>
                <w:color w:val="auto"/>
              </w:rPr>
            </w:pPr>
            <w:r>
              <w:rPr>
                <w:rFonts w:ascii="Arial" w:cs="Arial" w:eastAsia="Arial" w:hAnsi="Arial"/>
                <w:sz w:val="17"/>
                <w:szCs w:val="17"/>
                <w:color w:val="auto"/>
              </w:rPr>
              <w:t>Convertible Notes net carrying amount</w:t>
            </w:r>
          </w:p>
        </w:tc>
        <w:tc>
          <w:tcPr>
            <w:tcW w:w="200" w:type="dxa"/>
            <w:vAlign w:val="bottom"/>
          </w:tcPr>
          <w:p>
            <w:pPr>
              <w:spacing w:after="0"/>
              <w:rPr>
                <w:sz w:val="17"/>
                <w:szCs w:val="17"/>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64,889</w:t>
            </w:r>
          </w:p>
        </w:tc>
      </w:tr>
      <w:tr>
        <w:trPr>
          <w:trHeight w:val="232"/>
        </w:trPr>
        <w:tc>
          <w:tcPr>
            <w:tcW w:w="7220" w:type="dxa"/>
            <w:vAlign w:val="bottom"/>
            <w:tcBorders>
              <w:top w:val="single" w:sz="8" w:color="CCEEFF"/>
              <w:bottom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Total net carrying amount</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186,299</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interest expense recognized related to the 2026 and 2028 Convertible Notes: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3080" w:type="dxa"/>
            <w:vAlign w:val="bottom"/>
            <w:gridSpan w:val="6"/>
          </w:tcPr>
          <w:p>
            <w:pPr>
              <w:ind w:left="420"/>
              <w:spacing w:after="0"/>
              <w:rPr>
                <w:sz w:val="20"/>
                <w:szCs w:val="20"/>
                <w:color w:val="auto"/>
              </w:rPr>
            </w:pPr>
            <w:r>
              <w:rPr>
                <w:rFonts w:ascii="Arial" w:cs="Arial" w:eastAsia="Arial" w:hAnsi="Arial"/>
                <w:sz w:val="17"/>
                <w:szCs w:val="17"/>
                <w:b w:val="1"/>
                <w:bCs w:val="1"/>
                <w:color w:val="auto"/>
              </w:rPr>
              <w:t>Three months ended June 30,</w:t>
            </w:r>
          </w:p>
        </w:tc>
        <w:tc>
          <w:tcPr>
            <w:tcW w:w="300" w:type="dxa"/>
            <w:vAlign w:val="bottom"/>
          </w:tcPr>
          <w:p>
            <w:pPr>
              <w:spacing w:after="0"/>
              <w:rPr>
                <w:sz w:val="18"/>
                <w:szCs w:val="18"/>
                <w:color w:val="auto"/>
              </w:rPr>
            </w:pPr>
          </w:p>
        </w:tc>
        <w:tc>
          <w:tcPr>
            <w:tcW w:w="2660" w:type="dxa"/>
            <w:vAlign w:val="bottom"/>
            <w:gridSpan w:val="4"/>
          </w:tcPr>
          <w:p>
            <w:pPr>
              <w:jc w:val="right"/>
              <w:ind w:right="436"/>
              <w:spacing w:after="0"/>
              <w:rPr>
                <w:sz w:val="20"/>
                <w:szCs w:val="20"/>
                <w:color w:val="auto"/>
              </w:rPr>
            </w:pPr>
            <w:r>
              <w:rPr>
                <w:rFonts w:ascii="Arial" w:cs="Arial" w:eastAsia="Arial" w:hAnsi="Arial"/>
                <w:sz w:val="17"/>
                <w:szCs w:val="17"/>
                <w:b w:val="1"/>
                <w:bCs w:val="1"/>
                <w:color w:val="auto"/>
                <w:w w:val="96"/>
              </w:rPr>
              <w:t>Six months ended June 30,</w:t>
            </w:r>
          </w:p>
        </w:tc>
      </w:tr>
      <w:tr>
        <w:trPr>
          <w:trHeight w:val="207"/>
        </w:trPr>
        <w:tc>
          <w:tcPr>
            <w:tcW w:w="5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2021</w:t>
            </w:r>
          </w:p>
        </w:tc>
      </w:tr>
      <w:tr>
        <w:trPr>
          <w:trHeight w:val="194"/>
        </w:trPr>
        <w:tc>
          <w:tcPr>
            <w:tcW w:w="5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2026 Convertible Notes:</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4"/>
        </w:trPr>
        <w:tc>
          <w:tcPr>
            <w:tcW w:w="5200" w:type="dxa"/>
            <w:vAlign w:val="bottom"/>
          </w:tcPr>
          <w:p>
            <w:pPr>
              <w:ind w:left="220"/>
              <w:spacing w:after="0"/>
              <w:rPr>
                <w:sz w:val="20"/>
                <w:szCs w:val="20"/>
                <w:color w:val="auto"/>
              </w:rPr>
            </w:pPr>
            <w:r>
              <w:rPr>
                <w:rFonts w:ascii="Arial" w:cs="Arial" w:eastAsia="Arial" w:hAnsi="Arial"/>
                <w:sz w:val="17"/>
                <w:szCs w:val="17"/>
                <w:color w:val="auto"/>
              </w:rPr>
              <w:t>Contractual interest expense</w:t>
            </w: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15"/>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4,262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9,097</w:t>
            </w:r>
          </w:p>
        </w:tc>
      </w:tr>
      <w:tr>
        <w:trPr>
          <w:trHeight w:val="214"/>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debt issuance costs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w:t>
            </w:r>
          </w:p>
        </w:tc>
      </w:tr>
      <w:tr>
        <w:trPr>
          <w:trHeight w:val="207"/>
        </w:trPr>
        <w:tc>
          <w:tcPr>
            <w:tcW w:w="5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 interest expense related to the 2026 Convertible Notes</w:t>
            </w: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4,791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10,194</w:t>
            </w:r>
          </w:p>
        </w:tc>
      </w:tr>
      <w:tr>
        <w:trPr>
          <w:trHeight w:val="119"/>
        </w:trPr>
        <w:tc>
          <w:tcPr>
            <w:tcW w:w="5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14"/>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 Convertible Notes: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4"/>
        </w:trPr>
        <w:tc>
          <w:tcPr>
            <w:tcW w:w="5200" w:type="dxa"/>
            <w:vAlign w:val="bottom"/>
          </w:tcPr>
          <w:p>
            <w:pPr>
              <w:ind w:left="220"/>
              <w:spacing w:after="0"/>
              <w:rPr>
                <w:sz w:val="20"/>
                <w:szCs w:val="20"/>
                <w:color w:val="auto"/>
              </w:rPr>
            </w:pPr>
            <w:r>
              <w:rPr>
                <w:rFonts w:ascii="Arial" w:cs="Arial" w:eastAsia="Arial" w:hAnsi="Arial"/>
                <w:sz w:val="17"/>
                <w:szCs w:val="17"/>
                <w:color w:val="auto"/>
              </w:rPr>
              <w:t>Contractual interest expense</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365</w:t>
            </w:r>
          </w:p>
        </w:tc>
      </w:tr>
      <w:tr>
        <w:trPr>
          <w:trHeight w:val="215"/>
        </w:trPr>
        <w:tc>
          <w:tcPr>
            <w:tcW w:w="5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w:t>
            </w:r>
          </w:p>
        </w:tc>
      </w:tr>
      <w:tr>
        <w:trPr>
          <w:trHeight w:val="214"/>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debt issuance costs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r>
      <w:tr>
        <w:trPr>
          <w:trHeight w:val="207"/>
        </w:trPr>
        <w:tc>
          <w:tcPr>
            <w:tcW w:w="5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 interest expense related to the 2028 Convertible Notes</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2,896</w:t>
            </w:r>
          </w:p>
        </w:tc>
      </w:tr>
      <w:tr>
        <w:trPr>
          <w:trHeight w:val="207"/>
        </w:trPr>
        <w:tc>
          <w:tcPr>
            <w:tcW w:w="5200" w:type="dxa"/>
            <w:vAlign w:val="bottom"/>
          </w:tcPr>
          <w:p>
            <w:pPr>
              <w:ind w:left="20"/>
              <w:spacing w:after="0" w:line="194" w:lineRule="exact"/>
              <w:rPr>
                <w:sz w:val="20"/>
                <w:szCs w:val="20"/>
                <w:color w:val="auto"/>
              </w:rPr>
            </w:pPr>
            <w:r>
              <w:rPr>
                <w:rFonts w:ascii="Arial" w:cs="Arial" w:eastAsia="Arial" w:hAnsi="Arial"/>
                <w:sz w:val="17"/>
                <w:szCs w:val="17"/>
                <w:color w:val="auto"/>
              </w:rPr>
              <w:t>Total interest expense</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4,791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7,621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6,622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13,090</w:t>
            </w:r>
          </w:p>
        </w:tc>
      </w:tr>
      <w:tr>
        <w:trPr>
          <w:trHeight w:val="20"/>
        </w:trPr>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605"/>
        <w:spacing w:after="0" w:line="266" w:lineRule="auto"/>
        <w:rPr>
          <w:sz w:val="20"/>
          <w:szCs w:val="20"/>
          <w:color w:val="auto"/>
        </w:rPr>
      </w:pPr>
      <w:r>
        <w:rPr>
          <w:rFonts w:ascii="Arial" w:cs="Arial" w:eastAsia="Arial" w:hAnsi="Arial"/>
          <w:sz w:val="17"/>
          <w:szCs w:val="17"/>
          <w:color w:val="auto"/>
        </w:rPr>
        <w:t>In connection with the offering of the 2026 and the 2028 Convertible Notes, the Company entered into privately negotiated capped call transactions with certain counterparties (the “2026 Capped Calls” and the “2028 Capped Calls,” respectively, and collectively, the “Capped Calls”). The 2026 Capped Calls and the 2028 Capped Calls each have an initial strike price of approximately $91.03 and $179.27 per share, respectively, subject to certain adjustments, which corresponds to the initial conversion price of the 2026 and the 2028 Convertible Notes. The 2026 Capped Calls and the 2028 Capped Calls have initial cap prices of $137.40 and $260.76 per share subject to certain adjustments, respectively. The 2026 Capped Calls and the 2028 Capped Calls cover, subject to anti-dilution adjustments, approximately 4,394,276 and 1,394,525 shares of Class A common stock for the 2026 Convertible Notes and 2028 Convertible Notes, respectively. The Capped Calls are generally intended to reduce or offset the potential dilution to the Class A common stock upon any conversion of the 2026 Convertible Notes and 2028 Convertible Notes with such reduction or offset, as the case may be, subject to a cap based on the cap price. The Capped Calls expire on the earlier of (i) the last day on which any convertible securities remain outstanding and (ii) March 1, 2026 for the 2026 Capped Calls and April 1, 2028 for the 2028 Capped Calls,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of $43,320 and $25,500 incurred to purchase the 2026 Capped Calls and the 2028 Capped Calls, respectively, was recorded as a reduction to additional paid-in capital in the accompanying condensed consolidated balance sheets.</w:t>
      </w:r>
    </w:p>
    <w:p>
      <w:pPr>
        <w:spacing w:after="0" w:line="114"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The Convertible Notes are effectively subordinated to the Company’s future senior secured indebtedness, if any, to the extent of the value of the collateral securing that indebtedness. The Convertible notes are the senior, unsecured obligations of the Company and are equal in right of payment with the Company’s future senior unsecured indebtedness, if any, senior in right of payment to the Company’s existing and future indebtedness that is expressly subordinated to the Convertible Notes and the Convertible Notes will be structurally subordinated to all existing and future indebtedness and other liabilities, including trade payables, and preferred equity, if any, of the Company’s subsidiaries.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and Geographic Information</w:t>
      </w:r>
    </w:p>
    <w:p>
      <w:pPr>
        <w:spacing w:after="0" w:line="163" w:lineRule="exact"/>
        <w:rPr>
          <w:sz w:val="20"/>
          <w:szCs w:val="20"/>
          <w:color w:val="auto"/>
        </w:rPr>
      </w:pPr>
    </w:p>
    <w:p>
      <w:pPr>
        <w:jc w:val="both"/>
        <w:ind w:firstLine="605"/>
        <w:spacing w:after="0" w:line="279" w:lineRule="auto"/>
        <w:rPr>
          <w:sz w:val="20"/>
          <w:szCs w:val="20"/>
          <w:color w:val="auto"/>
        </w:rPr>
      </w:pPr>
      <w:r>
        <w:rPr>
          <w:rFonts w:ascii="Arial" w:cs="Arial" w:eastAsia="Arial" w:hAnsi="Arial"/>
          <w:sz w:val="17"/>
          <w:szCs w:val="17"/>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43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2021</w:t>
            </w:r>
          </w:p>
        </w:tc>
      </w:tr>
      <w:tr>
        <w:trPr>
          <w:trHeight w:val="194"/>
        </w:trPr>
        <w:tc>
          <w:tcPr>
            <w:tcW w:w="43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CPaaS</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4"/>
        </w:trPr>
        <w:tc>
          <w:tcPr>
            <w:tcW w:w="4380" w:type="dxa"/>
            <w:vAlign w:val="bottom"/>
          </w:tcPr>
          <w:p>
            <w:pPr>
              <w:ind w:left="320"/>
              <w:spacing w:after="0"/>
              <w:rPr>
                <w:sz w:val="20"/>
                <w:szCs w:val="20"/>
                <w:color w:val="auto"/>
              </w:rPr>
            </w:pPr>
            <w:r>
              <w:rPr>
                <w:rFonts w:ascii="Arial" w:cs="Arial" w:eastAsia="Arial" w:hAnsi="Arial"/>
                <w:sz w:val="17"/>
                <w:szCs w:val="17"/>
                <w:color w:val="auto"/>
              </w:rPr>
              <w:t>Revenue</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67,076</w:t>
            </w:r>
          </w:p>
        </w:tc>
        <w:tc>
          <w:tcPr>
            <w:tcW w:w="10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105,039</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126,197</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205,185</w:t>
            </w:r>
          </w:p>
        </w:tc>
      </w:tr>
      <w:tr>
        <w:trPr>
          <w:trHeight w:val="215"/>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37,229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109,775</w:t>
            </w:r>
          </w:p>
        </w:tc>
      </w:tr>
      <w:tr>
        <w:trPr>
          <w:trHeight w:val="207"/>
        </w:trPr>
        <w:tc>
          <w:tcPr>
            <w:tcW w:w="4380" w:type="dxa"/>
            <w:vAlign w:val="bottom"/>
          </w:tcPr>
          <w:p>
            <w:pPr>
              <w:ind w:left="620"/>
              <w:spacing w:after="0" w:line="194" w:lineRule="exact"/>
              <w:rPr>
                <w:sz w:val="20"/>
                <w:szCs w:val="20"/>
                <w:color w:val="auto"/>
              </w:rPr>
            </w:pPr>
            <w:r>
              <w:rPr>
                <w:rFonts w:ascii="Arial" w:cs="Arial" w:eastAsia="Arial" w:hAnsi="Arial"/>
                <w:sz w:val="17"/>
                <w:szCs w:val="17"/>
                <w:color w:val="auto"/>
              </w:rPr>
              <w:t>Gross profit</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29,847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48,945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57,076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95,410</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0"/>
        </w:trPr>
        <w:tc>
          <w:tcPr>
            <w:tcW w:w="43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Other</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4"/>
        </w:trPr>
        <w:tc>
          <w:tcPr>
            <w:tcW w:w="4380" w:type="dxa"/>
            <w:vAlign w:val="bottom"/>
          </w:tcPr>
          <w:p>
            <w:pPr>
              <w:ind w:left="320"/>
              <w:spacing w:after="0"/>
              <w:rPr>
                <w:sz w:val="20"/>
                <w:szCs w:val="20"/>
                <w:color w:val="auto"/>
              </w:rPr>
            </w:pPr>
            <w:r>
              <w:rPr>
                <w:rFonts w:ascii="Arial" w:cs="Arial" w:eastAsia="Arial" w:hAnsi="Arial"/>
                <w:sz w:val="17"/>
                <w:szCs w:val="17"/>
                <w:color w:val="auto"/>
              </w:rPr>
              <w:t>Revenue</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9,714</w:t>
            </w:r>
          </w:p>
        </w:tc>
        <w:tc>
          <w:tcPr>
            <w:tcW w:w="10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15,619</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19,111</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28,952</w:t>
            </w:r>
          </w:p>
        </w:tc>
      </w:tr>
      <w:tr>
        <w:trPr>
          <w:trHeight w:val="215"/>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4,780</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17,612</w:t>
            </w:r>
          </w:p>
        </w:tc>
      </w:tr>
      <w:tr>
        <w:trPr>
          <w:trHeight w:val="207"/>
        </w:trPr>
        <w:tc>
          <w:tcPr>
            <w:tcW w:w="4380" w:type="dxa"/>
            <w:vAlign w:val="bottom"/>
          </w:tcPr>
          <w:p>
            <w:pPr>
              <w:ind w:left="620"/>
              <w:spacing w:after="0" w:line="194" w:lineRule="exact"/>
              <w:rPr>
                <w:sz w:val="20"/>
                <w:szCs w:val="20"/>
                <w:color w:val="auto"/>
              </w:rPr>
            </w:pPr>
            <w:r>
              <w:rPr>
                <w:rFonts w:ascii="Arial" w:cs="Arial" w:eastAsia="Arial" w:hAnsi="Arial"/>
                <w:sz w:val="17"/>
                <w:szCs w:val="17"/>
                <w:color w:val="auto"/>
              </w:rPr>
              <w:t>Gross profit</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4,934</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11,340</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0"/>
        </w:trPr>
        <w:tc>
          <w:tcPr>
            <w:tcW w:w="43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Consolidated</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4"/>
        </w:trPr>
        <w:tc>
          <w:tcPr>
            <w:tcW w:w="4380" w:type="dxa"/>
            <w:vAlign w:val="bottom"/>
          </w:tcPr>
          <w:p>
            <w:pPr>
              <w:ind w:left="320"/>
              <w:spacing w:after="0"/>
              <w:rPr>
                <w:sz w:val="20"/>
                <w:szCs w:val="20"/>
                <w:color w:val="auto"/>
              </w:rPr>
            </w:pPr>
            <w:r>
              <w:rPr>
                <w:rFonts w:ascii="Arial" w:cs="Arial" w:eastAsia="Arial" w:hAnsi="Arial"/>
                <w:sz w:val="17"/>
                <w:szCs w:val="17"/>
                <w:color w:val="auto"/>
              </w:rPr>
              <w:t>Revenue</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76,790</w:t>
            </w:r>
          </w:p>
        </w:tc>
        <w:tc>
          <w:tcPr>
            <w:tcW w:w="10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120,658</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145,308</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234,137</w:t>
            </w:r>
          </w:p>
        </w:tc>
      </w:tr>
      <w:tr>
        <w:trPr>
          <w:trHeight w:val="215"/>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42,009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66,059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127,387</w:t>
            </w:r>
          </w:p>
        </w:tc>
      </w:tr>
      <w:tr>
        <w:trPr>
          <w:trHeight w:val="207"/>
        </w:trPr>
        <w:tc>
          <w:tcPr>
            <w:tcW w:w="4380" w:type="dxa"/>
            <w:vAlign w:val="bottom"/>
          </w:tcPr>
          <w:p>
            <w:pPr>
              <w:ind w:left="620"/>
              <w:spacing w:after="0" w:line="194" w:lineRule="exact"/>
              <w:rPr>
                <w:sz w:val="20"/>
                <w:szCs w:val="20"/>
                <w:color w:val="auto"/>
              </w:rPr>
            </w:pPr>
            <w:r>
              <w:rPr>
                <w:rFonts w:ascii="Arial" w:cs="Arial" w:eastAsia="Arial" w:hAnsi="Arial"/>
                <w:sz w:val="17"/>
                <w:szCs w:val="17"/>
                <w:color w:val="auto"/>
              </w:rPr>
              <w:t>Gross profit</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34,781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54,599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66,940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106,750</w:t>
            </w: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Company’s long-lived assets were primarily held in the United States as of December 31, 2020 and June 30, 2021. As of December 31, 2020 and June 30, 2021, long-lived assets held outside of the United States were $11,249 and $10,837, respectively.</w:t>
      </w:r>
    </w:p>
    <w:p>
      <w:pPr>
        <w:spacing w:after="0" w:line="97" w:lineRule="exact"/>
        <w:rPr>
          <w:sz w:val="20"/>
          <w:szCs w:val="20"/>
          <w:color w:val="auto"/>
        </w:rPr>
      </w:pPr>
    </w:p>
    <w:p>
      <w:pPr>
        <w:ind w:right="660" w:firstLine="605"/>
        <w:spacing w:after="0" w:line="280" w:lineRule="auto"/>
        <w:rPr>
          <w:sz w:val="20"/>
          <w:szCs w:val="20"/>
          <w:color w:val="auto"/>
        </w:rPr>
      </w:pPr>
      <w:r>
        <w:rPr>
          <w:rFonts w:ascii="Arial" w:cs="Arial" w:eastAsia="Arial" w:hAnsi="Arial"/>
          <w:sz w:val="18"/>
          <w:szCs w:val="18"/>
          <w:color w:val="auto"/>
        </w:rPr>
        <w:t>The Company generates its revenue primarily in the United States. Revenue by geographic area is detailed in the table below (which is determined based on the customer billing address):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43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2021</w:t>
            </w:r>
          </w:p>
        </w:tc>
      </w:tr>
      <w:tr>
        <w:trPr>
          <w:trHeight w:val="194"/>
        </w:trPr>
        <w:tc>
          <w:tcPr>
            <w:tcW w:w="43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CPaaS</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4"/>
        </w:trPr>
        <w:tc>
          <w:tcPr>
            <w:tcW w:w="438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65,207</w:t>
            </w:r>
          </w:p>
        </w:tc>
        <w:tc>
          <w:tcPr>
            <w:tcW w:w="10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92,989</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122,605</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181,851</w:t>
            </w:r>
          </w:p>
        </w:tc>
      </w:tr>
      <w:tr>
        <w:trPr>
          <w:trHeight w:val="215"/>
        </w:trPr>
        <w:tc>
          <w:tcPr>
            <w:tcW w:w="4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International</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23,334</w:t>
            </w:r>
          </w:p>
        </w:tc>
      </w:tr>
      <w:tr>
        <w:trPr>
          <w:trHeight w:val="207"/>
        </w:trPr>
        <w:tc>
          <w:tcPr>
            <w:tcW w:w="4380" w:type="dxa"/>
            <w:vAlign w:val="bottom"/>
          </w:tcPr>
          <w:p>
            <w:pPr>
              <w:ind w:left="320"/>
              <w:spacing w:after="0" w:line="194" w:lineRule="exact"/>
              <w:rPr>
                <w:sz w:val="20"/>
                <w:szCs w:val="20"/>
                <w:color w:val="auto"/>
              </w:rPr>
            </w:pPr>
            <w:r>
              <w:rPr>
                <w:rFonts w:ascii="Arial" w:cs="Arial" w:eastAsia="Arial" w:hAnsi="Arial"/>
                <w:sz w:val="17"/>
                <w:szCs w:val="17"/>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67,076</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105,039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126,197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205,185</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8"/>
        </w:trPr>
        <w:tc>
          <w:tcPr>
            <w:tcW w:w="4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7"/>
                <w:szCs w:val="17"/>
                <w:b w:val="1"/>
                <w:bCs w:val="1"/>
                <w:color w:val="auto"/>
              </w:rPr>
              <w:t>Other</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4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United States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25,852</w:t>
            </w:r>
          </w:p>
        </w:tc>
      </w:tr>
      <w:tr>
        <w:trPr>
          <w:trHeight w:val="214"/>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International</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3,100</w:t>
            </w:r>
          </w:p>
        </w:tc>
      </w:tr>
      <w:tr>
        <w:trPr>
          <w:trHeight w:val="232"/>
        </w:trPr>
        <w:tc>
          <w:tcPr>
            <w:tcW w:w="4380" w:type="dxa"/>
            <w:vAlign w:val="bottom"/>
            <w:tcBorders>
              <w:bottom w:val="single" w:sz="8" w:color="CCEEFF"/>
            </w:tcBorders>
            <w:shd w:val="clear" w:color="auto" w:fill="CCEEFF"/>
          </w:tcPr>
          <w:p>
            <w:pPr>
              <w:ind w:left="320"/>
              <w:spacing w:after="0" w:line="194" w:lineRule="exact"/>
              <w:rPr>
                <w:sz w:val="20"/>
                <w:szCs w:val="20"/>
                <w:color w:val="auto"/>
              </w:rPr>
            </w:pPr>
            <w:r>
              <w:rPr>
                <w:rFonts w:ascii="Arial" w:cs="Arial" w:eastAsia="Arial" w:hAnsi="Arial"/>
                <w:sz w:val="17"/>
                <w:szCs w:val="17"/>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19,111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28,952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right="9300" w:hanging="459"/>
        <w:spacing w:after="0" w:line="479" w:lineRule="auto"/>
        <w:tabs>
          <w:tab w:leader="none" w:pos="28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spacing w:after="0" w:line="1"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As of December 31, 2020 and June 30, 2021, the Company had authorized 10,000,000 shares of undesignated preferred stock, par value $0.001, of which no shares were issued and outstanding.</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59"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color w:val="auto"/>
        </w:rPr>
        <w:t>As of December 31, 2020 and June 30, 2021, the Company had authorized 100,000,000 shares of Class A common stock, par value $0.001 per share, with one vote per share and 20,000,000 shares of Class B common stock, par value $0.001 per share, with ten votes per share. As of December 31, 2020, 22,413,004 and 2,496,125 shares of Class A common stock and Class B common stock, respectively, were issued and outstanding. As of June 30, 2021, 22,891,667 and 2,215,170 shares of Class A common stock and Class B common stock, respectively, were issued and outstanding.</w:t>
      </w:r>
    </w:p>
    <w:p>
      <w:pPr>
        <w:spacing w:after="0" w:line="86"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Reserved Shares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had reserved shares of Class A common stock for issuance under stock-based award agreements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7"/>
                <w:szCs w:val="17"/>
                <w:b w:val="1"/>
                <w:bCs w:val="1"/>
                <w:color w:val="auto"/>
              </w:rPr>
              <w:t>As of December 31,</w:t>
            </w:r>
          </w:p>
        </w:tc>
        <w:tc>
          <w:tcPr>
            <w:tcW w:w="1960" w:type="dxa"/>
            <w:vAlign w:val="bottom"/>
          </w:tcPr>
          <w:p>
            <w:pPr>
              <w:jc w:val="right"/>
              <w:ind w:right="396"/>
              <w:spacing w:after="0"/>
              <w:rPr>
                <w:sz w:val="20"/>
                <w:szCs w:val="20"/>
                <w:color w:val="auto"/>
              </w:rPr>
            </w:pPr>
            <w:r>
              <w:rPr>
                <w:rFonts w:ascii="Arial" w:cs="Arial" w:eastAsia="Arial" w:hAnsi="Arial"/>
                <w:sz w:val="17"/>
                <w:szCs w:val="17"/>
                <w:b w:val="1"/>
                <w:bCs w:val="1"/>
                <w:color w:val="auto"/>
              </w:rPr>
              <w:t>As of June 30,</w:t>
            </w:r>
          </w:p>
        </w:tc>
      </w:tr>
      <w:tr>
        <w:trPr>
          <w:trHeight w:val="218"/>
        </w:trPr>
        <w:tc>
          <w:tcPr>
            <w:tcW w:w="72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73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b w:val="1"/>
                <w:bCs w:val="1"/>
                <w:color w:val="auto"/>
              </w:rPr>
              <w:t>2021</w:t>
            </w:r>
          </w:p>
        </w:tc>
      </w:tr>
      <w:tr>
        <w:trPr>
          <w:trHeight w:val="207"/>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 issued and outstanding</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255,000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191,971</w:t>
            </w:r>
          </w:p>
        </w:tc>
      </w:tr>
      <w:tr>
        <w:trPr>
          <w:trHeight w:val="214"/>
        </w:trPr>
        <w:tc>
          <w:tcPr>
            <w:tcW w:w="7220" w:type="dxa"/>
            <w:vAlign w:val="bottom"/>
          </w:tcPr>
          <w:p>
            <w:pPr>
              <w:ind w:left="20"/>
              <w:spacing w:after="0"/>
              <w:rPr>
                <w:sz w:val="20"/>
                <w:szCs w:val="20"/>
                <w:color w:val="auto"/>
              </w:rPr>
            </w:pPr>
            <w:r>
              <w:rPr>
                <w:rFonts w:ascii="Arial" w:cs="Arial" w:eastAsia="Arial" w:hAnsi="Arial"/>
                <w:sz w:val="17"/>
                <w:szCs w:val="17"/>
                <w:color w:val="auto"/>
              </w:rPr>
              <w:t>Nonvested restricted stock units issued and outstanding</w:t>
            </w:r>
          </w:p>
        </w:tc>
        <w:tc>
          <w:tcPr>
            <w:tcW w:w="1960" w:type="dxa"/>
            <w:vAlign w:val="bottom"/>
          </w:tcPr>
          <w:p>
            <w:pPr>
              <w:jc w:val="right"/>
              <w:spacing w:after="0"/>
              <w:rPr>
                <w:sz w:val="20"/>
                <w:szCs w:val="20"/>
                <w:color w:val="auto"/>
              </w:rPr>
            </w:pPr>
            <w:r>
              <w:rPr>
                <w:rFonts w:ascii="Arial" w:cs="Arial" w:eastAsia="Arial" w:hAnsi="Arial"/>
                <w:sz w:val="17"/>
                <w:szCs w:val="17"/>
                <w:color w:val="auto"/>
              </w:rPr>
              <w:t>450,614</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380,808</w:t>
            </w:r>
          </w:p>
        </w:tc>
      </w:tr>
      <w:tr>
        <w:trPr>
          <w:trHeight w:val="214"/>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awards available for grant under the 2017 Plan</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2,020,342</w:t>
            </w:r>
          </w:p>
        </w:tc>
        <w:tc>
          <w:tcPr>
            <w:tcW w:w="100" w:type="dxa"/>
            <w:vAlign w:val="bottom"/>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3,053,542</w:t>
            </w:r>
          </w:p>
        </w:tc>
      </w:tr>
      <w:tr>
        <w:trPr>
          <w:trHeight w:val="207"/>
        </w:trPr>
        <w:tc>
          <w:tcPr>
            <w:tcW w:w="7220" w:type="dxa"/>
            <w:vAlign w:val="bottom"/>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2,725,956</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3,626,321</w:t>
            </w:r>
          </w:p>
        </w:tc>
      </w:tr>
      <w:tr>
        <w:trPr>
          <w:trHeight w:val="20"/>
        </w:trPr>
        <w:tc>
          <w:tcPr>
            <w:tcW w:w="72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460" w:right="8820" w:hanging="459"/>
        <w:spacing w:after="0" w:line="479" w:lineRule="auto"/>
        <w:tabs>
          <w:tab w:leader="none" w:pos="273"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Based Compensation </w:t>
      </w:r>
      <w:r>
        <w:rPr>
          <w:rFonts w:ascii="Arial" w:cs="Arial" w:eastAsia="Arial" w:hAnsi="Arial"/>
          <w:sz w:val="16"/>
          <w:szCs w:val="16"/>
          <w:b w:val="1"/>
          <w:bCs w:val="1"/>
          <w:i w:val="1"/>
          <w:iCs w:val="1"/>
          <w:color w:val="auto"/>
        </w:rPr>
        <w:t>2010 Stock Option Plan</w:t>
      </w:r>
    </w:p>
    <w:p>
      <w:pPr>
        <w:spacing w:after="0" w:line="1"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As of July 26, 2010, the Company adopted the 2010 Equity Compensation Plan (the “2010 Plan”).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Incentive Award Plan</w:t>
      </w:r>
    </w:p>
    <w:p>
      <w:pPr>
        <w:spacing w:after="0" w:line="159"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2021, the shares available for grant under the 2017 Plan were automatically increased by 1,120,650 shares.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97"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7"/>
          <w:szCs w:val="17"/>
          <w:color w:val="auto"/>
        </w:rPr>
        <w:t>Restricted stock units (“RSUs”) granted under the 2017 Plan are generally subject to a time-based vesting condition. The compensation expense related to these awards is based on the grant date fair value of the RSUs and is recognized on a ratable basis over the applicable service period. The Company granted RSUs to its non-employee members of the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summarizes the stock option activity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0"/>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Weighted-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580" w:type="dxa"/>
            <w:vAlign w:val="bottom"/>
            <w:gridSpan w:val="2"/>
          </w:tcPr>
          <w:p>
            <w:pPr>
              <w:jc w:val="center"/>
              <w:ind w:right="160"/>
              <w:spacing w:after="0" w:line="151" w:lineRule="exact"/>
              <w:rPr>
                <w:sz w:val="20"/>
                <w:szCs w:val="20"/>
                <w:color w:val="auto"/>
              </w:rPr>
            </w:pPr>
            <w:r>
              <w:rPr>
                <w:rFonts w:ascii="Arial" w:cs="Arial" w:eastAsia="Arial" w:hAnsi="Arial"/>
                <w:sz w:val="15"/>
                <w:szCs w:val="15"/>
                <w:b w:val="1"/>
                <w:bCs w:val="1"/>
                <w:color w:val="auto"/>
                <w:w w:val="88"/>
              </w:rPr>
              <w:t>average</w:t>
            </w:r>
          </w:p>
        </w:tc>
        <w:tc>
          <w:tcPr>
            <w:tcW w:w="180" w:type="dxa"/>
            <w:vAlign w:val="bottom"/>
          </w:tcPr>
          <w:p>
            <w:pPr>
              <w:spacing w:after="0"/>
              <w:rPr>
                <w:sz w:val="13"/>
                <w:szCs w:val="13"/>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151"/>
        </w:trPr>
        <w:tc>
          <w:tcPr>
            <w:tcW w:w="50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00"/>
              <w:spacing w:after="0" w:line="151" w:lineRule="exact"/>
              <w:rPr>
                <w:sz w:val="20"/>
                <w:szCs w:val="20"/>
                <w:color w:val="auto"/>
              </w:rPr>
            </w:pPr>
            <w:r>
              <w:rPr>
                <w:rFonts w:ascii="Arial" w:cs="Arial" w:eastAsia="Arial" w:hAnsi="Arial"/>
                <w:sz w:val="15"/>
                <w:szCs w:val="15"/>
                <w:b w:val="1"/>
                <w:bCs w:val="1"/>
                <w:color w:val="auto"/>
                <w:w w:val="88"/>
              </w:rPr>
              <w:t>average</w:t>
            </w:r>
          </w:p>
        </w:tc>
        <w:tc>
          <w:tcPr>
            <w:tcW w:w="1580" w:type="dxa"/>
            <w:vAlign w:val="bottom"/>
            <w:gridSpan w:val="2"/>
          </w:tcPr>
          <w:p>
            <w:pPr>
              <w:jc w:val="center"/>
              <w:ind w:right="160"/>
              <w:spacing w:after="0" w:line="151" w:lineRule="exact"/>
              <w:rPr>
                <w:sz w:val="20"/>
                <w:szCs w:val="20"/>
                <w:color w:val="auto"/>
              </w:rPr>
            </w:pPr>
            <w:r>
              <w:rPr>
                <w:rFonts w:ascii="Arial" w:cs="Arial" w:eastAsia="Arial" w:hAnsi="Arial"/>
                <w:sz w:val="15"/>
                <w:szCs w:val="15"/>
                <w:b w:val="1"/>
                <w:bCs w:val="1"/>
                <w:color w:val="auto"/>
                <w:w w:val="91"/>
              </w:rPr>
              <w:t>remaining</w:t>
            </w: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00" w:type="dxa"/>
            <w:vAlign w:val="bottom"/>
          </w:tcPr>
          <w:p>
            <w:pPr>
              <w:spacing w:after="0"/>
              <w:rPr>
                <w:sz w:val="13"/>
                <w:szCs w:val="13"/>
                <w:color w:val="auto"/>
              </w:rPr>
            </w:pPr>
          </w:p>
        </w:tc>
        <w:tc>
          <w:tcPr>
            <w:tcW w:w="148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88"/>
              </w:rPr>
              <w:t>options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1" w:lineRule="exact"/>
              <w:rPr>
                <w:sz w:val="20"/>
                <w:szCs w:val="20"/>
                <w:color w:val="auto"/>
              </w:rPr>
            </w:pPr>
            <w:r>
              <w:rPr>
                <w:rFonts w:ascii="Arial" w:cs="Arial" w:eastAsia="Arial" w:hAnsi="Arial"/>
                <w:sz w:val="15"/>
                <w:szCs w:val="15"/>
                <w:b w:val="1"/>
                <w:bCs w:val="1"/>
                <w:color w:val="auto"/>
                <w:w w:val="87"/>
              </w:rPr>
              <w:t>exercise price</w:t>
            </w:r>
          </w:p>
        </w:tc>
        <w:tc>
          <w:tcPr>
            <w:tcW w:w="1580" w:type="dxa"/>
            <w:vAlign w:val="bottom"/>
            <w:gridSpan w:val="2"/>
          </w:tcPr>
          <w:p>
            <w:pPr>
              <w:jc w:val="center"/>
              <w:ind w:right="160"/>
              <w:spacing w:after="0" w:line="151" w:lineRule="exact"/>
              <w:rPr>
                <w:sz w:val="20"/>
                <w:szCs w:val="20"/>
                <w:color w:val="auto"/>
              </w:rPr>
            </w:pPr>
            <w:r>
              <w:rPr>
                <w:rFonts w:ascii="Arial" w:cs="Arial" w:eastAsia="Arial" w:hAnsi="Arial"/>
                <w:sz w:val="15"/>
                <w:szCs w:val="15"/>
                <w:b w:val="1"/>
                <w:bCs w:val="1"/>
                <w:color w:val="auto"/>
                <w:w w:val="91"/>
              </w:rPr>
              <w:t>contract life</w:t>
            </w:r>
          </w:p>
        </w:tc>
        <w:tc>
          <w:tcPr>
            <w:tcW w:w="180" w:type="dxa"/>
            <w:vAlign w:val="bottom"/>
          </w:tcPr>
          <w:p>
            <w:pPr>
              <w:spacing w:after="0"/>
              <w:rPr>
                <w:sz w:val="13"/>
                <w:szCs w:val="13"/>
                <w:color w:val="auto"/>
              </w:rPr>
            </w:pPr>
          </w:p>
        </w:tc>
        <w:tc>
          <w:tcPr>
            <w:tcW w:w="1300" w:type="dxa"/>
            <w:vAlign w:val="bottom"/>
          </w:tcPr>
          <w:p>
            <w:pPr>
              <w:jc w:val="center"/>
              <w:ind w:right="139"/>
              <w:spacing w:after="0" w:line="151" w:lineRule="exact"/>
              <w:rPr>
                <w:sz w:val="20"/>
                <w:szCs w:val="20"/>
                <w:color w:val="auto"/>
              </w:rPr>
            </w:pPr>
            <w:r>
              <w:rPr>
                <w:rFonts w:ascii="Arial" w:cs="Arial" w:eastAsia="Arial" w:hAnsi="Arial"/>
                <w:sz w:val="15"/>
                <w:szCs w:val="15"/>
                <w:b w:val="1"/>
                <w:bCs w:val="1"/>
                <w:color w:val="auto"/>
                <w:w w:val="91"/>
              </w:rPr>
              <w:t>intrinsic value</w:t>
            </w:r>
          </w:p>
        </w:tc>
        <w:tc>
          <w:tcPr>
            <w:tcW w:w="0" w:type="dxa"/>
            <w:vAlign w:val="bottom"/>
          </w:tcPr>
          <w:p>
            <w:pPr>
              <w:spacing w:after="0"/>
              <w:rPr>
                <w:sz w:val="1"/>
                <w:szCs w:val="1"/>
                <w:color w:val="auto"/>
              </w:rPr>
            </w:pPr>
          </w:p>
        </w:tc>
      </w:tr>
      <w:tr>
        <w:trPr>
          <w:trHeight w:val="198"/>
        </w:trPr>
        <w:tc>
          <w:tcPr>
            <w:tcW w:w="50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outstanding</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5"/>
                <w:szCs w:val="15"/>
                <w:b w:val="1"/>
                <w:bCs w:val="1"/>
                <w:color w:val="auto"/>
                <w:w w:val="90"/>
              </w:rPr>
              <w:t>(per share)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(in years)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5"/>
                <w:szCs w:val="15"/>
                <w:b w:val="1"/>
                <w:bCs w:val="1"/>
                <w:color w:val="auto"/>
                <w:w w:val="88"/>
              </w:rPr>
              <w:t>(in thousands)</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36,426</w:t>
            </w:r>
          </w:p>
        </w:tc>
        <w:tc>
          <w:tcPr>
            <w:tcW w:w="0" w:type="dxa"/>
            <w:vAlign w:val="bottom"/>
          </w:tcPr>
          <w:p>
            <w:pPr>
              <w:spacing w:after="0"/>
              <w:rPr>
                <w:sz w:val="1"/>
                <w:szCs w:val="1"/>
                <w:color w:val="auto"/>
              </w:rPr>
            </w:pPr>
          </w:p>
        </w:tc>
      </w:tr>
      <w:tr>
        <w:trPr>
          <w:trHeight w:val="214"/>
        </w:trPr>
        <w:tc>
          <w:tcPr>
            <w:tcW w:w="5000" w:type="dxa"/>
            <w:vAlign w:val="bottom"/>
          </w:tcPr>
          <w:p>
            <w:pPr>
              <w:ind w:left="2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8,179</w:t>
            </w:r>
          </w:p>
        </w:tc>
        <w:tc>
          <w:tcPr>
            <w:tcW w:w="0" w:type="dxa"/>
            <w:vAlign w:val="bottom"/>
          </w:tcPr>
          <w:p>
            <w:pPr>
              <w:spacing w:after="0"/>
              <w:rPr>
                <w:sz w:val="1"/>
                <w:szCs w:val="1"/>
                <w:color w:val="auto"/>
              </w:rPr>
            </w:pPr>
          </w:p>
        </w:tc>
      </w:tr>
      <w:tr>
        <w:trPr>
          <w:trHeight w:val="214"/>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Forfeited or 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10.49</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as of June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191,971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24,524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vested and exercisable at June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170,065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21,926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000" w:type="dxa"/>
            <w:vAlign w:val="bottom"/>
          </w:tcPr>
          <w:p>
            <w:pPr>
              <w:ind w:left="20"/>
              <w:spacing w:after="0" w:line="185" w:lineRule="exact"/>
              <w:rPr>
                <w:sz w:val="20"/>
                <w:szCs w:val="20"/>
                <w:color w:val="auto"/>
              </w:rPr>
            </w:pPr>
            <w:r>
              <w:rPr>
                <w:rFonts w:ascii="Arial" w:cs="Arial" w:eastAsia="Arial" w:hAnsi="Arial"/>
                <w:sz w:val="17"/>
                <w:szCs w:val="17"/>
                <w:color w:val="auto"/>
              </w:rPr>
              <w:t>Options vested and expected to vest as of June 30, 2021</w:t>
            </w:r>
          </w:p>
        </w:tc>
        <w:tc>
          <w:tcPr>
            <w:tcW w:w="14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191,617</w:t>
            </w:r>
          </w:p>
        </w:tc>
        <w:tc>
          <w:tcPr>
            <w:tcW w:w="300" w:type="dxa"/>
            <w:vAlign w:val="bottom"/>
            <w:gridSpan w:val="2"/>
          </w:tcPr>
          <w:p>
            <w:pPr>
              <w:jc w:val="right"/>
              <w:ind w:right="100"/>
              <w:spacing w:after="0" w:line="185" w:lineRule="exact"/>
              <w:rPr>
                <w:sz w:val="20"/>
                <w:szCs w:val="20"/>
                <w:color w:val="auto"/>
              </w:rPr>
            </w:pPr>
            <w:r>
              <w:rPr>
                <w:rFonts w:ascii="Arial" w:cs="Arial" w:eastAsia="Arial" w:hAnsi="Arial"/>
                <w:sz w:val="17"/>
                <w:szCs w:val="17"/>
                <w:color w:val="auto"/>
              </w:rPr>
              <w:t>$</w:t>
            </w:r>
          </w:p>
        </w:tc>
        <w:tc>
          <w:tcPr>
            <w:tcW w:w="1280" w:type="dxa"/>
            <w:vAlign w:val="bottom"/>
          </w:tcPr>
          <w:p>
            <w:pPr>
              <w:jc w:val="right"/>
              <w:spacing w:after="0" w:line="185" w:lineRule="exact"/>
              <w:rPr>
                <w:sz w:val="20"/>
                <w:szCs w:val="20"/>
                <w:color w:val="auto"/>
              </w:rPr>
            </w:pPr>
            <w:r>
              <w:rPr>
                <w:rFonts w:ascii="Arial" w:cs="Arial" w:eastAsia="Arial" w:hAnsi="Arial"/>
                <w:sz w:val="17"/>
                <w:szCs w:val="17"/>
                <w:color w:val="auto"/>
              </w:rPr>
              <w:t>10.15</w:t>
            </w:r>
          </w:p>
        </w:tc>
        <w:tc>
          <w:tcPr>
            <w:tcW w:w="120" w:type="dxa"/>
            <w:vAlign w:val="bottom"/>
          </w:tcPr>
          <w:p>
            <w:pPr>
              <w:spacing w:after="0"/>
              <w:rPr>
                <w:sz w:val="16"/>
                <w:szCs w:val="16"/>
                <w:color w:val="auto"/>
              </w:rPr>
            </w:pPr>
          </w:p>
        </w:tc>
        <w:tc>
          <w:tcPr>
            <w:tcW w:w="1480" w:type="dxa"/>
            <w:vAlign w:val="bottom"/>
          </w:tcPr>
          <w:p>
            <w:pPr>
              <w:jc w:val="right"/>
              <w:spacing w:after="0" w:line="185" w:lineRule="exact"/>
              <w:rPr>
                <w:sz w:val="20"/>
                <w:szCs w:val="20"/>
                <w:color w:val="auto"/>
              </w:rPr>
            </w:pPr>
            <w:r>
              <w:rPr>
                <w:rFonts w:ascii="Arial" w:cs="Arial" w:eastAsia="Arial" w:hAnsi="Arial"/>
                <w:sz w:val="17"/>
                <w:szCs w:val="17"/>
                <w:color w:val="auto"/>
              </w:rPr>
              <w:t>3.90</w:t>
            </w:r>
          </w:p>
        </w:tc>
        <w:tc>
          <w:tcPr>
            <w:tcW w:w="100" w:type="dxa"/>
            <w:vAlign w:val="bottom"/>
          </w:tcPr>
          <w:p>
            <w:pPr>
              <w:spacing w:after="0"/>
              <w:rPr>
                <w:sz w:val="16"/>
                <w:szCs w:val="16"/>
                <w:color w:val="auto"/>
              </w:rPr>
            </w:pPr>
          </w:p>
        </w:tc>
        <w:tc>
          <w:tcPr>
            <w:tcW w:w="180" w:type="dxa"/>
            <w:vAlign w:val="bottom"/>
          </w:tcPr>
          <w:p>
            <w:pPr>
              <w:jc w:val="right"/>
              <w:spacing w:after="0" w:line="185"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line="185" w:lineRule="exact"/>
              <w:rPr>
                <w:sz w:val="20"/>
                <w:szCs w:val="20"/>
                <w:color w:val="auto"/>
              </w:rPr>
            </w:pPr>
            <w:r>
              <w:rPr>
                <w:rFonts w:ascii="Arial" w:cs="Arial" w:eastAsia="Arial" w:hAnsi="Arial"/>
                <w:sz w:val="17"/>
                <w:szCs w:val="17"/>
                <w:color w:val="auto"/>
              </w:rPr>
              <w:t>24,483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605"/>
        <w:spacing w:after="0" w:line="311" w:lineRule="auto"/>
        <w:rPr>
          <w:sz w:val="20"/>
          <w:szCs w:val="20"/>
          <w:color w:val="auto"/>
        </w:rPr>
      </w:pPr>
      <w:r>
        <w:rPr>
          <w:rFonts w:ascii="Arial" w:cs="Arial" w:eastAsia="Arial" w:hAnsi="Arial"/>
          <w:sz w:val="17"/>
          <w:szCs w:val="17"/>
          <w:color w:val="auto"/>
        </w:rPr>
        <w:t>Aggregate intrinsic value is computed based on the difference between the option exercise price and the fair value of the Company’s common stock as of June 30, 2021, based on the Company’s Class A common stock price as reported on the NASDAQ Global Select Market.</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options were granted for the three and six months ended June 30, 2020 and 2021.</w:t>
      </w:r>
    </w:p>
    <w:p>
      <w:pPr>
        <w:spacing w:after="0" w:line="159"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total estimated grant date fair value of options vested was $83 and $129 for the three and six months ended June 30, 2020, respectively, and $24 and $45 for the three and six months ended June 30, 2021, respectively.</w:t>
      </w:r>
    </w:p>
    <w:p>
      <w:pPr>
        <w:spacing w:after="0" w:line="97"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As of June 30, 2021, total unrecognized compensation cost related to all non-vested stock options was $38, which will be amortized over a weighted-average period of 0.21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summarizes the RSU activity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1540" w:type="dxa"/>
            <w:vAlign w:val="bottom"/>
            <w:vMerge w:val="restart"/>
          </w:tcPr>
          <w:p>
            <w:pPr>
              <w:jc w:val="right"/>
              <w:ind w:right="16"/>
              <w:spacing w:after="0"/>
              <w:rPr>
                <w:sz w:val="20"/>
                <w:szCs w:val="20"/>
                <w:color w:val="auto"/>
              </w:rPr>
            </w:pPr>
            <w:r>
              <w:rPr>
                <w:rFonts w:ascii="Arial" w:cs="Arial" w:eastAsia="Arial" w:hAnsi="Arial"/>
                <w:sz w:val="17"/>
                <w:szCs w:val="17"/>
                <w:b w:val="1"/>
                <w:bCs w:val="1"/>
                <w:color w:val="auto"/>
                <w:w w:val="95"/>
              </w:rPr>
              <w:t>Number of awards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b w:val="1"/>
                <w:bCs w:val="1"/>
                <w:color w:val="auto"/>
                <w:w w:val="87"/>
              </w:rPr>
              <w:t>Weighted-average</w:t>
            </w:r>
          </w:p>
        </w:tc>
        <w:tc>
          <w:tcPr>
            <w:tcW w:w="0" w:type="dxa"/>
            <w:vAlign w:val="bottom"/>
          </w:tcPr>
          <w:p>
            <w:pPr>
              <w:spacing w:after="0"/>
              <w:rPr>
                <w:sz w:val="1"/>
                <w:szCs w:val="1"/>
                <w:color w:val="auto"/>
              </w:rPr>
            </w:pPr>
          </w:p>
        </w:tc>
      </w:tr>
      <w:tr>
        <w:trPr>
          <w:trHeight w:val="164"/>
        </w:trPr>
        <w:tc>
          <w:tcPr>
            <w:tcW w:w="80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0"/>
              <w:spacing w:after="0" w:line="164" w:lineRule="exact"/>
              <w:rPr>
                <w:sz w:val="20"/>
                <w:szCs w:val="20"/>
                <w:color w:val="auto"/>
              </w:rPr>
            </w:pPr>
            <w:r>
              <w:rPr>
                <w:rFonts w:ascii="Arial" w:cs="Arial" w:eastAsia="Arial" w:hAnsi="Arial"/>
                <w:sz w:val="17"/>
                <w:szCs w:val="17"/>
                <w:b w:val="1"/>
                <w:bCs w:val="1"/>
                <w:color w:val="auto"/>
                <w:w w:val="91"/>
              </w:rPr>
              <w:t>grant date fair value</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(per share)</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RSUs as of December 31,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450,614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51.58</w:t>
            </w:r>
          </w:p>
        </w:tc>
        <w:tc>
          <w:tcPr>
            <w:tcW w:w="0" w:type="dxa"/>
            <w:vAlign w:val="bottom"/>
          </w:tcPr>
          <w:p>
            <w:pPr>
              <w:spacing w:after="0"/>
              <w:rPr>
                <w:sz w:val="1"/>
                <w:szCs w:val="1"/>
                <w:color w:val="auto"/>
              </w:rPr>
            </w:pPr>
          </w:p>
        </w:tc>
      </w:tr>
      <w:tr>
        <w:trPr>
          <w:trHeight w:val="214"/>
        </w:trPr>
        <w:tc>
          <w:tcPr>
            <w:tcW w:w="8060" w:type="dxa"/>
            <w:vAlign w:val="bottom"/>
          </w:tcPr>
          <w:p>
            <w:pPr>
              <w:ind w:left="220"/>
              <w:spacing w:after="0"/>
              <w:rPr>
                <w:sz w:val="20"/>
                <w:szCs w:val="20"/>
                <w:color w:val="auto"/>
              </w:rPr>
            </w:pPr>
            <w:r>
              <w:rPr>
                <w:rFonts w:ascii="Arial" w:cs="Arial" w:eastAsia="Arial" w:hAnsi="Arial"/>
                <w:sz w:val="17"/>
                <w:szCs w:val="17"/>
                <w:color w:val="auto"/>
              </w:rPr>
              <w:t>Granted</w:t>
            </w:r>
          </w:p>
        </w:tc>
        <w:tc>
          <w:tcPr>
            <w:tcW w:w="1540" w:type="dxa"/>
            <w:vAlign w:val="bottom"/>
          </w:tcPr>
          <w:p>
            <w:pPr>
              <w:jc w:val="right"/>
              <w:spacing w:after="0"/>
              <w:rPr>
                <w:sz w:val="20"/>
                <w:szCs w:val="20"/>
                <w:color w:val="auto"/>
              </w:rPr>
            </w:pPr>
            <w:r>
              <w:rPr>
                <w:rFonts w:ascii="Arial" w:cs="Arial" w:eastAsia="Arial" w:hAnsi="Arial"/>
                <w:sz w:val="17"/>
                <w:szCs w:val="17"/>
                <w:color w:val="auto"/>
              </w:rPr>
              <w:t>117,473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152.98</w:t>
            </w:r>
          </w:p>
        </w:tc>
        <w:tc>
          <w:tcPr>
            <w:tcW w:w="0" w:type="dxa"/>
            <w:vAlign w:val="bottom"/>
          </w:tcPr>
          <w:p>
            <w:pPr>
              <w:spacing w:after="0"/>
              <w:rPr>
                <w:sz w:val="1"/>
                <w:szCs w:val="1"/>
                <w:color w:val="auto"/>
              </w:rPr>
            </w:pPr>
          </w:p>
        </w:tc>
      </w:tr>
      <w:tr>
        <w:trPr>
          <w:trHeight w:val="215"/>
        </w:trPr>
        <w:tc>
          <w:tcPr>
            <w:tcW w:w="8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54.81</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Forfeited or cancelled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(29,967)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68.87</w:t>
            </w:r>
          </w:p>
        </w:tc>
        <w:tc>
          <w:tcPr>
            <w:tcW w:w="0" w:type="dxa"/>
            <w:vAlign w:val="bottom"/>
          </w:tcPr>
          <w:p>
            <w:pPr>
              <w:spacing w:after="0"/>
              <w:rPr>
                <w:sz w:val="1"/>
                <w:szCs w:val="1"/>
                <w:color w:val="auto"/>
              </w:rPr>
            </w:pPr>
          </w:p>
        </w:tc>
      </w:tr>
      <w:tr>
        <w:trPr>
          <w:trHeight w:val="23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RSUs as of June 30,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380,808</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As of June 30, 2021, total unrecognized compensation cost related to non-vested RSUs was $27,172, which will be amortized over a weighted-average period of 2.91 years.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recognized total stock-based compensation expense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7"/>
                <w:szCs w:val="17"/>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7"/>
                <w:szCs w:val="17"/>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07"/>
        </w:trPr>
        <w:tc>
          <w:tcPr>
            <w:tcW w:w="4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r>
      <w:tr>
        <w:trPr>
          <w:trHeight w:val="207"/>
        </w:trPr>
        <w:tc>
          <w:tcPr>
            <w:tcW w:w="41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Cost of revenue</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14"/>
        </w:trPr>
        <w:tc>
          <w:tcPr>
            <w:tcW w:w="41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1,434</w:t>
            </w:r>
          </w:p>
        </w:tc>
      </w:tr>
      <w:tr>
        <w:trPr>
          <w:trHeight w:val="215"/>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w:t>
            </w:r>
          </w:p>
        </w:tc>
      </w:tr>
      <w:tr>
        <w:trPr>
          <w:trHeight w:val="214"/>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5,123</w:t>
            </w:r>
          </w:p>
        </w:tc>
      </w:tr>
      <w:tr>
        <w:trPr>
          <w:trHeight w:val="232"/>
        </w:trPr>
        <w:tc>
          <w:tcPr>
            <w:tcW w:w="41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460" w:right="8340" w:hanging="459"/>
        <w:spacing w:after="0" w:line="479" w:lineRule="auto"/>
        <w:tabs>
          <w:tab w:leader="none" w:pos="283"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firstLine="605"/>
        <w:spacing w:after="0" w:line="311" w:lineRule="auto"/>
        <w:rPr>
          <w:sz w:val="20"/>
          <w:szCs w:val="20"/>
          <w:color w:val="auto"/>
        </w:rPr>
      </w:pPr>
      <w:r>
        <w:rPr>
          <w:rFonts w:ascii="Arial" w:cs="Arial" w:eastAsia="Arial" w:hAnsi="Arial"/>
          <w:sz w:val="17"/>
          <w:szCs w:val="17"/>
          <w:color w:val="auto"/>
        </w:rPr>
        <w:t>The Company leases office space under operating lease agreements that expire over the next 5.5 years. See Note 5, “Right-of-Use Asset and Lease Liabilities” to the condensed consolidated financial statements, for additional details on the Company's operating lease commitments.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9"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On October 25, 2015, the Company entered into an agreement with a telecommunications service provider. The service agreement requires the Company to pay a monthly recurring charge associated with the services received. The service agreement is non-cancellable and contains annual minimum commitments. On August 1, 2020, the Company amended the agreement to require annual minimum commitments of $600 and $300 in 2021 and 2022, respectively. In addition, as of June 30, 2021, the Company has $16,319 in other non-cancellable purchase obligations, consisting of primarily network equipment maintenance and software license contracts, of which $10,569 will be fulfilled within one year.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7"/>
          <w:szCs w:val="17"/>
          <w:color w:val="auto"/>
        </w:rPr>
        <w:t>On May 27, 2021, the Company entered into the Lease with the Developer for the Conveyed Parcel, together with the Project. The respective obligations of the Company and the Developer under the Lease were conditioned upon the Developer acquiring fee simple title to the Conveyed Parcel, which occurred on June 4, 2021. The Lease term will commence upon the Commencement Date and continue for the Initial Term. It is anticipated that the Commencement Date will occur in May 2023. If the Commencement Date does not occur within one hundred twenty (120) days from the scheduled Commencement Date, the Company shall be entitled to certain rent abatements, as described in the Lease. If the Commencement Date is not delivered within twelve (12) months of the scheduled Commencement Date, the Company may terminate the Lease.</w:t>
      </w:r>
    </w:p>
    <w:p>
      <w:pPr>
        <w:spacing w:after="0" w:line="108"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The Company has the option to renew the Initial Term for two ten-year periods. Base rent payments will begin on the Commencement Date. The initial base rent will increase by 1.85% on each anniversary of the Commencement Date. Total lease payments over the Initial Term are approximately $495,000. See Note 5, “Right-of-Use Asset and Lease Liabilities” to the condensed consolidated financial statements, for additional details on the Company's operating lease commitments.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Matters</w:t>
      </w:r>
    </w:p>
    <w:p>
      <w:pPr>
        <w:spacing w:after="0" w:line="159" w:lineRule="exact"/>
        <w:rPr>
          <w:sz w:val="20"/>
          <w:szCs w:val="20"/>
          <w:color w:val="auto"/>
        </w:rPr>
      </w:pPr>
    </w:p>
    <w:p>
      <w:pPr>
        <w:jc w:val="both"/>
        <w:ind w:firstLine="605"/>
        <w:spacing w:after="0" w:line="311" w:lineRule="auto"/>
        <w:rPr>
          <w:sz w:val="20"/>
          <w:szCs w:val="20"/>
          <w:color w:val="auto"/>
        </w:rPr>
      </w:pPr>
      <w:r>
        <w:rPr>
          <w:rFonts w:ascii="Arial" w:cs="Arial" w:eastAsia="Arial" w:hAnsi="Arial"/>
          <w:sz w:val="17"/>
          <w:szCs w:val="17"/>
          <w:color w:val="auto"/>
        </w:rPr>
        <w:t>The Company is involved as a defendant in various litigation, including but not limited to lawsuits alleging that the Company failed to bill, collect and remit certain taxes and surcharges associated with the provision of 911 services pursuant to applicable laws in various jurisdictions.</w:t>
      </w:r>
    </w:p>
    <w:p>
      <w:pPr>
        <w:spacing w:after="0" w:line="73" w:lineRule="exact"/>
        <w:rPr>
          <w:sz w:val="20"/>
          <w:szCs w:val="20"/>
          <w:color w:val="auto"/>
        </w:rPr>
      </w:pPr>
    </w:p>
    <w:p>
      <w:pPr>
        <w:jc w:val="both"/>
        <w:ind w:firstLine="605"/>
        <w:spacing w:after="0" w:line="309" w:lineRule="auto"/>
        <w:rPr>
          <w:sz w:val="20"/>
          <w:szCs w:val="20"/>
          <w:color w:val="auto"/>
        </w:rPr>
      </w:pPr>
      <w:r>
        <w:rPr>
          <w:rFonts w:ascii="Arial" w:cs="Arial" w:eastAsia="Arial" w:hAnsi="Arial"/>
          <w:sz w:val="18"/>
          <w:szCs w:val="18"/>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163"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The Company sponsors a U.S. defined contribution 401(k), which allows eligible U.S.-based employees to defer a portion of their compensation. The Company, at its discretion, may make matching contributions. With the acquisition of Voxbone S.A. on November 1, 2020, the Company assumed sponsorship for Voxbone S.A.’s U.S. defined contribution 401(k). In connection with that acquisition, the Company also assumed sponsorship for a non-U.S. defined contribution plan for which it pays fixed contributions into a separate entity. The Company has no legal or constructive obligations to pay further contributions if the fund does not hold sufficient assets to pay all employees the benefits relating to employee service in the current or prior periods. The contributions are recognized as employee benefit expense when they are due. The Company made matching contributions for the defined contribution plans of $475 and $1,109 for the three and six months ended June 30, 2020, respectively, and $841 and $1,753 for the three and six months ended June 30, 2021, respectively.</w:t>
      </w:r>
    </w:p>
    <w:p>
      <w:pPr>
        <w:spacing w:after="0" w:line="120"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In addition, as a result of the acquisition of Voxbone S.A., the Company assumed sponsorship for Voxbone S.A.’s non-U.S. defined benefit pension plans. The liability recognized in the other liabilities line item of the balance sheet in respect to these plans is the present value of the defined benefit obligation at the end of the reporting period less the fair value of the plan assets. The defined benefit obligation is calculated annually by an independent actuary using the Projected Unit Credit Method.</w:t>
      </w:r>
    </w:p>
    <w:p>
      <w:pPr>
        <w:spacing w:after="0" w:line="115"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The Company reports the service cost component of net periodic benefit cost in the same line item as other compensation costs arising from the services rendered by the employee and records the other components of net periodic benefit cost in other expense, net. Net periodic benefit costs for the non-U.S. defined benefit pension plan were $0 for the three and six months ended June 30, 2020, and $114 and $218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Pretax amounts for net periodic benefit cost and other amounts for the defined benefit pension plans consisted of the following components:</w:t>
      </w:r>
    </w:p>
    <w:p>
      <w:pPr>
        <w:sectPr>
          <w:pgSz w:w="11900" w:h="16838" w:orient="portrait"/>
          <w:cols w:equalWidth="0" w:num="1">
            <w:col w:w="11240"/>
          </w:cols>
          <w:pgMar w:left="320" w:top="123" w:right="339" w:bottom="1440" w:gutter="0" w:footer="0" w:header="0"/>
        </w:sectPr>
      </w:pPr>
    </w:p>
    <w:p>
      <w:pPr>
        <w:spacing w:after="0" w:line="220" w:lineRule="exact"/>
        <w:rPr>
          <w:sz w:val="20"/>
          <w:szCs w:val="20"/>
          <w:color w:val="auto"/>
        </w:rPr>
      </w:pPr>
    </w:p>
    <w:p>
      <w:pPr>
        <w:jc w:val="center"/>
        <w:ind w:left="6820"/>
        <w:spacing w:after="0"/>
        <w:rPr>
          <w:sz w:val="20"/>
          <w:szCs w:val="20"/>
          <w:color w:val="auto"/>
        </w:rPr>
      </w:pPr>
      <w:r>
        <w:rPr>
          <w:rFonts w:ascii="Arial" w:cs="Arial" w:eastAsia="Arial" w:hAnsi="Arial"/>
          <w:sz w:val="15"/>
          <w:szCs w:val="15"/>
          <w:b w:val="1"/>
          <w:bCs w:val="1"/>
          <w:u w:val="single" w:color="auto"/>
          <w:color w:val="auto"/>
        </w:rPr>
        <w:t>Three months ended June 30,</w:t>
      </w:r>
    </w:p>
    <w:p>
      <w:pPr>
        <w:spacing w:after="0" w:line="54" w:lineRule="exact"/>
        <w:rPr>
          <w:sz w:val="20"/>
          <w:szCs w:val="20"/>
          <w:color w:val="auto"/>
        </w:rPr>
      </w:pPr>
    </w:p>
    <w:p>
      <w:pPr>
        <w:jc w:val="center"/>
        <w:ind w:left="6820"/>
        <w:spacing w:after="0"/>
        <w:rPr>
          <w:sz w:val="20"/>
          <w:szCs w:val="20"/>
          <w:color w:val="auto"/>
        </w:rPr>
      </w:pP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20"/>
        <w:spacing w:after="0" w:line="285" w:lineRule="auto"/>
        <w:rPr>
          <w:sz w:val="20"/>
          <w:szCs w:val="20"/>
          <w:color w:val="auto"/>
        </w:rPr>
      </w:pPr>
      <w:r>
        <w:rPr>
          <w:rFonts w:ascii="Arial" w:cs="Arial" w:eastAsia="Arial" w:hAnsi="Arial"/>
          <w:sz w:val="17"/>
          <w:szCs w:val="17"/>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-155575</wp:posOffset>
            </wp:positionV>
            <wp:extent cx="1384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940" w:space="260"/>
            <w:col w:w="204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6800" w:type="dxa"/>
            <w:vAlign w:val="bottom"/>
            <w:tcBorders>
              <w:top w:val="single" w:sz="8" w:color="CCEEFF"/>
            </w:tcBorders>
            <w:shd w:val="clear" w:color="auto" w:fill="CCEEFF"/>
          </w:tcPr>
          <w:p>
            <w:pPr>
              <w:ind w:left="20"/>
              <w:spacing w:after="0" w:line="188" w:lineRule="exact"/>
              <w:rPr>
                <w:sz w:val="20"/>
                <w:szCs w:val="20"/>
                <w:color w:val="auto"/>
              </w:rPr>
            </w:pPr>
            <w:r>
              <w:rPr>
                <w:rFonts w:ascii="Arial" w:cs="Arial" w:eastAsia="Arial" w:hAnsi="Arial"/>
                <w:sz w:val="17"/>
                <w:szCs w:val="17"/>
                <w:color w:val="auto"/>
              </w:rPr>
              <w:t>Service cost</w:t>
            </w:r>
          </w:p>
        </w:tc>
        <w:tc>
          <w:tcPr>
            <w:tcW w:w="880" w:type="dxa"/>
            <w:vAlign w:val="bottom"/>
            <w:tcBorders>
              <w:top w:val="single" w:sz="8" w:color="auto"/>
            </w:tcBorders>
            <w:shd w:val="clear" w:color="auto" w:fill="CCEEFF"/>
          </w:tcPr>
          <w:p>
            <w:pPr>
              <w:jc w:val="right"/>
              <w:ind w:right="696"/>
              <w:spacing w:after="0" w:line="188" w:lineRule="exact"/>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111</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716"/>
              <w:spacing w:after="0" w:line="188" w:lineRule="exact"/>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ind w:right="116"/>
              <w:spacing w:after="0" w:line="188" w:lineRule="exact"/>
              <w:rPr>
                <w:sz w:val="20"/>
                <w:szCs w:val="20"/>
                <w:color w:val="auto"/>
              </w:rPr>
            </w:pPr>
            <w:r>
              <w:rPr>
                <w:rFonts w:ascii="Arial" w:cs="Arial" w:eastAsia="Arial" w:hAnsi="Arial"/>
                <w:sz w:val="17"/>
                <w:szCs w:val="17"/>
                <w:color w:val="auto"/>
              </w:rPr>
              <w:t>214</w:t>
            </w:r>
          </w:p>
        </w:tc>
      </w:tr>
      <w:tr>
        <w:trPr>
          <w:trHeight w:val="214"/>
        </w:trPr>
        <w:tc>
          <w:tcPr>
            <w:tcW w:w="68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880" w:type="dxa"/>
            <w:vAlign w:val="bottom"/>
          </w:tcPr>
          <w:p>
            <w:pPr>
              <w:spacing w:after="0"/>
              <w:rPr>
                <w:sz w:val="18"/>
                <w:szCs w:val="18"/>
                <w:color w:val="auto"/>
              </w:rPr>
            </w:pP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ind w:right="116"/>
              <w:spacing w:after="0"/>
              <w:rPr>
                <w:sz w:val="20"/>
                <w:szCs w:val="20"/>
                <w:color w:val="auto"/>
              </w:rPr>
            </w:pPr>
            <w:r>
              <w:rPr>
                <w:rFonts w:ascii="Arial" w:cs="Arial" w:eastAsia="Arial" w:hAnsi="Arial"/>
                <w:sz w:val="17"/>
                <w:szCs w:val="17"/>
                <w:color w:val="auto"/>
              </w:rPr>
              <w:t>11</w:t>
            </w:r>
          </w:p>
        </w:tc>
      </w:tr>
      <w:tr>
        <w:trPr>
          <w:trHeight w:val="215"/>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Return on plan assets</w:t>
            </w:r>
          </w:p>
        </w:tc>
        <w:tc>
          <w:tcPr>
            <w:tcW w:w="8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w:t>
            </w:r>
          </w:p>
        </w:tc>
      </w:tr>
      <w:tr>
        <w:trPr>
          <w:trHeight w:val="207"/>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periodic pension cost</w:t>
            </w:r>
          </w:p>
        </w:tc>
        <w:tc>
          <w:tcPr>
            <w:tcW w:w="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218</w:t>
            </w:r>
          </w:p>
        </w:tc>
      </w:tr>
      <w:tr>
        <w:trPr>
          <w:trHeight w:val="23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recognized in net periodic benefit cost</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218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6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4"/>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Defined benefit cost:</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4"/>
        </w:trPr>
        <w:tc>
          <w:tcPr>
            <w:tcW w:w="6800" w:type="dxa"/>
            <w:vAlign w:val="bottom"/>
          </w:tcPr>
          <w:p>
            <w:pPr>
              <w:ind w:left="20"/>
              <w:spacing w:after="0"/>
              <w:rPr>
                <w:sz w:val="20"/>
                <w:szCs w:val="20"/>
                <w:color w:val="auto"/>
              </w:rPr>
            </w:pPr>
            <w:r>
              <w:rPr>
                <w:rFonts w:ascii="Arial" w:cs="Arial" w:eastAsia="Arial" w:hAnsi="Arial"/>
                <w:sz w:val="17"/>
                <w:szCs w:val="17"/>
                <w:color w:val="auto"/>
              </w:rPr>
              <w:t>Expected long-term rate of return on plan assets</w:t>
            </w: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0.50 %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0.50 %</w:t>
            </w: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6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At the end of each interim reporting period, the Company determines the income tax provision by using an estimate of the annual effective tax rate, adjusted for discrete items occurring in the quarter. The effective income tax rate reflects the effect of federal and state income taxes and the permanent impacts of differences in book and tax accounting.</w:t>
      </w:r>
    </w:p>
    <w:p>
      <w:pPr>
        <w:spacing w:after="0" w:line="111"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The Company’s effective tax rate was (399.1)% and (173.8)% for the three and six months ended June 30, 2020, respectively, and (4.1)% and 0.5% for the three and six months ended June 30, 2021, respectively. The change in tax rate is primarily due to the valuation allowance recorded against U.S. deferred tax assets and the mix of earnings between various jurisdictions. The Company continues to maintain a valuation allowance for its U.S. federal and state net deferred tax assets.</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w:t>
      </w:r>
    </w:p>
    <w:p>
      <w:pPr>
        <w:spacing w:after="0" w:line="111" w:lineRule="exact"/>
        <w:rPr>
          <w:sz w:val="20"/>
          <w:szCs w:val="20"/>
          <w:color w:val="auto"/>
        </w:rPr>
      </w:pPr>
    </w:p>
    <w:p>
      <w:pPr>
        <w:ind w:right="540" w:firstLine="605"/>
        <w:spacing w:after="0" w:line="280" w:lineRule="auto"/>
        <w:rPr>
          <w:sz w:val="20"/>
          <w:szCs w:val="20"/>
          <w:color w:val="auto"/>
        </w:rPr>
      </w:pPr>
      <w:r>
        <w:rPr>
          <w:rFonts w:ascii="Arial" w:cs="Arial" w:eastAsia="Arial" w:hAnsi="Arial"/>
          <w:sz w:val="18"/>
          <w:szCs w:val="18"/>
          <w:color w:val="auto"/>
        </w:rPr>
        <w:t>The Company’s effective tax rate for the three and six months ended June 30, 2021 is lower than the U.S. federal statutory rate of 21.0% primarily due to the valuation allowance recorded against U.S. deferred tax assets.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Parties</w:t>
      </w:r>
    </w:p>
    <w:p>
      <w:pPr>
        <w:spacing w:after="0" w:line="163" w:lineRule="exact"/>
        <w:rPr>
          <w:sz w:val="20"/>
          <w:szCs w:val="20"/>
          <w:color w:val="auto"/>
        </w:rPr>
      </w:pPr>
    </w:p>
    <w:p>
      <w:pPr>
        <w:jc w:val="both"/>
        <w:ind w:firstLine="605"/>
        <w:spacing w:after="0" w:line="252" w:lineRule="auto"/>
        <w:rPr>
          <w:sz w:val="20"/>
          <w:szCs w:val="20"/>
          <w:color w:val="auto"/>
        </w:rPr>
      </w:pPr>
      <w:r>
        <w:rPr>
          <w:rFonts w:ascii="Arial" w:cs="Arial" w:eastAsia="Arial" w:hAnsi="Arial"/>
          <w:sz w:val="18"/>
          <w:szCs w:val="18"/>
          <w:color w:val="auto"/>
        </w:rPr>
        <w:t>On April 20, 2015, the Company created a wholly owned subsidiary, Relay, Inc. (f/k/a Republic Wireless, Inc.) (“Relay”), which was incorporated in Delaware. On November 30, 2016, the Company completed a pro-rata distribution of the common stock of Relay to its stockholders of record as of the close of business (the “Spin-Off”). In connection with the Spin-Off on November 30, 2016, the Company and Relay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the Company pre-initial public offering are comprised of substantially the same individuals and entities that are the equity owners of Relay. The Company has determined the equity owners of Relay are related parties of Bandwidth. The Company has certain involvement with Relay via ongoing services arrangements, with these ongoing services arrangements creating a variable interest in Relay. The Company assessed the relationship with Relay under guidance for variable interest entities (“VIE”). Because investors in Relay have disproportionate voting rights, the Company concluded that Relay is a VIE, but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3" w:name="page34"/>
    <w:bookmarkEnd w:id="3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Company is not a primary beneficiary. The Company’s maximum exposure to loss relating to this VIE is limited to amounts due under the service agreements between the Company and Relay.</w:t>
      </w:r>
    </w:p>
    <w:p>
      <w:pPr>
        <w:spacing w:after="0" w:line="97"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The Company recorded a reduction of rent expense under the Facilities Sharing Agreement of $96 and $192 for the three and six months ended June 30, 2020, respectively, and $96 and $192 for the three and six months ended June 30, 2021, respectively, which is included in general and administrative expenses in the condensed consolidated statements of operations. No amounts were due to the Company under the Facilities Sharing Agreement as of December 31, 2020 and June 30, 2021.</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Tax Sharing Agreement governs rights and obligations after the Spin-Off regarding income taxes and other taxes, including tax liabilities and benefits, attributes, returns and contests. There were no amounts outstanding or payable under this agreement as of December 31, 2020 and June 30, 2021.</w:t>
      </w:r>
    </w:p>
    <w:p>
      <w:pPr>
        <w:spacing w:after="0" w:line="111"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The Master Services Agreement specifies certain wholesale telecommunications services to be provided by the Company. The agreement is cancellable at any time by either party. The Company provided telecommunication services to Relay of $583 and $1,116 for the three and six months ended June 30, 2020, respectively, and $462 and $949 for the three and six months ended June 30, 2021, respectively. The Company recognized such amounts as revenue in the accompanying condensed consolidated statements of operations. As of December 31, 2020 and June 30, 2021, the Company had a receivable of $170 and $154, respectively, under the Master Services Agreement.</w:t>
      </w:r>
    </w:p>
    <w:p>
      <w:pPr>
        <w:spacing w:after="0" w:line="103"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On March 1, 2019, an amendment to the current Master Services Agreement was executed. Pursuant to the terms of the new agreement, Relay receives reduced pricing on its messaging services, effective April 1, 2019. All other terms and conditions of the existing agreement remain. On June 20, 2019, Relay executed a further amendment to the current Master Services Agreement. Pursuant to the terms of the June 20, 2019 amendment, Relay receives reduced pricing on its outbound voice services effective on June 20, 2019.</w:t>
      </w:r>
    </w:p>
    <w:p>
      <w:pPr>
        <w:spacing w:after="0" w:line="115"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Subsequent to the expiration of the 180-day IPO blackout window on May 9, 2018, Relay employees that held Bandwidth stock options began exercising their options. Upon exercise, Bandwidth withholds the employee tax amounts due from the proceeds. Bandwidth had collected on behalf of, and remitted withholding tax to, Relay of $241 and $549 for the three and six months ended June 30, 2020, respectively, and $0 and $344 for the three and six months ended June 30, 2021, respectively. As of December 31, 2020 and June 30, 2021, the Company had no outstanding amounts due to Relay.</w:t>
      </w:r>
    </w:p>
    <w:p>
      <w:pPr>
        <w:spacing w:after="0" w:line="119"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On September 30, 2019, the Company entered into a services agreement with Relay. Pursuant to the terms of the new agreement, Relay receives services performed by the Company’s legal department, effective September 30, 2019. The Company is compensated by Relay for these services based on costs incurred by the Company. The Company received net compensation under this agreement of $16 and $47 for the three and six months ended June 30, 2020, respectively, and $6 and $13 for the three and six months ended June 30, 2021, respectively, which is included in general and administrative expenses in the condensed consolidated statements of operations. As of December 31, 2020 and June 30, 2021, the Company had a receivable of $2 under this agreement.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Basic and Diluted Loss per Common Share</w:t>
      </w:r>
    </w:p>
    <w:p>
      <w:pPr>
        <w:spacing w:after="0" w:line="16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Basic net loss per share is computed by dividing net loss by the weighted-average number of shares of common stock outstanding during the period. The Company is in a net loss position for the three and six months ended June 30, 2020 and 2021 and therefore diluted shares equals basic shares.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basic and diluted loss per share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5"/>
          </w:tcPr>
          <w:p>
            <w:pPr>
              <w:ind w:left="260"/>
              <w:spacing w:after="0"/>
              <w:rPr>
                <w:sz w:val="20"/>
                <w:szCs w:val="20"/>
                <w:color w:val="auto"/>
              </w:rPr>
            </w:pPr>
            <w:r>
              <w:rPr>
                <w:rFonts w:ascii="Arial" w:cs="Arial" w:eastAsia="Arial" w:hAnsi="Arial"/>
                <w:sz w:val="17"/>
                <w:szCs w:val="17"/>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3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43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2021</w:t>
            </w:r>
          </w:p>
        </w:tc>
      </w:tr>
      <w:tr>
        <w:trPr>
          <w:trHeight w:val="194"/>
        </w:trPr>
        <w:tc>
          <w:tcPr>
            <w:tcW w:w="43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i w:val="1"/>
                <w:iCs w:val="1"/>
                <w:color w:val="auto"/>
              </w:rPr>
              <w:t>Earnings per share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(20,641)</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(6,928)</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(21,699)</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(12,244)</w:t>
            </w: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share: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4"/>
        </w:trPr>
        <w:tc>
          <w:tcPr>
            <w:tcW w:w="4380" w:type="dxa"/>
            <w:vAlign w:val="bottom"/>
          </w:tcPr>
          <w:p>
            <w:pPr>
              <w:ind w:left="320"/>
              <w:spacing w:after="0"/>
              <w:rPr>
                <w:sz w:val="20"/>
                <w:szCs w:val="20"/>
                <w:color w:val="auto"/>
              </w:rPr>
            </w:pPr>
            <w:r>
              <w:rPr>
                <w:rFonts w:ascii="Arial" w:cs="Arial" w:eastAsia="Arial" w:hAnsi="Arial"/>
                <w:sz w:val="17"/>
                <w:szCs w:val="17"/>
                <w:color w:val="auto"/>
              </w:rPr>
              <w:t>Basic</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(0.91)</w:t>
            </w:r>
          </w:p>
        </w:tc>
        <w:tc>
          <w:tcPr>
            <w:tcW w:w="10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(0.49)</w:t>
            </w:r>
          </w:p>
        </w:tc>
      </w:tr>
      <w:tr>
        <w:trPr>
          <w:trHeight w:val="215"/>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r>
      <w:tr>
        <w:trPr>
          <w:trHeight w:val="214"/>
        </w:trPr>
        <w:tc>
          <w:tcPr>
            <w:tcW w:w="4380" w:type="dxa"/>
            <w:vAlign w:val="bottom"/>
          </w:tcPr>
          <w:p>
            <w:pPr>
              <w:ind w:left="20"/>
              <w:spacing w:after="0"/>
              <w:rPr>
                <w:sz w:val="20"/>
                <w:szCs w:val="20"/>
                <w:color w:val="auto"/>
              </w:rPr>
            </w:pPr>
            <w:r>
              <w:rPr>
                <w:rFonts w:ascii="Arial" w:cs="Arial" w:eastAsia="Arial" w:hAnsi="Arial"/>
                <w:sz w:val="17"/>
                <w:szCs w:val="17"/>
                <w:i w:val="1"/>
                <w:iCs w:val="1"/>
                <w:color w:val="auto"/>
                <w:w w:val="95"/>
              </w:rPr>
              <w:t>Weighted Average Number of Common Shares Outstanding</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23,973,663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25,096,026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23,768,616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25,056,208</w:t>
            </w:r>
          </w:p>
        </w:tc>
      </w:tr>
      <w:tr>
        <w:trPr>
          <w:trHeight w:val="214"/>
        </w:trPr>
        <w:tc>
          <w:tcPr>
            <w:tcW w:w="4380" w:type="dxa"/>
            <w:vAlign w:val="bottom"/>
          </w:tcPr>
          <w:p>
            <w:pPr>
              <w:ind w:left="320"/>
              <w:spacing w:after="0"/>
              <w:rPr>
                <w:sz w:val="20"/>
                <w:szCs w:val="20"/>
                <w:color w:val="auto"/>
              </w:rPr>
            </w:pPr>
            <w:r>
              <w:rPr>
                <w:rFonts w:ascii="Arial" w:cs="Arial" w:eastAsia="Arial" w:hAnsi="Arial"/>
                <w:sz w:val="17"/>
                <w:szCs w:val="17"/>
                <w:color w:val="auto"/>
              </w:rPr>
              <w:t>Diluted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23,973,663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25,096,026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23,768,616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25,056,208</w:t>
            </w:r>
          </w:p>
        </w:tc>
      </w:tr>
    </w:tbl>
    <w:p>
      <w:pPr>
        <w:spacing w:after="0" w:line="223" w:lineRule="exact"/>
        <w:rPr>
          <w:sz w:val="20"/>
          <w:szCs w:val="20"/>
          <w:color w:val="auto"/>
        </w:rPr>
      </w:pPr>
    </w:p>
    <w:p>
      <w:pPr>
        <w:jc w:val="both"/>
        <w:ind w:firstLine="605"/>
        <w:spacing w:after="0" w:line="279" w:lineRule="auto"/>
        <w:rPr>
          <w:sz w:val="20"/>
          <w:szCs w:val="20"/>
          <w:color w:val="auto"/>
        </w:rPr>
      </w:pPr>
      <w:r>
        <w:rPr>
          <w:rFonts w:ascii="Arial" w:cs="Arial" w:eastAsia="Arial" w:hAnsi="Arial"/>
          <w:sz w:val="17"/>
          <w:szCs w:val="17"/>
          <w:color w:val="auto"/>
        </w:rPr>
        <w:t>The common share equivalents with anti-dilutive effects excluded from the weighted average shares used to calculate net loss per common share for the three and six months ended June 30, 2020 consisted of 313,956 stock options and 468,797 nonvested RSUs outstanding. For the three and six months ended June 30, 2021, this consisted of 191,971 stock options, 380,808 nonvested RSUs outstanding, respectively, and 1,206,493 and 1,509,313 from convertible debt conversion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3"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i w:val="1"/>
          <w:iCs w:val="1"/>
          <w:color w:val="231F20"/>
        </w:rPr>
        <w:t>The following discussion and analysis of our financial condition and results of operations should be read in conjunction with our condensed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3" w:lineRule="exact"/>
        <w:rPr>
          <w:sz w:val="20"/>
          <w:szCs w:val="20"/>
          <w:color w:val="auto"/>
        </w:rPr>
      </w:pPr>
    </w:p>
    <w:p>
      <w:pPr>
        <w:jc w:val="both"/>
        <w:ind w:firstLine="605"/>
        <w:spacing w:after="0" w:line="289" w:lineRule="auto"/>
        <w:rPr>
          <w:sz w:val="20"/>
          <w:szCs w:val="20"/>
          <w:color w:val="auto"/>
        </w:rPr>
      </w:pPr>
      <w:r>
        <w:rPr>
          <w:rFonts w:ascii="Arial" w:cs="Arial" w:eastAsia="Arial" w:hAnsi="Arial"/>
          <w:sz w:val="16"/>
          <w:szCs w:val="16"/>
          <w:color w:val="auto"/>
        </w:rPr>
        <w:t>We are a leading global enterprise cloud communications company. Our solutions include a broad range of software Application Programming Interfaces (“APIs”) for voice, messaging and emergency services. Our sophisticated and easy-to-use software APIs allow enterprises to enhance their products and services by incorporating advanced, global connectivity for voice, messaging and emergency services communications capabilities. Companies use our platform to more frequently and seamlessly connect with their end users, add voice calling capabilities to applications and devices, transition from on-premise to cloud-based communication tools and applications, integrate messaging capabilities into applications or software, build interactive voice response systems for contact centers, and offer end users new mobile application experiences including emergency services and improve employee productivity, among other use cases. We have established a reputation as a leader in the Communications Platform-as-a-Service (“CPaaS”) space through our innovation-rich culture and focus on empowering enterprises with end-to-end communications solutions.</w:t>
      </w:r>
    </w:p>
    <w:p>
      <w:pPr>
        <w:spacing w:after="0" w:line="94"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We are the only CPaaS provider in the industry that owns and operates a nationwide IP voice network in the U.S. In 2020, we acquired Voxbone, a leading European-based communications platform with its own IP voice network assembled by building relationships with local carriers around the globe. Our deep U.S. presence and global platform extending across more than 60 countries serves enterprises in countries representing more than 90% of global gross domestic product. We believe that our current and future customers will benefit from using a unified software platform, network and team to serve people around the world.</w:t>
      </w:r>
    </w:p>
    <w:p>
      <w:pPr>
        <w:spacing w:after="0" w:line="11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15"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We believe our network is capital-efficient and supports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while meeting regulatory, scalability and cost requirements more efficiently.</w:t>
      </w:r>
    </w:p>
    <w:p>
      <w:pPr>
        <w:spacing w:after="0" w:line="115" w:lineRule="exact"/>
        <w:rPr>
          <w:sz w:val="20"/>
          <w:szCs w:val="20"/>
          <w:color w:val="auto"/>
        </w:rPr>
      </w:pPr>
    </w:p>
    <w:p>
      <w:pPr>
        <w:jc w:val="both"/>
        <w:ind w:firstLine="605"/>
        <w:spacing w:after="0" w:line="279" w:lineRule="auto"/>
        <w:rPr>
          <w:sz w:val="20"/>
          <w:szCs w:val="20"/>
          <w:color w:val="auto"/>
        </w:rPr>
      </w:pPr>
      <w:r>
        <w:rPr>
          <w:rFonts w:ascii="Arial" w:cs="Arial" w:eastAsia="Arial" w:hAnsi="Arial"/>
          <w:sz w:val="17"/>
          <w:szCs w:val="17"/>
          <w:color w:val="auto"/>
        </w:rPr>
        <w:t>For the three months ended June 30, 2020 and 2021, total revenue was $76.8 million and $120.7 million, respectively. For the three months ended June 30, 2020 and 2021, CPaaS revenue was $67.1 million and $105.0 million, respectively, representing an increase of 57%. Net loss for the three months ended June 30, 2020 and 2021 was $20.6 million and $6.9 million, respectively. For the three months ended June 30, 2020 and 2021, the number of active CPaaS customer accounts was 1,900 and 3,051, respectively, representing a year over year increase of 61%.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Voxbone</w:t>
      </w:r>
    </w:p>
    <w:p>
      <w:pPr>
        <w:spacing w:after="0" w:line="159"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On November 2, 2020, we acquired all of the A Ordinary Shares, B Ordinary Shares and C Ordinary Shares of Voice Topco Limited (“Voice Topco”) through a Share Purchase Agreement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such purchase, the “Share Purchase”) (the “Acquisition”). Voice Topco directly or indirectly holds all of the issued and outstanding shares of Voxbone S.A., which (with its subsidiaries) is the operating subsidiary of Voice Topco. The Acquisition was valued at €446 million. As consideration for the Share Purchase, we (i) paid the Sellers (as defined in the Share Purchase Agreement) approximately $400 million (or approximately €338 million based on prevailing exchange rates at the close of business on October 9, 2020) at the Closing (as disclosed in the Share Purchase Agreement) and (ii) issued to the Sellers at the Closing shares of our Class A common stock, with an aggregate value of approximately €108 million (or approximately $128 million based on prevailing exchange rates at the close of business on October 9, 2020).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63" w:lineRule="exact"/>
        <w:rPr>
          <w:sz w:val="20"/>
          <w:szCs w:val="20"/>
          <w:color w:val="auto"/>
        </w:rPr>
      </w:pPr>
    </w:p>
    <w:p>
      <w:pPr>
        <w:jc w:val="both"/>
        <w:ind w:firstLine="605"/>
        <w:spacing w:after="0" w:line="266" w:lineRule="auto"/>
        <w:rPr>
          <w:sz w:val="20"/>
          <w:szCs w:val="20"/>
          <w:color w:val="auto"/>
        </w:rPr>
      </w:pPr>
      <w:r>
        <w:rPr>
          <w:rFonts w:ascii="Arial" w:cs="Arial" w:eastAsia="Arial" w:hAnsi="Arial"/>
          <w:sz w:val="17"/>
          <w:szCs w:val="17"/>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The broader implications of COVID-19 on our results of operations and overall financial performance remain uncertain. The COVID-19 pandemic and its adverse effects have been prevalent in the locations where we, our customers, suppliers and third-party business partners conduct business. During the three months ended June 30, 2021, we experienced stable or increased usage by our customers that had been most impacted by COVID-19, including large enterprise customers that offer unified communications as a service (“UCaaS”) and meeting solutions, travel, hospitality and ridesharing services, among others. We acknowledge that there may be additional impacts to the economy and our business going forward as a result of COVID-19, and we expect that there may be some volatility in customer demand and buying habits as the pandemic continues. Recently, we have re-opened our U.S. offices for employees to return, subject to applicable government regulations. Appropriate measures are being taken to protect the health of our employees who return to the office. We have also reinstated business travel, subject to applicable government regulations. As the COVID-19 pandemic abates, we may experience curtailed customer demand that could materially adversely impact our business, results of operations and overall financial performance in future periods. Specifically, we may experience impact from enterprises reducing usage of our services or delaying decisions to implement our services. As a result, the effect of the COVID-19 pandemic will not be fully reflected in our results of operations and overall financial performance until future periods. See “Item 1A. Risk Factors” for further discussion of the possible impact of the COVID-19 pandemic on our business.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6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80" w:type="dxa"/>
            <w:vAlign w:val="bottom"/>
            <w:gridSpan w:val="5"/>
          </w:tcPr>
          <w:p>
            <w:pPr>
              <w:ind w:left="540"/>
              <w:spacing w:after="0"/>
              <w:rPr>
                <w:sz w:val="20"/>
                <w:szCs w:val="20"/>
                <w:color w:val="auto"/>
              </w:rPr>
            </w:pPr>
            <w:r>
              <w:rPr>
                <w:rFonts w:ascii="Arial" w:cs="Arial" w:eastAsia="Arial" w:hAnsi="Arial"/>
                <w:sz w:val="17"/>
                <w:szCs w:val="17"/>
                <w:b w:val="1"/>
                <w:bCs w:val="1"/>
                <w:color w:val="auto"/>
              </w:rPr>
              <w:t>Three months ended June 30,</w:t>
            </w:r>
          </w:p>
        </w:tc>
        <w:tc>
          <w:tcPr>
            <w:tcW w:w="580" w:type="dxa"/>
            <w:vAlign w:val="bottom"/>
          </w:tcPr>
          <w:p>
            <w:pPr>
              <w:spacing w:after="0"/>
              <w:rPr>
                <w:sz w:val="18"/>
                <w:szCs w:val="18"/>
                <w:color w:val="auto"/>
              </w:rPr>
            </w:pPr>
          </w:p>
        </w:tc>
        <w:tc>
          <w:tcPr>
            <w:tcW w:w="3000" w:type="dxa"/>
            <w:vAlign w:val="bottom"/>
            <w:gridSpan w:val="4"/>
          </w:tcPr>
          <w:p>
            <w:pPr>
              <w:jc w:val="right"/>
              <w:ind w:right="756"/>
              <w:spacing w:after="0"/>
              <w:rPr>
                <w:sz w:val="20"/>
                <w:szCs w:val="20"/>
                <w:color w:val="auto"/>
              </w:rPr>
            </w:pPr>
            <w:r>
              <w:rPr>
                <w:rFonts w:ascii="Arial" w:cs="Arial" w:eastAsia="Arial" w:hAnsi="Arial"/>
                <w:sz w:val="17"/>
                <w:szCs w:val="17"/>
                <w:b w:val="1"/>
                <w:bCs w:val="1"/>
                <w:color w:val="auto"/>
                <w:w w:val="97"/>
              </w:rPr>
              <w:t>Six months ended June 30,</w:t>
            </w:r>
          </w:p>
        </w:tc>
        <w:tc>
          <w:tcPr>
            <w:tcW w:w="0" w:type="dxa"/>
            <w:vAlign w:val="bottom"/>
          </w:tcPr>
          <w:p>
            <w:pPr>
              <w:spacing w:after="0"/>
              <w:rPr>
                <w:sz w:val="1"/>
                <w:szCs w:val="1"/>
                <w:color w:val="auto"/>
              </w:rPr>
            </w:pPr>
          </w:p>
        </w:tc>
      </w:tr>
      <w:tr>
        <w:trPr>
          <w:trHeight w:val="207"/>
        </w:trPr>
        <w:tc>
          <w:tcPr>
            <w:tcW w:w="34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40" w:type="dxa"/>
            <w:vAlign w:val="bottom"/>
            <w:gridSpan w:val="3"/>
          </w:tcPr>
          <w:p>
            <w:pPr>
              <w:ind w:left="540"/>
              <w:spacing w:after="0"/>
              <w:rPr>
                <w:sz w:val="20"/>
                <w:szCs w:val="20"/>
                <w:color w:val="auto"/>
              </w:rPr>
            </w:pPr>
            <w:r>
              <w:rPr>
                <w:rFonts w:ascii="Arial" w:cs="Arial" w:eastAsia="Arial" w:hAnsi="Arial"/>
                <w:sz w:val="17"/>
                <w:szCs w:val="17"/>
                <w:b w:val="1"/>
                <w:bCs w:val="1"/>
                <w:color w:val="auto"/>
                <w:w w:val="93"/>
              </w:rPr>
              <w:t>(Dollars in thousands)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420" w:type="dxa"/>
            <w:vAlign w:val="bottom"/>
            <w:shd w:val="clear" w:color="auto" w:fill="CCEEFF"/>
          </w:tcPr>
          <w:p>
            <w:pPr>
              <w:ind w:left="20"/>
              <w:spacing w:after="0" w:line="164" w:lineRule="exact"/>
              <w:rPr>
                <w:sz w:val="20"/>
                <w:szCs w:val="20"/>
                <w:color w:val="auto"/>
              </w:rPr>
            </w:pPr>
            <w:r>
              <w:rPr>
                <w:rFonts w:ascii="Arial" w:cs="Arial" w:eastAsia="Arial" w:hAnsi="Arial"/>
                <w:sz w:val="17"/>
                <w:szCs w:val="17"/>
                <w:color w:val="auto"/>
                <w:w w:val="91"/>
              </w:rPr>
              <w:t>Number of active CPaaS customers (as of period</w:t>
            </w:r>
          </w:p>
        </w:tc>
        <w:tc>
          <w:tcPr>
            <w:tcW w:w="4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396"/>
              <w:spacing w:after="0"/>
              <w:rPr>
                <w:sz w:val="20"/>
                <w:szCs w:val="20"/>
                <w:color w:val="auto"/>
              </w:rPr>
            </w:pPr>
            <w:r>
              <w:rPr>
                <w:rFonts w:ascii="Arial" w:cs="Arial" w:eastAsia="Arial" w:hAnsi="Arial"/>
                <w:sz w:val="17"/>
                <w:szCs w:val="17"/>
                <w:color w:val="auto"/>
              </w:rPr>
              <w:t>1,900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416"/>
              <w:spacing w:after="0"/>
              <w:rPr>
                <w:sz w:val="20"/>
                <w:szCs w:val="20"/>
                <w:color w:val="auto"/>
              </w:rPr>
            </w:pPr>
            <w:r>
              <w:rPr>
                <w:rFonts w:ascii="Arial" w:cs="Arial" w:eastAsia="Arial" w:hAnsi="Arial"/>
                <w:sz w:val="17"/>
                <w:szCs w:val="17"/>
                <w:color w:val="auto"/>
              </w:rPr>
              <w:t>3,051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1,900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3,051</w:t>
            </w:r>
          </w:p>
        </w:tc>
        <w:tc>
          <w:tcPr>
            <w:tcW w:w="0" w:type="dxa"/>
            <w:vAlign w:val="bottom"/>
          </w:tcPr>
          <w:p>
            <w:pPr>
              <w:spacing w:after="0"/>
              <w:rPr>
                <w:sz w:val="1"/>
                <w:szCs w:val="1"/>
                <w:color w:val="auto"/>
              </w:rPr>
            </w:pPr>
          </w:p>
        </w:tc>
      </w:tr>
      <w:tr>
        <w:trPr>
          <w:trHeight w:val="214"/>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w:t>
            </w:r>
          </w:p>
        </w:tc>
        <w:tc>
          <w:tcPr>
            <w:tcW w:w="4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20" w:type="dxa"/>
            <w:vAlign w:val="bottom"/>
          </w:tcPr>
          <w:p>
            <w:pPr>
              <w:ind w:left="20"/>
              <w:spacing w:after="0"/>
              <w:rPr>
                <w:sz w:val="20"/>
                <w:szCs w:val="20"/>
                <w:color w:val="auto"/>
              </w:rPr>
            </w:pPr>
            <w:r>
              <w:rPr>
                <w:rFonts w:ascii="Arial" w:cs="Arial" w:eastAsia="Arial" w:hAnsi="Arial"/>
                <w:sz w:val="17"/>
                <w:szCs w:val="17"/>
                <w:color w:val="auto"/>
              </w:rPr>
              <w:t>Dollar-based net retention rate</w:t>
            </w:r>
          </w:p>
        </w:tc>
        <w:tc>
          <w:tcPr>
            <w:tcW w:w="460" w:type="dxa"/>
            <w:vAlign w:val="bottom"/>
          </w:tcPr>
          <w:p>
            <w:pPr>
              <w:spacing w:after="0"/>
              <w:rPr>
                <w:sz w:val="18"/>
                <w:szCs w:val="18"/>
                <w:color w:val="auto"/>
              </w:rPr>
            </w:pPr>
          </w:p>
        </w:tc>
        <w:tc>
          <w:tcPr>
            <w:tcW w:w="1540" w:type="dxa"/>
            <w:vAlign w:val="bottom"/>
          </w:tcPr>
          <w:p>
            <w:pPr>
              <w:jc w:val="right"/>
              <w:ind w:right="216"/>
              <w:spacing w:after="0"/>
              <w:rPr>
                <w:sz w:val="20"/>
                <w:szCs w:val="20"/>
                <w:color w:val="auto"/>
              </w:rPr>
            </w:pPr>
            <w:r>
              <w:rPr>
                <w:rFonts w:ascii="Arial" w:cs="Arial" w:eastAsia="Arial" w:hAnsi="Arial"/>
                <w:sz w:val="17"/>
                <w:szCs w:val="17"/>
                <w:color w:val="auto"/>
              </w:rPr>
              <w:t>133 %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16"/>
              <w:spacing w:after="0"/>
              <w:rPr>
                <w:sz w:val="20"/>
                <w:szCs w:val="20"/>
                <w:color w:val="auto"/>
              </w:rPr>
            </w:pPr>
            <w:r>
              <w:rPr>
                <w:rFonts w:ascii="Arial" w:cs="Arial" w:eastAsia="Arial" w:hAnsi="Arial"/>
                <w:sz w:val="17"/>
                <w:szCs w:val="17"/>
                <w:color w:val="auto"/>
              </w:rPr>
              <w:t>114 %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120 %</w:t>
            </w: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5,522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13,757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8,621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27,153</w:t>
            </w:r>
          </w:p>
        </w:tc>
        <w:tc>
          <w:tcPr>
            <w:tcW w:w="0" w:type="dxa"/>
            <w:vAlign w:val="bottom"/>
          </w:tcPr>
          <w:p>
            <w:pPr>
              <w:spacing w:after="0"/>
              <w:rPr>
                <w:sz w:val="1"/>
                <w:szCs w:val="1"/>
                <w:color w:val="auto"/>
              </w:rPr>
            </w:pPr>
          </w:p>
        </w:tc>
      </w:tr>
      <w:tr>
        <w:trPr>
          <w:trHeight w:val="214"/>
        </w:trPr>
        <w:tc>
          <w:tcPr>
            <w:tcW w:w="3420" w:type="dxa"/>
            <w:vAlign w:val="bottom"/>
          </w:tcPr>
          <w:p>
            <w:pPr>
              <w:ind w:left="20"/>
              <w:spacing w:after="0"/>
              <w:rPr>
                <w:sz w:val="20"/>
                <w:szCs w:val="20"/>
                <w:color w:val="auto"/>
              </w:rPr>
            </w:pPr>
            <w:r>
              <w:rPr>
                <w:rFonts w:ascii="Arial" w:cs="Arial" w:eastAsia="Arial" w:hAnsi="Arial"/>
                <w:sz w:val="17"/>
                <w:szCs w:val="17"/>
                <w:color w:val="auto"/>
              </w:rPr>
              <w:t>Free cash flow</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396"/>
              <w:spacing w:after="0"/>
              <w:rPr>
                <w:sz w:val="20"/>
                <w:szCs w:val="20"/>
                <w:color w:val="auto"/>
              </w:rPr>
            </w:pPr>
            <w:r>
              <w:rPr>
                <w:rFonts w:ascii="Arial" w:cs="Arial" w:eastAsia="Arial" w:hAnsi="Arial"/>
                <w:sz w:val="17"/>
                <w:szCs w:val="17"/>
                <w:color w:val="auto"/>
              </w:rPr>
              <w:t>2,671</w:t>
            </w:r>
          </w:p>
        </w:tc>
        <w:tc>
          <w:tcPr>
            <w:tcW w:w="100" w:type="dxa"/>
            <w:vAlign w:val="bottom"/>
          </w:tcPr>
          <w:p>
            <w:pPr>
              <w:spacing w:after="0"/>
              <w:rPr>
                <w:sz w:val="18"/>
                <w:szCs w:val="18"/>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1560" w:type="dxa"/>
            <w:vAlign w:val="bottom"/>
          </w:tcPr>
          <w:p>
            <w:pPr>
              <w:ind w:left="540"/>
              <w:spacing w:after="0"/>
              <w:rPr>
                <w:sz w:val="20"/>
                <w:szCs w:val="20"/>
                <w:color w:val="auto"/>
              </w:rPr>
            </w:pPr>
            <w:r>
              <w:rPr>
                <w:rFonts w:ascii="Arial" w:cs="Arial" w:eastAsia="Arial" w:hAnsi="Arial"/>
                <w:sz w:val="17"/>
                <w:szCs w:val="17"/>
                <w:color w:val="auto"/>
              </w:rPr>
              <w:t>(18,942)</w:t>
            </w:r>
          </w:p>
        </w:tc>
        <w:tc>
          <w:tcPr>
            <w:tcW w:w="100" w:type="dxa"/>
            <w:vAlign w:val="bottom"/>
          </w:tcPr>
          <w:p>
            <w:pPr>
              <w:spacing w:after="0"/>
              <w:rPr>
                <w:sz w:val="18"/>
                <w:szCs w:val="18"/>
                <w:color w:val="auto"/>
              </w:rPr>
            </w:pPr>
          </w:p>
        </w:tc>
        <w:tc>
          <w:tcPr>
            <w:tcW w:w="580" w:type="dxa"/>
            <w:vAlign w:val="bottom"/>
          </w:tcPr>
          <w:p>
            <w:pPr>
              <w:jc w:val="right"/>
              <w:ind w:right="396"/>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(9,364)</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76"/>
              <w:spacing w:after="0"/>
              <w:rPr>
                <w:sz w:val="20"/>
                <w:szCs w:val="20"/>
                <w:color w:val="auto"/>
              </w:rPr>
            </w:pPr>
            <w:r>
              <w:rPr>
                <w:rFonts w:ascii="Arial" w:cs="Arial" w:eastAsia="Arial" w:hAnsi="Arial"/>
                <w:sz w:val="17"/>
                <w:szCs w:val="17"/>
                <w:color w:val="auto"/>
              </w:rPr>
              <w:t>(16,817)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Number of Active CPaaS Customer Accounts</w:t>
      </w:r>
    </w:p>
    <w:p>
      <w:pPr>
        <w:spacing w:after="0" w:line="159"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07"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231F20"/>
        </w:rPr>
        <w:t>For the three and six months ended June 30, 2020 and 2021</w:t>
      </w:r>
      <w:r>
        <w:rPr>
          <w:rFonts w:ascii="Arial" w:cs="Arial" w:eastAsia="Arial" w:hAnsi="Arial"/>
          <w:sz w:val="18"/>
          <w:szCs w:val="18"/>
          <w:color w:val="000000"/>
        </w:rPr>
        <w:t>,</w:t>
      </w:r>
      <w:r>
        <w:rPr>
          <w:rFonts w:ascii="Arial" w:cs="Arial" w:eastAsia="Arial" w:hAnsi="Arial"/>
          <w:sz w:val="18"/>
          <w:szCs w:val="18"/>
          <w:color w:val="231F20"/>
        </w:rPr>
        <w:t xml:space="preserve"> revenue from active CPaaS customer accounts represented approximately 99% of total CPaaS revenue.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Dollar-Based Net Retention Rate</w:t>
      </w:r>
    </w:p>
    <w:p>
      <w:pPr>
        <w:spacing w:after="0" w:line="159"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7"/>
          <w:szCs w:val="17"/>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112"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Statements of Operations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Revenue</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111"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For the three months ended June 30, 2020 and 2021, we generated 74% and 73% of our CPaaS revenue, respectively, from usage-based fees. We also earn monthly fees from services such as phone number services and 911 access services. For the three months ended June 30, 2020 and 2021, we generated 24% and 25% of our CPaaS revenue, respectively, in each period from monthly per unit fees. The remaining 2% of our CPaaS revenue is generated from other miscellaneous services.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jc w:val="both"/>
        <w:ind w:firstLine="605"/>
        <w:spacing w:after="0" w:line="312" w:lineRule="auto"/>
        <w:rPr>
          <w:sz w:val="20"/>
          <w:szCs w:val="20"/>
          <w:color w:val="auto"/>
        </w:rPr>
      </w:pPr>
      <w:r>
        <w:rPr>
          <w:rFonts w:ascii="Arial" w:cs="Arial" w:eastAsia="Arial" w:hAnsi="Arial"/>
          <w:sz w:val="16"/>
          <w:szCs w:val="16"/>
          <w:color w:val="auto"/>
        </w:rPr>
        <w:t>For the six months ended June 30, 2020 and 2021, we generated 73% of our CPaaS revenue from usage-based fees. We also earn monthly fees from services such as phone number services and 911 access services. For the six months ended June 30, 2020 and 2021, we generated 25% of our CPaaS revenue in each period from monthly per unit fees. The remaining 2% of our CPaaS revenue is generated from other miscellaneous services.</w:t>
      </w:r>
    </w:p>
    <w:p>
      <w:pPr>
        <w:spacing w:after="0" w:line="77"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 remainder of our revenue is generated by our Other segment. Other revenue is composed of revenue earned from our non-CPaaS legacy services and indirect revenue. Other revenue as a percentage of total revenue is expected to continue to decline over time.</w:t>
      </w:r>
    </w:p>
    <w:p>
      <w:pPr>
        <w:spacing w:after="0" w:line="97"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We recognize accounts receivable at the time the customer is invoiced. Additionally, we record a receivable for unbilled revenue if the services have been delivered and are billable in subsequent periods. Unbilled revenue made up 54% and 50% of outstanding accounts receivable, net of allowance for doubtful accounts, as of June 30, 2020 and 2021, respectively.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Cost of Revenue and Gross Margin</w:t>
      </w:r>
    </w:p>
    <w:p>
      <w:pPr>
        <w:spacing w:after="0" w:line="159"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24"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11"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fluctuations in the price we charge our customers for services.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5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231F20"/>
        </w:rPr>
        <w:t>Research and Development</w:t>
      </w:r>
    </w:p>
    <w:p>
      <w:pPr>
        <w:spacing w:after="0" w:line="159" w:lineRule="exact"/>
        <w:rPr>
          <w:sz w:val="20"/>
          <w:szCs w:val="20"/>
          <w:color w:val="auto"/>
        </w:rPr>
      </w:pPr>
    </w:p>
    <w:p>
      <w:pPr>
        <w:jc w:val="both"/>
        <w:ind w:firstLine="605"/>
        <w:spacing w:after="0" w:line="244" w:lineRule="auto"/>
        <w:rPr>
          <w:sz w:val="20"/>
          <w:szCs w:val="20"/>
          <w:color w:val="auto"/>
        </w:rPr>
      </w:pPr>
      <w:r>
        <w:rPr>
          <w:rFonts w:ascii="Arial" w:cs="Arial" w:eastAsia="Arial" w:hAnsi="Arial"/>
          <w:sz w:val="18"/>
          <w:szCs w:val="18"/>
          <w:color w:val="231F20"/>
        </w:rPr>
        <w:t>Research and development (</w:t>
      </w:r>
      <w:r>
        <w:rPr>
          <w:rFonts w:ascii="Arial" w:cs="Arial" w:eastAsia="Arial" w:hAnsi="Arial"/>
          <w:sz w:val="18"/>
          <w:szCs w:val="18"/>
          <w:color w:val="000000"/>
        </w:rPr>
        <w:t>“</w:t>
      </w:r>
      <w:r>
        <w:rPr>
          <w:rFonts w:ascii="Arial" w:cs="Arial" w:eastAsia="Arial" w:hAnsi="Arial"/>
          <w:sz w:val="18"/>
          <w:szCs w:val="18"/>
          <w:color w:val="231F20"/>
        </w:rPr>
        <w:t>R&amp;D</w:t>
      </w:r>
      <w:r>
        <w:rPr>
          <w:rFonts w:ascii="Arial" w:cs="Arial" w:eastAsia="Arial" w:hAnsi="Arial"/>
          <w:sz w:val="18"/>
          <w:szCs w:val="18"/>
          <w:color w:val="000000"/>
        </w:rPr>
        <w:t>”</w:t>
      </w:r>
      <w:r>
        <w:rPr>
          <w:rFonts w:ascii="Arial" w:cs="Arial" w:eastAsia="Arial" w:hAnsi="Arial"/>
          <w:sz w:val="18"/>
          <w:szCs w:val="18"/>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231F20"/>
        </w:rPr>
        <w:t>Sales and Marketing</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11"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industry marketing events.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59" w:lineRule="exact"/>
        <w:rPr>
          <w:sz w:val="20"/>
          <w:szCs w:val="20"/>
          <w:color w:val="auto"/>
        </w:rPr>
      </w:pPr>
    </w:p>
    <w:p>
      <w:pPr>
        <w:jc w:val="both"/>
        <w:ind w:firstLine="605"/>
        <w:spacing w:after="0" w:line="279" w:lineRule="auto"/>
        <w:rPr>
          <w:sz w:val="20"/>
          <w:szCs w:val="20"/>
          <w:color w:val="auto"/>
        </w:rPr>
      </w:pPr>
      <w:r>
        <w:rPr>
          <w:rFonts w:ascii="Arial" w:cs="Arial" w:eastAsia="Arial" w:hAnsi="Arial"/>
          <w:sz w:val="17"/>
          <w:szCs w:val="17"/>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59" w:lineRule="exact"/>
        <w:rPr>
          <w:sz w:val="20"/>
          <w:szCs w:val="20"/>
          <w:color w:val="auto"/>
        </w:rPr>
      </w:pPr>
    </w:p>
    <w:p>
      <w:pPr>
        <w:jc w:val="both"/>
        <w:ind w:firstLine="605"/>
        <w:spacing w:after="0" w:line="345" w:lineRule="auto"/>
        <w:rPr>
          <w:sz w:val="20"/>
          <w:szCs w:val="20"/>
          <w:color w:val="auto"/>
        </w:rPr>
      </w:pPr>
      <w:r>
        <w:rPr>
          <w:rFonts w:ascii="Arial" w:cs="Arial" w:eastAsia="Arial" w:hAnsi="Arial"/>
          <w:sz w:val="16"/>
          <w:szCs w:val="16"/>
          <w:color w:val="auto"/>
        </w:rPr>
        <w:t>For the three months ended June 30, 2020 and 2021, our effective tax rate was (399.1)% and (4.1)%, respectively. The increase in our effective tax rate is primarily due to the change in judgment related to the realizability of certain deferred tax assets and the resulting valuation allowance.</w:t>
      </w:r>
    </w:p>
    <w:p>
      <w:pPr>
        <w:spacing w:after="0" w:line="51" w:lineRule="exact"/>
        <w:rPr>
          <w:sz w:val="20"/>
          <w:szCs w:val="20"/>
          <w:color w:val="auto"/>
        </w:rPr>
      </w:pPr>
    </w:p>
    <w:p>
      <w:pPr>
        <w:jc w:val="both"/>
        <w:ind w:firstLine="605"/>
        <w:spacing w:after="0" w:line="311" w:lineRule="auto"/>
        <w:rPr>
          <w:sz w:val="20"/>
          <w:szCs w:val="20"/>
          <w:color w:val="auto"/>
        </w:rPr>
      </w:pPr>
      <w:r>
        <w:rPr>
          <w:rFonts w:ascii="Arial" w:cs="Arial" w:eastAsia="Arial" w:hAnsi="Arial"/>
          <w:sz w:val="17"/>
          <w:szCs w:val="17"/>
          <w:color w:val="auto"/>
        </w:rPr>
        <w:t>For the six months ended June 30, 2020 and 2021, our effective tax rate was (173.8)% and 0.5%, respectively. The increase in our effective tax rate is primarily due to the change in judgment related to the realizability of certain deferred tax assets and the resulting valuation allowance.</w:t>
      </w:r>
    </w:p>
    <w:p>
      <w:pPr>
        <w:spacing w:after="0" w:line="73"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 As of June 30, 2021, the Company continues to maintain a valuation allowance for its U.S. federal and state and U.K. net deferred tax assets.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27" w:lineRule="exact"/>
        <w:rPr>
          <w:sz w:val="20"/>
          <w:szCs w:val="20"/>
          <w:color w:val="auto"/>
        </w:rPr>
      </w:pPr>
    </w:p>
    <w:p>
      <w:pPr>
        <w:jc w:val="both"/>
        <w:ind w:firstLine="605"/>
        <w:spacing w:after="0" w:line="288" w:lineRule="auto"/>
        <w:rPr>
          <w:sz w:val="20"/>
          <w:szCs w:val="20"/>
          <w:color w:val="auto"/>
        </w:rPr>
      </w:pPr>
      <w:r>
        <w:rPr>
          <w:rFonts w:ascii="Arial" w:cs="Arial" w:eastAsia="Arial" w:hAnsi="Arial"/>
          <w:sz w:val="16"/>
          <w:szCs w:val="16"/>
          <w:color w:val="231F20"/>
        </w:rPr>
        <w:t>We use Non-GAAP gross profit, Non-GAAP gross margin, Non-GAAP net income, Adjusted EBITDA and free cash flow for financial and operational decision making and to evaluate period-to-period differences in our performance. Non-GAAP gross profit, Non-GAAP gross margin, Non-GAAP net income,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Non-GAAP Gross Profit and Non-GAAP Gross Margin</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ind w:left="600" w:hanging="297"/>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158" w:lineRule="exact"/>
        <w:rPr>
          <w:rFonts w:ascii="Arial" w:cs="Arial" w:eastAsia="Arial" w:hAnsi="Arial"/>
          <w:sz w:val="18"/>
          <w:szCs w:val="18"/>
          <w:color w:val="auto"/>
        </w:rPr>
      </w:pPr>
    </w:p>
    <w:p>
      <w:pPr>
        <w:ind w:left="600" w:hanging="297"/>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of acquired intangible assets related to acquisitions; and</w:t>
      </w:r>
    </w:p>
    <w:p>
      <w:pPr>
        <w:spacing w:after="0" w:line="158" w:lineRule="exact"/>
        <w:rPr>
          <w:rFonts w:ascii="Arial" w:cs="Arial" w:eastAsia="Arial" w:hAnsi="Arial"/>
          <w:sz w:val="18"/>
          <w:szCs w:val="18"/>
          <w:color w:val="auto"/>
        </w:rPr>
      </w:pPr>
    </w:p>
    <w:p>
      <w:pPr>
        <w:ind w:left="600" w:hanging="297"/>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59" w:lineRule="exact"/>
        <w:rPr>
          <w:sz w:val="20"/>
          <w:szCs w:val="20"/>
          <w:color w:val="auto"/>
        </w:rPr>
      </w:pPr>
    </w:p>
    <w:p>
      <w:pPr>
        <w:jc w:val="both"/>
        <w:ind w:firstLine="605"/>
        <w:spacing w:after="0" w:line="296" w:lineRule="auto"/>
        <w:rPr>
          <w:sz w:val="20"/>
          <w:szCs w:val="20"/>
          <w:color w:val="auto"/>
        </w:rPr>
      </w:pPr>
      <w:r>
        <w:rPr>
          <w:rFonts w:ascii="Arial" w:cs="Arial" w:eastAsia="Arial" w:hAnsi="Arial"/>
          <w:sz w:val="16"/>
          <w:szCs w:val="16"/>
          <w:color w:val="auto"/>
        </w:rPr>
        <w:t>We add back depreciation and amortization, amortization of acquired intangible assets related to acquisitions, and stock-based compensation, because they are non-cash items. We eliminate the impact of these non-cash items because we do not consider them indicative of our core operating performance. Their exclusion facilitates comparisons of our operating performance on a period-to-period basis.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calculate Non-GAAP gross margin by dividing Non-GAAP gross profit by revenue, expressed as a percentage of revenue.</w:t>
      </w:r>
    </w:p>
    <w:p>
      <w:pPr>
        <w:spacing w:after="0" w:line="159"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Consolidated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7"/>
                <w:szCs w:val="17"/>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7"/>
                <w:szCs w:val="17"/>
                <w:b w:val="1"/>
                <w:bCs w:val="1"/>
                <w:color w:val="auto"/>
                <w:w w:val="86"/>
              </w:rPr>
              <w:t>Six months ended June 30,</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(In thousands)</w:t>
            </w: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40" w:type="dxa"/>
            <w:vAlign w:val="bottom"/>
            <w:shd w:val="clear" w:color="auto" w:fill="CCEEFF"/>
          </w:tcPr>
          <w:p>
            <w:pPr>
              <w:ind w:left="480"/>
              <w:spacing w:after="0" w:line="164" w:lineRule="exact"/>
              <w:rPr>
                <w:sz w:val="20"/>
                <w:szCs w:val="20"/>
                <w:color w:val="auto"/>
              </w:rPr>
            </w:pPr>
            <w:r>
              <w:rPr>
                <w:rFonts w:ascii="Arial" w:cs="Arial" w:eastAsia="Arial" w:hAnsi="Arial"/>
                <w:sz w:val="17"/>
                <w:szCs w:val="17"/>
                <w:b w:val="1"/>
                <w:bCs w:val="1"/>
                <w:color w:val="auto"/>
                <w:w w:val="95"/>
              </w:rPr>
              <w:t>Consolidated Gross</w:t>
            </w:r>
          </w:p>
        </w:tc>
        <w:tc>
          <w:tcPr>
            <w:tcW w:w="80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ind w:right="196"/>
              <w:spacing w:after="0"/>
              <w:rPr>
                <w:sz w:val="20"/>
                <w:szCs w:val="20"/>
                <w:color w:val="auto"/>
              </w:rPr>
            </w:pPr>
            <w:r>
              <w:rPr>
                <w:rFonts w:ascii="Arial" w:cs="Arial" w:eastAsia="Arial" w:hAnsi="Arial"/>
                <w:sz w:val="17"/>
                <w:szCs w:val="17"/>
                <w:color w:val="auto"/>
              </w:rPr>
              <w:t>34,781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54,599</w:t>
            </w:r>
          </w:p>
        </w:tc>
        <w:tc>
          <w:tcPr>
            <w:tcW w:w="14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66,940</w:t>
            </w:r>
          </w:p>
        </w:tc>
        <w:tc>
          <w:tcPr>
            <w:tcW w:w="15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rPr>
              <w:t>106,750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Profit</w:t>
            </w:r>
          </w:p>
        </w:tc>
        <w:tc>
          <w:tcPr>
            <w:tcW w:w="8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560" w:type="dxa"/>
            <w:vAlign w:val="bottom"/>
            <w:gridSpan w:val="3"/>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40" w:type="dxa"/>
            <w:vAlign w:val="bottom"/>
          </w:tcPr>
          <w:p>
            <w:pPr>
              <w:ind w:left="480"/>
              <w:spacing w:after="0" w:line="164" w:lineRule="exact"/>
              <w:rPr>
                <w:sz w:val="20"/>
                <w:szCs w:val="20"/>
                <w:color w:val="auto"/>
              </w:rPr>
            </w:pPr>
            <w:r>
              <w:rPr>
                <w:rFonts w:ascii="Arial" w:cs="Arial" w:eastAsia="Arial" w:hAnsi="Arial"/>
                <w:sz w:val="17"/>
                <w:szCs w:val="17"/>
                <w:b w:val="1"/>
                <w:bCs w:val="1"/>
                <w:color w:val="auto"/>
                <w:w w:val="95"/>
              </w:rPr>
              <w:t>Consolidated Gross</w:t>
            </w:r>
          </w:p>
        </w:tc>
        <w:tc>
          <w:tcPr>
            <w:tcW w:w="800" w:type="dxa"/>
            <w:vAlign w:val="bottom"/>
          </w:tcPr>
          <w:p>
            <w:pPr>
              <w:spacing w:after="0"/>
              <w:rPr>
                <w:sz w:val="14"/>
                <w:szCs w:val="14"/>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7"/>
                <w:szCs w:val="17"/>
                <w:color w:val="auto"/>
              </w:rPr>
              <w:t>45</w:t>
            </w: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7"/>
                <w:szCs w:val="17"/>
                <w:color w:val="auto"/>
              </w:rPr>
              <w:t>45</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46</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7"/>
                <w:szCs w:val="17"/>
                <w:color w:val="auto"/>
              </w:rPr>
              <w:t>46</w:t>
            </w: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40" w:type="dxa"/>
            <w:vAlign w:val="bottom"/>
          </w:tcPr>
          <w:p>
            <w:pPr>
              <w:ind w:left="20"/>
              <w:spacing w:after="0"/>
              <w:rPr>
                <w:sz w:val="20"/>
                <w:szCs w:val="20"/>
                <w:color w:val="auto"/>
              </w:rPr>
            </w:pPr>
            <w:r>
              <w:rPr>
                <w:rFonts w:ascii="Arial" w:cs="Arial" w:eastAsia="Arial" w:hAnsi="Arial"/>
                <w:sz w:val="17"/>
                <w:szCs w:val="17"/>
                <w:b w:val="1"/>
                <w:bCs w:val="1"/>
                <w:color w:val="auto"/>
              </w:rPr>
              <w:t>Profit Margin %</w:t>
            </w:r>
          </w:p>
        </w:tc>
        <w:tc>
          <w:tcPr>
            <w:tcW w:w="8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Depreciation</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2,340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2,938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5,971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40" w:type="dxa"/>
            <w:vAlign w:val="bottom"/>
          </w:tcPr>
          <w:p>
            <w:pPr>
              <w:ind w:left="680"/>
              <w:spacing w:after="0" w:line="164" w:lineRule="exact"/>
              <w:rPr>
                <w:sz w:val="20"/>
                <w:szCs w:val="20"/>
                <w:color w:val="auto"/>
              </w:rPr>
            </w:pPr>
            <w:r>
              <w:rPr>
                <w:rFonts w:ascii="Arial" w:cs="Arial" w:eastAsia="Arial" w:hAnsi="Arial"/>
                <w:sz w:val="17"/>
                <w:szCs w:val="17"/>
                <w:color w:val="auto"/>
              </w:rPr>
              <w:t>Amortization of</w:t>
            </w:r>
          </w:p>
        </w:tc>
        <w:tc>
          <w:tcPr>
            <w:tcW w:w="800" w:type="dxa"/>
            <w:vAlign w:val="bottom"/>
          </w:tcPr>
          <w:p>
            <w:pPr>
              <w:spacing w:after="0"/>
              <w:rPr>
                <w:sz w:val="14"/>
                <w:szCs w:val="14"/>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7"/>
                <w:szCs w:val="17"/>
                <w:color w:val="auto"/>
              </w:rPr>
              <w:t>2,175</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7"/>
                <w:szCs w:val="17"/>
                <w:color w:val="auto"/>
              </w:rPr>
              <w:t>4,351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40" w:type="dxa"/>
            <w:vAlign w:val="bottom"/>
          </w:tcPr>
          <w:p>
            <w:pPr>
              <w:ind w:left="220"/>
              <w:spacing w:after="0"/>
              <w:rPr>
                <w:sz w:val="20"/>
                <w:szCs w:val="20"/>
                <w:color w:val="auto"/>
              </w:rPr>
            </w:pPr>
            <w:r>
              <w:rPr>
                <w:rFonts w:ascii="Arial" w:cs="Arial" w:eastAsia="Arial" w:hAnsi="Arial"/>
                <w:sz w:val="17"/>
                <w:szCs w:val="17"/>
                <w:color w:val="auto"/>
                <w:w w:val="91"/>
              </w:rPr>
              <w:t>acquired intangible assets</w:t>
            </w:r>
          </w:p>
        </w:tc>
        <w:tc>
          <w:tcPr>
            <w:tcW w:w="8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40" w:type="dxa"/>
            <w:vAlign w:val="bottom"/>
            <w:shd w:val="clear" w:color="auto" w:fill="CCEEFF"/>
          </w:tcPr>
          <w:p>
            <w:pPr>
              <w:ind w:left="680"/>
              <w:spacing w:after="0" w:line="164" w:lineRule="exact"/>
              <w:rPr>
                <w:sz w:val="20"/>
                <w:szCs w:val="20"/>
                <w:color w:val="auto"/>
              </w:rPr>
            </w:pPr>
            <w:r>
              <w:rPr>
                <w:rFonts w:ascii="Arial" w:cs="Arial" w:eastAsia="Arial" w:hAnsi="Arial"/>
                <w:sz w:val="17"/>
                <w:szCs w:val="17"/>
                <w:color w:val="auto"/>
              </w:rPr>
              <w:t>Stock-based</w:t>
            </w:r>
          </w:p>
        </w:tc>
        <w:tc>
          <w:tcPr>
            <w:tcW w:w="8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56"/>
              <w:spacing w:after="0"/>
              <w:rPr>
                <w:sz w:val="20"/>
                <w:szCs w:val="20"/>
                <w:color w:val="auto"/>
              </w:rPr>
            </w:pPr>
            <w:r>
              <w:rPr>
                <w:rFonts w:ascii="Arial" w:cs="Arial" w:eastAsia="Arial" w:hAnsi="Arial"/>
                <w:sz w:val="17"/>
                <w:szCs w:val="17"/>
                <w:color w:val="auto"/>
              </w:rPr>
              <w:t>(60)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66</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rPr>
              <w:t>138</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compensation</w:t>
            </w:r>
          </w:p>
        </w:tc>
        <w:tc>
          <w:tcPr>
            <w:tcW w:w="8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480"/>
              <w:spacing w:after="0" w:line="144" w:lineRule="exact"/>
              <w:rPr>
                <w:sz w:val="20"/>
                <w:szCs w:val="20"/>
                <w:color w:val="auto"/>
              </w:rPr>
            </w:pPr>
            <w:r>
              <w:rPr>
                <w:rFonts w:ascii="Arial" w:cs="Arial" w:eastAsia="Arial" w:hAnsi="Arial"/>
                <w:sz w:val="16"/>
                <w:szCs w:val="16"/>
                <w:b w:val="1"/>
                <w:bCs w:val="1"/>
                <w:color w:val="auto"/>
              </w:rPr>
              <w:t>Non-GAAP Gross</w:t>
            </w:r>
          </w:p>
        </w:tc>
        <w:tc>
          <w:tcPr>
            <w:tcW w:w="80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auto"/>
              </w:rPr>
              <w:t>$</w:t>
            </w:r>
          </w:p>
        </w:tc>
        <w:tc>
          <w:tcPr>
            <w:tcW w:w="100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auto"/>
              </w:rPr>
              <w:t>37,061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tcPr>
          <w:p>
            <w:pPr>
              <w:jc w:val="right"/>
              <w:ind w:right="136"/>
              <w:spacing w:after="0"/>
              <w:rPr>
                <w:sz w:val="20"/>
                <w:szCs w:val="20"/>
                <w:color w:val="auto"/>
              </w:rPr>
            </w:pPr>
            <w:r>
              <w:rPr>
                <w:rFonts w:ascii="Arial" w:cs="Arial" w:eastAsia="Arial" w:hAnsi="Arial"/>
                <w:sz w:val="17"/>
                <w:szCs w:val="17"/>
                <w:b w:val="1"/>
                <w:bCs w:val="1"/>
                <w:color w:val="auto"/>
              </w:rPr>
              <w:t>59,778</w:t>
            </w:r>
          </w:p>
        </w:tc>
        <w:tc>
          <w:tcPr>
            <w:tcW w:w="1460" w:type="dxa"/>
            <w:vAlign w:val="bottom"/>
            <w:gridSpan w:val="3"/>
            <w:vMerge w:val="restart"/>
          </w:tcPr>
          <w:p>
            <w:pPr>
              <w:jc w:val="right"/>
              <w:ind w:right="360"/>
              <w:spacing w:after="0"/>
              <w:rPr>
                <w:sz w:val="20"/>
                <w:szCs w:val="20"/>
                <w:color w:val="auto"/>
              </w:rPr>
            </w:pPr>
            <w:r>
              <w:rPr>
                <w:rFonts w:ascii="Arial" w:cs="Arial" w:eastAsia="Arial" w:hAnsi="Arial"/>
                <w:sz w:val="17"/>
                <w:szCs w:val="17"/>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71,729</w:t>
            </w:r>
          </w:p>
        </w:tc>
        <w:tc>
          <w:tcPr>
            <w:tcW w:w="1560" w:type="dxa"/>
            <w:vAlign w:val="bottom"/>
            <w:gridSpan w:val="3"/>
            <w:vMerge w:val="restart"/>
          </w:tcPr>
          <w:p>
            <w:pPr>
              <w:jc w:val="right"/>
              <w:ind w:right="260"/>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auto"/>
              </w:rPr>
              <w:t>117,210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Profit</w:t>
            </w:r>
          </w:p>
        </w:tc>
        <w:tc>
          <w:tcPr>
            <w:tcW w:w="8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40" w:type="dxa"/>
            <w:vAlign w:val="bottom"/>
            <w:shd w:val="clear" w:color="auto" w:fill="CCEEFF"/>
          </w:tcPr>
          <w:p>
            <w:pPr>
              <w:ind w:left="480"/>
              <w:spacing w:after="0" w:line="129" w:lineRule="exact"/>
              <w:rPr>
                <w:sz w:val="20"/>
                <w:szCs w:val="20"/>
                <w:color w:val="auto"/>
              </w:rPr>
            </w:pPr>
            <w:r>
              <w:rPr>
                <w:rFonts w:ascii="Arial" w:cs="Arial" w:eastAsia="Arial" w:hAnsi="Arial"/>
                <w:sz w:val="14"/>
                <w:szCs w:val="14"/>
                <w:b w:val="1"/>
                <w:bCs w:val="1"/>
                <w:color w:val="auto"/>
              </w:rPr>
              <w:t>Non-GAAP Gross</w:t>
            </w:r>
          </w:p>
        </w:tc>
        <w:tc>
          <w:tcPr>
            <w:tcW w:w="8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96"/>
              <w:spacing w:after="0"/>
              <w:rPr>
                <w:sz w:val="20"/>
                <w:szCs w:val="20"/>
                <w:color w:val="auto"/>
              </w:rPr>
            </w:pPr>
            <w:r>
              <w:rPr>
                <w:rFonts w:ascii="Arial" w:cs="Arial" w:eastAsia="Arial" w:hAnsi="Arial"/>
                <w:sz w:val="17"/>
                <w:szCs w:val="17"/>
                <w:b w:val="1"/>
                <w:bCs w:val="1"/>
                <w:color w:val="auto"/>
              </w:rPr>
              <w:t>48</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50</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49</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b w:val="1"/>
                <w:bCs w:val="1"/>
                <w:color w:val="auto"/>
              </w:rPr>
              <w:t>50</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Margin %</w:t>
            </w:r>
          </w:p>
        </w:tc>
        <w:tc>
          <w:tcPr>
            <w:tcW w:w="8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By Segment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CPaaS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7"/>
                <w:szCs w:val="17"/>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7"/>
                <w:szCs w:val="17"/>
                <w:b w:val="1"/>
                <w:bCs w:val="1"/>
                <w:color w:val="auto"/>
                <w:w w:val="87"/>
              </w:rPr>
              <w:t>Six months ended June 30,</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2020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(In thousands)</w:t>
            </w: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w w:val="93"/>
              </w:rPr>
              <w:t>CPaaS Gross Profit</w:t>
            </w:r>
          </w:p>
        </w:tc>
        <w:tc>
          <w:tcPr>
            <w:tcW w:w="8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29,847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48,945</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57,076</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95,410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60" w:type="dxa"/>
            <w:vAlign w:val="bottom"/>
          </w:tcPr>
          <w:p>
            <w:pPr>
              <w:ind w:left="480"/>
              <w:spacing w:after="0" w:line="164" w:lineRule="exact"/>
              <w:rPr>
                <w:sz w:val="20"/>
                <w:szCs w:val="20"/>
                <w:color w:val="auto"/>
              </w:rPr>
            </w:pPr>
            <w:r>
              <w:rPr>
                <w:rFonts w:ascii="Arial" w:cs="Arial" w:eastAsia="Arial" w:hAnsi="Arial"/>
                <w:sz w:val="17"/>
                <w:szCs w:val="17"/>
                <w:b w:val="1"/>
                <w:bCs w:val="1"/>
                <w:color w:val="auto"/>
                <w:w w:val="93"/>
              </w:rPr>
              <w:t>CPaaS Gross Profit</w:t>
            </w:r>
          </w:p>
        </w:tc>
        <w:tc>
          <w:tcPr>
            <w:tcW w:w="800" w:type="dxa"/>
            <w:vAlign w:val="bottom"/>
          </w:tcPr>
          <w:p>
            <w:pPr>
              <w:spacing w:after="0"/>
              <w:rPr>
                <w:sz w:val="14"/>
                <w:szCs w:val="14"/>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7"/>
                <w:szCs w:val="17"/>
                <w:color w:val="auto"/>
              </w:rPr>
              <w:t>44</w:t>
            </w: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7"/>
                <w:szCs w:val="17"/>
                <w:color w:val="auto"/>
              </w:rPr>
              <w:t>47</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45</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7"/>
                <w:szCs w:val="17"/>
                <w:color w:val="auto"/>
              </w:rPr>
              <w:t>46</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960" w:type="dxa"/>
            <w:vAlign w:val="bottom"/>
          </w:tcPr>
          <w:p>
            <w:pPr>
              <w:ind w:left="20"/>
              <w:spacing w:after="0"/>
              <w:rPr>
                <w:sz w:val="20"/>
                <w:szCs w:val="20"/>
                <w:color w:val="auto"/>
              </w:rPr>
            </w:pPr>
            <w:r>
              <w:rPr>
                <w:rFonts w:ascii="Arial" w:cs="Arial" w:eastAsia="Arial" w:hAnsi="Arial"/>
                <w:sz w:val="17"/>
                <w:szCs w:val="17"/>
                <w:b w:val="1"/>
                <w:bCs w:val="1"/>
                <w:color w:val="auto"/>
              </w:rPr>
              <w:t>Margin %</w:t>
            </w:r>
          </w:p>
        </w:tc>
        <w:tc>
          <w:tcPr>
            <w:tcW w:w="8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Depreciation</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2,340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2,938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5,971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60" w:type="dxa"/>
            <w:vAlign w:val="bottom"/>
          </w:tcPr>
          <w:p>
            <w:pPr>
              <w:ind w:left="680"/>
              <w:spacing w:after="0" w:line="164" w:lineRule="exact"/>
              <w:rPr>
                <w:sz w:val="20"/>
                <w:szCs w:val="20"/>
                <w:color w:val="auto"/>
              </w:rPr>
            </w:pPr>
            <w:r>
              <w:rPr>
                <w:rFonts w:ascii="Arial" w:cs="Arial" w:eastAsia="Arial" w:hAnsi="Arial"/>
                <w:sz w:val="17"/>
                <w:szCs w:val="17"/>
                <w:color w:val="auto"/>
              </w:rPr>
              <w:t>Amortization of</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ind w:left="220"/>
              <w:spacing w:after="0" w:line="164" w:lineRule="exact"/>
              <w:rPr>
                <w:sz w:val="20"/>
                <w:szCs w:val="20"/>
                <w:color w:val="auto"/>
              </w:rPr>
            </w:pPr>
            <w:r>
              <w:rPr>
                <w:rFonts w:ascii="Arial" w:cs="Arial" w:eastAsia="Arial" w:hAnsi="Arial"/>
                <w:sz w:val="17"/>
                <w:szCs w:val="17"/>
                <w:color w:val="auto"/>
              </w:rPr>
              <w:t>acquired intangible</w:t>
            </w:r>
          </w:p>
        </w:tc>
        <w:tc>
          <w:tcPr>
            <w:tcW w:w="800" w:type="dxa"/>
            <w:vAlign w:val="bottom"/>
          </w:tcPr>
          <w:p>
            <w:pPr>
              <w:spacing w:after="0"/>
              <w:rPr>
                <w:sz w:val="14"/>
                <w:szCs w:val="14"/>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7"/>
                <w:szCs w:val="17"/>
                <w:color w:val="auto"/>
              </w:rPr>
              <w:t>2,175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7"/>
                <w:szCs w:val="17"/>
                <w:color w:val="auto"/>
              </w:rPr>
              <w:t>4,351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60" w:type="dxa"/>
            <w:vAlign w:val="bottom"/>
          </w:tcPr>
          <w:p>
            <w:pPr>
              <w:ind w:left="220"/>
              <w:spacing w:after="0"/>
              <w:rPr>
                <w:sz w:val="20"/>
                <w:szCs w:val="20"/>
                <w:color w:val="auto"/>
              </w:rPr>
            </w:pPr>
            <w:r>
              <w:rPr>
                <w:rFonts w:ascii="Arial" w:cs="Arial" w:eastAsia="Arial" w:hAnsi="Arial"/>
                <w:sz w:val="17"/>
                <w:szCs w:val="17"/>
                <w:color w:val="auto"/>
              </w:rPr>
              <w:t>assets</w:t>
            </w:r>
          </w:p>
        </w:tc>
        <w:tc>
          <w:tcPr>
            <w:tcW w:w="8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60" w:type="dxa"/>
            <w:vAlign w:val="bottom"/>
            <w:shd w:val="clear" w:color="auto" w:fill="CCEEFF"/>
          </w:tcPr>
          <w:p>
            <w:pPr>
              <w:ind w:left="680"/>
              <w:spacing w:after="0" w:line="164" w:lineRule="exact"/>
              <w:rPr>
                <w:sz w:val="20"/>
                <w:szCs w:val="20"/>
                <w:color w:val="auto"/>
              </w:rPr>
            </w:pPr>
            <w:r>
              <w:rPr>
                <w:rFonts w:ascii="Arial" w:cs="Arial" w:eastAsia="Arial" w:hAnsi="Arial"/>
                <w:sz w:val="17"/>
                <w:szCs w:val="17"/>
                <w:color w:val="auto"/>
              </w:rPr>
              <w:t>Stock-based</w:t>
            </w:r>
          </w:p>
        </w:tc>
        <w:tc>
          <w:tcPr>
            <w:tcW w:w="8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(60)</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56"/>
              <w:spacing w:after="0"/>
              <w:rPr>
                <w:sz w:val="20"/>
                <w:szCs w:val="20"/>
                <w:color w:val="auto"/>
              </w:rPr>
            </w:pPr>
            <w:r>
              <w:rPr>
                <w:rFonts w:ascii="Arial" w:cs="Arial" w:eastAsia="Arial" w:hAnsi="Arial"/>
                <w:sz w:val="17"/>
                <w:szCs w:val="17"/>
                <w:color w:val="auto"/>
              </w:rPr>
              <w:t>66</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color w:val="auto"/>
              </w:rPr>
              <w:t>138</w:t>
            </w: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compensation</w:t>
            </w:r>
          </w:p>
        </w:tc>
        <w:tc>
          <w:tcPr>
            <w:tcW w:w="8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960" w:type="dxa"/>
            <w:vAlign w:val="bottom"/>
          </w:tcPr>
          <w:p>
            <w:pPr>
              <w:ind w:left="480"/>
              <w:spacing w:after="0" w:line="144" w:lineRule="exact"/>
              <w:rPr>
                <w:sz w:val="20"/>
                <w:szCs w:val="20"/>
                <w:color w:val="auto"/>
              </w:rPr>
            </w:pPr>
            <w:r>
              <w:rPr>
                <w:rFonts w:ascii="Arial" w:cs="Arial" w:eastAsia="Arial" w:hAnsi="Arial"/>
                <w:sz w:val="16"/>
                <w:szCs w:val="16"/>
                <w:b w:val="1"/>
                <w:bCs w:val="1"/>
                <w:color w:val="auto"/>
              </w:rPr>
              <w:t>Non-GAAP CPaaS</w:t>
            </w:r>
          </w:p>
        </w:tc>
        <w:tc>
          <w:tcPr>
            <w:tcW w:w="80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auto"/>
              </w:rPr>
              <w:t>$</w:t>
            </w:r>
          </w:p>
        </w:tc>
        <w:tc>
          <w:tcPr>
            <w:tcW w:w="1000" w:type="dxa"/>
            <w:vAlign w:val="bottom"/>
            <w:vMerge w:val="restart"/>
          </w:tcPr>
          <w:p>
            <w:pPr>
              <w:jc w:val="right"/>
              <w:ind w:right="196"/>
              <w:spacing w:after="0"/>
              <w:rPr>
                <w:sz w:val="20"/>
                <w:szCs w:val="20"/>
                <w:color w:val="auto"/>
              </w:rPr>
            </w:pPr>
            <w:r>
              <w:rPr>
                <w:rFonts w:ascii="Arial" w:cs="Arial" w:eastAsia="Arial" w:hAnsi="Arial"/>
                <w:sz w:val="17"/>
                <w:szCs w:val="17"/>
                <w:b w:val="1"/>
                <w:bCs w:val="1"/>
                <w:color w:val="auto"/>
              </w:rPr>
              <w:t>32,127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ind w:right="156"/>
              <w:spacing w:after="0"/>
              <w:rPr>
                <w:sz w:val="20"/>
                <w:szCs w:val="20"/>
                <w:color w:val="auto"/>
              </w:rPr>
            </w:pPr>
            <w:r>
              <w:rPr>
                <w:rFonts w:ascii="Arial" w:cs="Arial" w:eastAsia="Arial" w:hAnsi="Arial"/>
                <w:sz w:val="17"/>
                <w:szCs w:val="17"/>
                <w:b w:val="1"/>
                <w:bCs w:val="1"/>
                <w:color w:val="auto"/>
              </w:rPr>
              <w:t>54,124</w:t>
            </w:r>
          </w:p>
        </w:tc>
        <w:tc>
          <w:tcPr>
            <w:tcW w:w="1440" w:type="dxa"/>
            <w:vAlign w:val="bottom"/>
            <w:gridSpan w:val="3"/>
            <w:vMerge w:val="restart"/>
          </w:tcPr>
          <w:p>
            <w:pPr>
              <w:jc w:val="right"/>
              <w:ind w:right="360"/>
              <w:spacing w:after="0"/>
              <w:rPr>
                <w:sz w:val="20"/>
                <w:szCs w:val="20"/>
                <w:color w:val="auto"/>
              </w:rPr>
            </w:pPr>
            <w:r>
              <w:rPr>
                <w:rFonts w:ascii="Arial" w:cs="Arial" w:eastAsia="Arial" w:hAnsi="Arial"/>
                <w:sz w:val="17"/>
                <w:szCs w:val="17"/>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61,865</w:t>
            </w:r>
          </w:p>
        </w:tc>
        <w:tc>
          <w:tcPr>
            <w:tcW w:w="1560" w:type="dxa"/>
            <w:vAlign w:val="bottom"/>
            <w:gridSpan w:val="3"/>
            <w:vMerge w:val="restart"/>
          </w:tcPr>
          <w:p>
            <w:pPr>
              <w:jc w:val="right"/>
              <w:ind w:right="240"/>
              <w:spacing w:after="0"/>
              <w:rPr>
                <w:sz w:val="20"/>
                <w:szCs w:val="20"/>
                <w:color w:val="auto"/>
              </w:rPr>
            </w:pPr>
            <w:r>
              <w:rPr>
                <w:rFonts w:ascii="Arial" w:cs="Arial" w:eastAsia="Arial" w:hAnsi="Arial"/>
                <w:sz w:val="17"/>
                <w:szCs w:val="17"/>
                <w:b w:val="1"/>
                <w:bCs w:val="1"/>
                <w:color w:val="auto"/>
              </w:rPr>
              <w:t>$</w:t>
            </w:r>
          </w:p>
        </w:tc>
        <w:tc>
          <w:tcPr>
            <w:tcW w:w="106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auto"/>
              </w:rPr>
              <w:t>105,870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Gross Profit</w:t>
            </w:r>
          </w:p>
        </w:tc>
        <w:tc>
          <w:tcPr>
            <w:tcW w:w="8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60" w:type="dxa"/>
            <w:vAlign w:val="bottom"/>
            <w:shd w:val="clear" w:color="auto" w:fill="CCEEFF"/>
          </w:tcPr>
          <w:p>
            <w:pPr>
              <w:ind w:left="480"/>
              <w:spacing w:after="0" w:line="129" w:lineRule="exact"/>
              <w:rPr>
                <w:sz w:val="20"/>
                <w:szCs w:val="20"/>
                <w:color w:val="auto"/>
              </w:rPr>
            </w:pPr>
            <w:r>
              <w:rPr>
                <w:rFonts w:ascii="Arial" w:cs="Arial" w:eastAsia="Arial" w:hAnsi="Arial"/>
                <w:sz w:val="14"/>
                <w:szCs w:val="14"/>
                <w:b w:val="1"/>
                <w:bCs w:val="1"/>
                <w:color w:val="auto"/>
              </w:rPr>
              <w:t>Non-GAAP CPaaS</w:t>
            </w:r>
          </w:p>
        </w:tc>
        <w:tc>
          <w:tcPr>
            <w:tcW w:w="8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96"/>
              <w:spacing w:after="0"/>
              <w:rPr>
                <w:sz w:val="20"/>
                <w:szCs w:val="20"/>
                <w:color w:val="auto"/>
              </w:rPr>
            </w:pPr>
            <w:r>
              <w:rPr>
                <w:rFonts w:ascii="Arial" w:cs="Arial" w:eastAsia="Arial" w:hAnsi="Arial"/>
                <w:sz w:val="17"/>
                <w:szCs w:val="17"/>
                <w:b w:val="1"/>
                <w:bCs w:val="1"/>
                <w:color w:val="auto"/>
              </w:rPr>
              <w:t>48</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52</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49</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76"/>
              <w:spacing w:after="0"/>
              <w:rPr>
                <w:sz w:val="20"/>
                <w:szCs w:val="20"/>
                <w:color w:val="auto"/>
              </w:rPr>
            </w:pPr>
            <w:r>
              <w:rPr>
                <w:rFonts w:ascii="Arial" w:cs="Arial" w:eastAsia="Arial" w:hAnsi="Arial"/>
                <w:sz w:val="17"/>
                <w:szCs w:val="17"/>
                <w:b w:val="1"/>
                <w:bCs w:val="1"/>
                <w:color w:val="auto"/>
              </w:rPr>
              <w:t>52</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Margin %</w:t>
            </w:r>
          </w:p>
        </w:tc>
        <w:tc>
          <w:tcPr>
            <w:tcW w:w="8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are no Non-GAAP adjustments to gross profit for the Other segment</w:t>
      </w:r>
      <w:r>
        <w:rPr>
          <w:rFonts w:ascii="Arial" w:cs="Arial" w:eastAsia="Arial" w:hAnsi="Arial"/>
          <w:sz w:val="18"/>
          <w:szCs w:val="18"/>
          <w:b w:val="1"/>
          <w:bCs w:val="1"/>
          <w:color w:val="auto"/>
        </w:rPr>
        <w: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Non-GAAP Net Income</w:t>
      </w:r>
    </w:p>
    <w:p>
      <w:pPr>
        <w:spacing w:after="0" w:line="159" w:lineRule="exact"/>
        <w:rPr>
          <w:sz w:val="20"/>
          <w:szCs w:val="20"/>
          <w:color w:val="auto"/>
        </w:rPr>
      </w:pPr>
    </w:p>
    <w:p>
      <w:pPr>
        <w:ind w:firstLine="605"/>
        <w:spacing w:after="0" w:line="280" w:lineRule="auto"/>
        <w:rPr>
          <w:sz w:val="20"/>
          <w:szCs w:val="20"/>
          <w:color w:val="auto"/>
        </w:rPr>
      </w:pPr>
      <w:r>
        <w:rPr>
          <w:rFonts w:ascii="Arial" w:cs="Arial" w:eastAsia="Arial" w:hAnsi="Arial"/>
          <w:sz w:val="18"/>
          <w:szCs w:val="18"/>
          <w:color w:val="auto"/>
        </w:rPr>
        <w:t>We define Non-GAAP net income as net income or loss adjusted for certain items affecting period-to-period comparability. Non-GAAP net income excludes:</w:t>
      </w:r>
    </w:p>
    <w:p>
      <w:pPr>
        <w:spacing w:after="0" w:line="97" w:lineRule="exact"/>
        <w:rPr>
          <w:sz w:val="20"/>
          <w:szCs w:val="20"/>
          <w:color w:val="auto"/>
        </w:rPr>
      </w:pPr>
    </w:p>
    <w:p>
      <w:pPr>
        <w:ind w:left="620" w:hanging="28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acquired intangible assets related to acquisitions;</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debt discount and issuance costs for convertible debt;</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related expenses;</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charges of intangibles assets</w:t>
      </w:r>
      <w:r>
        <w:rPr>
          <w:rFonts w:ascii="Arial" w:cs="Arial" w:eastAsia="Arial" w:hAnsi="Arial"/>
          <w:sz w:val="18"/>
          <w:szCs w:val="18"/>
          <w:color w:val="231F20"/>
        </w:rPr>
        <w:t>, if any</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(gain) on disposal of property and equipment;</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 tax impact of above adjustments;</w:t>
      </w:r>
    </w:p>
    <w:p>
      <w:pPr>
        <w:spacing w:after="0" w:line="158" w:lineRule="exact"/>
        <w:rPr>
          <w:rFonts w:ascii="Arial" w:cs="Arial" w:eastAsia="Arial" w:hAnsi="Arial"/>
          <w:sz w:val="18"/>
          <w:szCs w:val="18"/>
          <w:color w:val="auto"/>
        </w:rPr>
      </w:pPr>
    </w:p>
    <w:p>
      <w:pPr>
        <w:ind w:left="640" w:right="920" w:hanging="303"/>
        <w:spacing w:after="0" w:line="280" w:lineRule="auto"/>
        <w:tabs>
          <w:tab w:leader="none" w:pos="6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benefit resulting from excess tax benefits associated with the exercise of stock options, vesting of restricted stock units and equity compensation; and</w:t>
      </w:r>
    </w:p>
    <w:p>
      <w:pPr>
        <w:spacing w:after="0" w:line="97" w:lineRule="exact"/>
        <w:rPr>
          <w:rFonts w:ascii="Arial" w:cs="Arial" w:eastAsia="Arial" w:hAnsi="Arial"/>
          <w:sz w:val="18"/>
          <w:szCs w:val="18"/>
          <w:color w:val="auto"/>
        </w:rPr>
      </w:pPr>
    </w:p>
    <w:p>
      <w:pPr>
        <w:ind w:left="620" w:hanging="28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 resulting from recording the valuation allowance on our deferred tax assets.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85090</wp:posOffset>
            </wp:positionV>
            <wp:extent cx="716661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42" w:name="page43"/>
    <w:bookmarkEnd w:id="4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We calculate Non-GAAP basic and diluted shares by adding the weighted average of outstanding Series A redeemable convertible preferred stock, if any, to the weighted average number of outstanding basic and diluted shares, respectively. The tax-effect of Non-GAAP adjustments is determined using a blended rate of statutory tax rates in the jurisdictions where the Company has tax filings. When the Company has a valuation allowance recorded and no tax benefits will be recognized, the rate is considered to be zero.</w:t>
      </w:r>
    </w:p>
    <w:p>
      <w:pPr>
        <w:spacing w:after="0" w:line="115"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 June 30,</w:t>
            </w:r>
          </w:p>
        </w:tc>
        <w:tc>
          <w:tcPr>
            <w:tcW w:w="520" w:type="dxa"/>
            <w:vAlign w:val="bottom"/>
          </w:tcPr>
          <w:p>
            <w:pPr>
              <w:spacing w:after="0"/>
              <w:rPr>
                <w:sz w:val="18"/>
                <w:szCs w:val="18"/>
                <w:color w:val="auto"/>
              </w:rPr>
            </w:pPr>
          </w:p>
        </w:tc>
        <w:tc>
          <w:tcPr>
            <w:tcW w:w="2620" w:type="dxa"/>
            <w:vAlign w:val="bottom"/>
            <w:gridSpan w:val="4"/>
          </w:tcPr>
          <w:p>
            <w:pPr>
              <w:jc w:val="right"/>
              <w:ind w:right="536"/>
              <w:spacing w:after="0"/>
              <w:rPr>
                <w:sz w:val="20"/>
                <w:szCs w:val="20"/>
                <w:color w:val="auto"/>
              </w:rPr>
            </w:pPr>
            <w:r>
              <w:rPr>
                <w:rFonts w:ascii="Arial" w:cs="Arial" w:eastAsia="Arial" w:hAnsi="Arial"/>
                <w:sz w:val="17"/>
                <w:szCs w:val="17"/>
                <w:b w:val="1"/>
                <w:bCs w:val="1"/>
                <w:color w:val="auto"/>
                <w:w w:val="90"/>
              </w:rPr>
              <w:t>Six months ended June 30,</w:t>
            </w:r>
          </w:p>
        </w:tc>
        <w:tc>
          <w:tcPr>
            <w:tcW w:w="0" w:type="dxa"/>
            <w:vAlign w:val="bottom"/>
          </w:tcPr>
          <w:p>
            <w:pPr>
              <w:spacing w:after="0"/>
              <w:rPr>
                <w:sz w:val="1"/>
                <w:szCs w:val="1"/>
                <w:color w:val="auto"/>
              </w:rPr>
            </w:pPr>
          </w:p>
        </w:tc>
      </w:tr>
      <w:tr>
        <w:trPr>
          <w:trHeight w:val="207"/>
        </w:trPr>
        <w:tc>
          <w:tcPr>
            <w:tcW w:w="48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(12,244)</w:t>
            </w:r>
          </w:p>
        </w:tc>
        <w:tc>
          <w:tcPr>
            <w:tcW w:w="0" w:type="dxa"/>
            <w:vAlign w:val="bottom"/>
          </w:tcPr>
          <w:p>
            <w:pPr>
              <w:spacing w:after="0"/>
              <w:rPr>
                <w:sz w:val="1"/>
                <w:szCs w:val="1"/>
                <w:color w:val="auto"/>
              </w:rPr>
            </w:pP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7,767</w:t>
            </w: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acquired intangibles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9,731</w:t>
            </w:r>
          </w:p>
        </w:tc>
        <w:tc>
          <w:tcPr>
            <w:tcW w:w="0" w:type="dxa"/>
            <w:vAlign w:val="bottom"/>
          </w:tcPr>
          <w:p>
            <w:pPr>
              <w:spacing w:after="0"/>
              <w:rPr>
                <w:sz w:val="1"/>
                <w:szCs w:val="1"/>
                <w:color w:val="auto"/>
              </w:rPr>
            </w:pPr>
          </w:p>
        </w:tc>
      </w:tr>
      <w:tr>
        <w:trPr>
          <w:trHeight w:val="164"/>
        </w:trPr>
        <w:tc>
          <w:tcPr>
            <w:tcW w:w="4840" w:type="dxa"/>
            <w:vAlign w:val="bottom"/>
          </w:tcPr>
          <w:p>
            <w:pPr>
              <w:ind w:left="220"/>
              <w:spacing w:after="0" w:line="164" w:lineRule="exact"/>
              <w:rPr>
                <w:sz w:val="20"/>
                <w:szCs w:val="20"/>
                <w:color w:val="auto"/>
              </w:rPr>
            </w:pPr>
            <w:r>
              <w:rPr>
                <w:rFonts w:ascii="Arial" w:cs="Arial" w:eastAsia="Arial" w:hAnsi="Arial"/>
                <w:sz w:val="17"/>
                <w:szCs w:val="17"/>
                <w:color w:val="auto"/>
                <w:w w:val="95"/>
              </w:rPr>
              <w:t>Amortization of debt discount and issuance costs for convertible</w:t>
            </w:r>
          </w:p>
        </w:tc>
        <w:tc>
          <w:tcPr>
            <w:tcW w:w="3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4,542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7,058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6,277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12,225</w:t>
            </w:r>
          </w:p>
        </w:tc>
        <w:tc>
          <w:tcPr>
            <w:tcW w:w="0" w:type="dxa"/>
            <w:vAlign w:val="bottom"/>
          </w:tcPr>
          <w:p>
            <w:pPr>
              <w:spacing w:after="0"/>
              <w:rPr>
                <w:sz w:val="1"/>
                <w:szCs w:val="1"/>
                <w:color w:val="auto"/>
              </w:rPr>
            </w:pP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debt</w:t>
            </w:r>
          </w:p>
        </w:tc>
        <w:tc>
          <w:tcPr>
            <w:tcW w:w="3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disposal of property and equipment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Estimated tax effects of adjustments (1)</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(1,154)</w:t>
            </w: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Valuation allowance (2)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Income tax benefit of equity compensation</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Non-GAAP net income</w:t>
            </w: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16,876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 per share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18"/>
                <w:szCs w:val="18"/>
                <w:color w:val="auto"/>
              </w:rPr>
            </w:pPr>
          </w:p>
        </w:tc>
        <w:tc>
          <w:tcPr>
            <w:tcW w:w="520" w:type="dxa"/>
            <w:vAlign w:val="bottom"/>
          </w:tcPr>
          <w:p>
            <w:pPr>
              <w:jc w:val="right"/>
              <w:ind w:right="33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(0.91)</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(0.49)</w:t>
            </w: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0" w:type="dxa"/>
            <w:vAlign w:val="bottom"/>
          </w:tcPr>
          <w:p>
            <w:pPr>
              <w:spacing w:after="0"/>
              <w:rPr>
                <w:sz w:val="1"/>
                <w:szCs w:val="1"/>
                <w:color w:val="auto"/>
              </w:rPr>
            </w:pPr>
          </w:p>
        </w:tc>
      </w:tr>
      <w:tr>
        <w:trPr>
          <w:trHeight w:val="252"/>
        </w:trPr>
        <w:tc>
          <w:tcPr>
            <w:tcW w:w="4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Non-GAAP net income per Non-GAAP share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Pr>
          <w:p>
            <w:pPr>
              <w:spacing w:after="0"/>
              <w:rPr>
                <w:sz w:val="18"/>
                <w:szCs w:val="18"/>
                <w:color w:val="auto"/>
              </w:rPr>
            </w:pPr>
          </w:p>
        </w:tc>
        <w:tc>
          <w:tcPr>
            <w:tcW w:w="520" w:type="dxa"/>
            <w:vAlign w:val="bottom"/>
          </w:tcPr>
          <w:p>
            <w:pPr>
              <w:jc w:val="right"/>
              <w:ind w:right="33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0.67</w:t>
            </w: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0" w:type="dxa"/>
            <w:vAlign w:val="bottom"/>
          </w:tcPr>
          <w:p>
            <w:pPr>
              <w:spacing w:after="0"/>
              <w:rPr>
                <w:sz w:val="1"/>
                <w:szCs w:val="1"/>
                <w:color w:val="auto"/>
              </w:rPr>
            </w:pPr>
          </w:p>
        </w:tc>
      </w:tr>
      <w:tr>
        <w:trPr>
          <w:trHeight w:val="252"/>
        </w:trPr>
        <w:tc>
          <w:tcPr>
            <w:tcW w:w="4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Non-GAAP weighted average number of shares outstanding</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40" w:type="dxa"/>
            <w:vAlign w:val="bottom"/>
          </w:tcPr>
          <w:p>
            <w:pPr>
              <w:ind w:left="20"/>
              <w:spacing w:after="0" w:line="182" w:lineRule="exact"/>
              <w:rPr>
                <w:sz w:val="20"/>
                <w:szCs w:val="20"/>
                <w:color w:val="auto"/>
              </w:rPr>
            </w:pPr>
            <w:r>
              <w:rPr>
                <w:rFonts w:ascii="Arial" w:cs="Arial" w:eastAsia="Arial" w:hAnsi="Arial"/>
                <w:sz w:val="17"/>
                <w:szCs w:val="17"/>
                <w:b w:val="1"/>
                <w:bCs w:val="1"/>
                <w:color w:val="auto"/>
              </w:rPr>
              <w:t>Non-GAAP basic shares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rPr>
              <w:t>23,973,663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rPr>
              <w:t>25,096,026</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rPr>
              <w:t>23,768,616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rPr>
              <w:t>25,056,208</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debt conversion</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1,206,493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1,509,313</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Arial" w:cs="Arial" w:eastAsia="Arial" w:hAnsi="Arial"/>
                <w:sz w:val="17"/>
                <w:szCs w:val="17"/>
                <w:color w:val="auto"/>
              </w:rPr>
              <w:t>Stock options issued and outstanding</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444,739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178,079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616,929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193,191</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RSUs outstanding</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288,964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173,769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278,746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225,338</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Non-GAAP diluted shares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24,707,366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26,654,367</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24,664,291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26,984,050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w:t>
      </w:r>
    </w:p>
    <w:p>
      <w:pPr>
        <w:spacing w:after="0" w:line="24" w:lineRule="exact"/>
        <w:rPr>
          <w:sz w:val="20"/>
          <w:szCs w:val="20"/>
          <w:color w:val="auto"/>
        </w:rPr>
      </w:pPr>
    </w:p>
    <w:p>
      <w:pPr>
        <w:jc w:val="both"/>
        <w:ind w:firstLine="606"/>
        <w:spacing w:after="0" w:line="261" w:lineRule="auto"/>
        <w:tabs>
          <w:tab w:leader="none" w:pos="838"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The Non-GAAP tax-effect is determined using a blended rate of statutory tax rates in the jurisdictions where the Company has tax filings. When the Company has a valuation allowance recorded and no tax benefits will be recognized, the rate in that jurisdiction is considered to be zero. The rate was 0.0% and 3.8% </w:t>
      </w:r>
      <w:r>
        <w:rPr>
          <w:rFonts w:ascii="Arial" w:cs="Arial" w:eastAsia="Arial" w:hAnsi="Arial"/>
          <w:sz w:val="16"/>
          <w:szCs w:val="16"/>
          <w:color w:val="auto"/>
        </w:rPr>
        <w:t>for the six months ended June</w:t>
      </w:r>
      <w:r>
        <w:rPr>
          <w:rFonts w:ascii="Arial" w:cs="Arial" w:eastAsia="Arial" w:hAnsi="Arial"/>
          <w:sz w:val="15"/>
          <w:szCs w:val="15"/>
          <w:color w:val="auto"/>
        </w:rPr>
        <w:t xml:space="preserve"> </w:t>
      </w:r>
      <w:r>
        <w:rPr>
          <w:rFonts w:ascii="Arial" w:cs="Arial" w:eastAsia="Arial" w:hAnsi="Arial"/>
          <w:sz w:val="16"/>
          <w:szCs w:val="16"/>
          <w:color w:val="auto"/>
        </w:rPr>
        <w:t>30, 2020 and 2021</w:t>
      </w:r>
      <w:r>
        <w:rPr>
          <w:rFonts w:ascii="Arial" w:cs="Arial" w:eastAsia="Arial" w:hAnsi="Arial"/>
          <w:sz w:val="15"/>
          <w:szCs w:val="15"/>
          <w:color w:val="auto"/>
        </w:rPr>
        <w:t>, respectively.</w:t>
      </w:r>
    </w:p>
    <w:p>
      <w:pPr>
        <w:spacing w:after="0" w:line="2" w:lineRule="exact"/>
        <w:rPr>
          <w:rFonts w:ascii="Arial" w:cs="Arial" w:eastAsia="Arial" w:hAnsi="Arial"/>
          <w:sz w:val="15"/>
          <w:szCs w:val="15"/>
          <w:color w:val="auto"/>
        </w:rPr>
      </w:pPr>
    </w:p>
    <w:p>
      <w:pPr>
        <w:ind w:firstLine="606"/>
        <w:spacing w:after="0" w:line="255" w:lineRule="auto"/>
        <w:tabs>
          <w:tab w:leader="none" w:pos="8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recognized a tax expense of $14,173 to record a valuation allowance on U.S. deferred tax assets in the three and six months ended June 30, 2020 and $154 and $215 in the three and six months ended June 30, 2021,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59" w:lineRule="exact"/>
        <w:rPr>
          <w:sz w:val="20"/>
          <w:szCs w:val="20"/>
          <w:color w:val="auto"/>
        </w:rPr>
      </w:pPr>
    </w:p>
    <w:p>
      <w:pPr>
        <w:ind w:firstLine="605"/>
        <w:spacing w:after="0" w:line="280" w:lineRule="auto"/>
        <w:rPr>
          <w:sz w:val="20"/>
          <w:szCs w:val="20"/>
          <w:color w:val="auto"/>
        </w:rPr>
      </w:pPr>
      <w:r>
        <w:rPr>
          <w:rFonts w:ascii="Arial" w:cs="Arial" w:eastAsia="Arial" w:hAnsi="Arial"/>
          <w:sz w:val="18"/>
          <w:szCs w:val="18"/>
          <w:color w:val="231F20"/>
        </w:rPr>
        <w:t>We define Adjusted EBITDA as net income or losses from continuing operations, adjusted to reflect the addition or elimination of certain income statement items including, but not limited to:</w:t>
      </w:r>
    </w:p>
    <w:p>
      <w:pPr>
        <w:spacing w:after="0" w:line="97" w:lineRule="exact"/>
        <w:rPr>
          <w:sz w:val="20"/>
          <w:szCs w:val="20"/>
          <w:color w:val="auto"/>
        </w:rPr>
      </w:pPr>
    </w:p>
    <w:p>
      <w:pPr>
        <w:ind w:left="620" w:hanging="283"/>
        <w:spacing w:after="0"/>
        <w:tabs>
          <w:tab w:leader="none" w:pos="6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income tax provision (benefit);</w:t>
      </w:r>
    </w:p>
    <w:p>
      <w:pPr>
        <w:spacing w:after="0" w:line="158" w:lineRule="exact"/>
        <w:rPr>
          <w:rFonts w:ascii="Arial" w:cs="Arial" w:eastAsia="Arial" w:hAnsi="Arial"/>
          <w:sz w:val="18"/>
          <w:szCs w:val="18"/>
          <w:color w:val="231F20"/>
        </w:rPr>
      </w:pPr>
    </w:p>
    <w:p>
      <w:pPr>
        <w:ind w:left="620" w:hanging="28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interest (income) expense, net;</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depreciation and amortization expense;</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acquisition related expenses;</w:t>
      </w:r>
    </w:p>
    <w:p>
      <w:pPr>
        <w:spacing w:after="0" w:line="158" w:lineRule="exact"/>
        <w:rPr>
          <w:rFonts w:ascii="Arial" w:cs="Arial" w:eastAsia="Arial" w:hAnsi="Arial"/>
          <w:sz w:val="18"/>
          <w:szCs w:val="18"/>
          <w:color w:val="231F20"/>
        </w:rPr>
      </w:pPr>
    </w:p>
    <w:p>
      <w:pPr>
        <w:ind w:left="620" w:hanging="28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stock-based compensation expense;</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impairment of intangible assets, if any; and</w:t>
      </w:r>
    </w:p>
    <w:p>
      <w:pPr>
        <w:spacing w:after="0" w:line="158" w:lineRule="exact"/>
        <w:rPr>
          <w:rFonts w:ascii="Arial" w:cs="Arial" w:eastAsia="Arial" w:hAnsi="Arial"/>
          <w:sz w:val="18"/>
          <w:szCs w:val="18"/>
          <w:color w:val="auto"/>
        </w:rPr>
      </w:pPr>
    </w:p>
    <w:p>
      <w:pPr>
        <w:ind w:left="620" w:hanging="28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loss (gain) on disposal of property and equipment, if any.</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Adjusted EBITDA is a key measure u</w:t>
      </w:r>
      <w:r>
        <w:rPr>
          <w:rFonts w:ascii="Arial" w:cs="Arial" w:eastAsia="Arial" w:hAnsi="Arial"/>
          <w:sz w:val="18"/>
          <w:szCs w:val="18"/>
          <w:color w:val="000000"/>
        </w:rPr>
        <w:t>sed by management to understand and evaluate our core operating performance and trends, to generate</w:t>
      </w:r>
      <w:r>
        <w:rPr>
          <w:rFonts w:ascii="Arial" w:cs="Arial" w:eastAsia="Arial" w:hAnsi="Arial"/>
          <w:sz w:val="18"/>
          <w:szCs w:val="18"/>
          <w:color w:val="231F20"/>
        </w:rPr>
        <w:t xml:space="preserve"> </w:t>
      </w:r>
      <w:r>
        <w:rPr>
          <w:rFonts w:ascii="Arial" w:cs="Arial" w:eastAsia="Arial" w:hAnsi="Arial"/>
          <w:sz w:val="18"/>
          <w:szCs w:val="18"/>
          <w:color w:val="000000"/>
        </w:rPr>
        <w:t>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 June 30,</w:t>
            </w:r>
          </w:p>
        </w:tc>
        <w:tc>
          <w:tcPr>
            <w:tcW w:w="520" w:type="dxa"/>
            <w:vAlign w:val="bottom"/>
          </w:tcPr>
          <w:p>
            <w:pPr>
              <w:spacing w:after="0"/>
              <w:rPr>
                <w:sz w:val="18"/>
                <w:szCs w:val="18"/>
                <w:color w:val="auto"/>
              </w:rPr>
            </w:pPr>
          </w:p>
        </w:tc>
        <w:tc>
          <w:tcPr>
            <w:tcW w:w="2620" w:type="dxa"/>
            <w:vAlign w:val="bottom"/>
            <w:gridSpan w:val="4"/>
          </w:tcPr>
          <w:p>
            <w:pPr>
              <w:jc w:val="right"/>
              <w:ind w:right="536"/>
              <w:spacing w:after="0"/>
              <w:rPr>
                <w:sz w:val="20"/>
                <w:szCs w:val="20"/>
                <w:color w:val="auto"/>
              </w:rPr>
            </w:pPr>
            <w:r>
              <w:rPr>
                <w:rFonts w:ascii="Arial" w:cs="Arial" w:eastAsia="Arial" w:hAnsi="Arial"/>
                <w:sz w:val="17"/>
                <w:szCs w:val="17"/>
                <w:b w:val="1"/>
                <w:bCs w:val="1"/>
                <w:color w:val="auto"/>
                <w:w w:val="90"/>
              </w:rPr>
              <w:t>Six months ended June 30,</w:t>
            </w:r>
          </w:p>
        </w:tc>
      </w:tr>
      <w:tr>
        <w:trPr>
          <w:trHeight w:val="207"/>
        </w:trPr>
        <w:tc>
          <w:tcPr>
            <w:tcW w:w="48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r>
      <w:tr>
        <w:trPr>
          <w:trHeight w:val="245"/>
        </w:trPr>
        <w:tc>
          <w:tcPr>
            <w:tcW w:w="4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(12,244)</w:t>
            </w: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Income tax benefit (1) (2)</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13,109</w:t>
            </w: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8,514</w:t>
            </w: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9,731</w:t>
            </w:r>
          </w:p>
        </w:tc>
      </w:tr>
      <w:tr>
        <w:trPr>
          <w:trHeight w:val="214"/>
        </w:trPr>
        <w:tc>
          <w:tcPr>
            <w:tcW w:w="484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7,767</w:t>
            </w:r>
          </w:p>
        </w:tc>
      </w:tr>
      <w:tr>
        <w:trPr>
          <w:trHeight w:val="215"/>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disposal of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07"/>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Adjusted EBITDA</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13,757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8,621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27,153</w:t>
            </w:r>
          </w:p>
        </w:tc>
      </w:tr>
      <w:tr>
        <w:trPr>
          <w:trHeight w:val="20"/>
        </w:trPr>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w:t>
      </w:r>
    </w:p>
    <w:p>
      <w:pPr>
        <w:spacing w:after="0" w:line="24" w:lineRule="exact"/>
        <w:rPr>
          <w:sz w:val="20"/>
          <w:szCs w:val="20"/>
          <w:color w:val="auto"/>
        </w:rPr>
      </w:pPr>
    </w:p>
    <w:p>
      <w:pPr>
        <w:ind w:firstLine="455"/>
        <w:spacing w:after="0" w:line="252" w:lineRule="auto"/>
        <w:tabs>
          <w:tab w:leader="none" w:pos="6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excess tax benefits associated with the exercise of stock options and vesting of restricted stock units of $(1,292) and $0 for the three and six months ended June 30, 2020, respectively, and $0 for the three and six months ended June 30, 2021.</w:t>
      </w:r>
    </w:p>
    <w:p>
      <w:pPr>
        <w:spacing w:after="0" w:line="29" w:lineRule="exact"/>
        <w:rPr>
          <w:rFonts w:ascii="Arial" w:cs="Arial" w:eastAsia="Arial" w:hAnsi="Arial"/>
          <w:sz w:val="17"/>
          <w:szCs w:val="17"/>
          <w:color w:val="auto"/>
        </w:rPr>
      </w:pPr>
    </w:p>
    <w:p>
      <w:pPr>
        <w:ind w:firstLine="455"/>
        <w:spacing w:after="0" w:line="270" w:lineRule="auto"/>
        <w:tabs>
          <w:tab w:leader="none" w:pos="6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Includes $14,173 of tax expense to record a valuation allowance on U.S. deferred tax assets for the three and six months ended June 30, 2020 and $154 and $215 for the three and six months ended June 30, 2021, </w:t>
      </w:r>
      <w:r>
        <w:rPr>
          <w:rFonts w:ascii="Arial" w:cs="Arial" w:eastAsia="Arial" w:hAnsi="Arial"/>
          <w:sz w:val="15"/>
          <w:szCs w:val="15"/>
          <w:color w:val="auto"/>
        </w:rPr>
        <w:t>respectively</w:t>
      </w:r>
      <w:r>
        <w:rPr>
          <w:rFonts w:ascii="Arial" w:cs="Arial" w:eastAsia="Arial" w:hAnsi="Arial"/>
          <w:sz w:val="17"/>
          <w:szCs w:val="17"/>
          <w:color w:val="auto"/>
        </w:rPr>
        <w: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159"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7"/>
          <w:szCs w:val="17"/>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tcPr>
          <w:p>
            <w:pPr>
              <w:spacing w:after="0"/>
              <w:rPr>
                <w:sz w:val="18"/>
                <w:szCs w:val="18"/>
                <w:color w:val="auto"/>
              </w:rPr>
            </w:pPr>
          </w:p>
        </w:tc>
        <w:tc>
          <w:tcPr>
            <w:tcW w:w="3260" w:type="dxa"/>
            <w:vAlign w:val="bottom"/>
            <w:gridSpan w:val="6"/>
          </w:tcPr>
          <w:p>
            <w:pPr>
              <w:ind w:left="520"/>
              <w:spacing w:after="0"/>
              <w:rPr>
                <w:sz w:val="20"/>
                <w:szCs w:val="20"/>
                <w:color w:val="auto"/>
              </w:rPr>
            </w:pPr>
            <w:r>
              <w:rPr>
                <w:rFonts w:ascii="Arial" w:cs="Arial" w:eastAsia="Arial" w:hAnsi="Arial"/>
                <w:sz w:val="17"/>
                <w:szCs w:val="17"/>
                <w:b w:val="1"/>
                <w:bCs w:val="1"/>
                <w:color w:val="auto"/>
              </w:rPr>
              <w:t>Three months ended June 30,</w:t>
            </w:r>
          </w:p>
        </w:tc>
        <w:tc>
          <w:tcPr>
            <w:tcW w:w="520" w:type="dxa"/>
            <w:vAlign w:val="bottom"/>
          </w:tcPr>
          <w:p>
            <w:pPr>
              <w:spacing w:after="0"/>
              <w:rPr>
                <w:sz w:val="18"/>
                <w:szCs w:val="18"/>
                <w:color w:val="auto"/>
              </w:rPr>
            </w:pPr>
          </w:p>
        </w:tc>
        <w:tc>
          <w:tcPr>
            <w:tcW w:w="2620" w:type="dxa"/>
            <w:vAlign w:val="bottom"/>
            <w:gridSpan w:val="4"/>
          </w:tcPr>
          <w:p>
            <w:pPr>
              <w:jc w:val="right"/>
              <w:ind w:right="536"/>
              <w:spacing w:after="0"/>
              <w:rPr>
                <w:sz w:val="20"/>
                <w:szCs w:val="20"/>
                <w:color w:val="auto"/>
              </w:rPr>
            </w:pPr>
            <w:r>
              <w:rPr>
                <w:rFonts w:ascii="Arial" w:cs="Arial" w:eastAsia="Arial" w:hAnsi="Arial"/>
                <w:sz w:val="17"/>
                <w:szCs w:val="17"/>
                <w:b w:val="1"/>
                <w:bCs w:val="1"/>
                <w:color w:val="auto"/>
                <w:w w:val="90"/>
              </w:rPr>
              <w:t>Six months ended June 30,</w:t>
            </w:r>
          </w:p>
        </w:tc>
      </w:tr>
      <w:tr>
        <w:trPr>
          <w:trHeight w:val="207"/>
        </w:trPr>
        <w:tc>
          <w:tcPr>
            <w:tcW w:w="48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r>
      <w:tr>
        <w:trPr>
          <w:trHeight w:val="245"/>
        </w:trPr>
        <w:tc>
          <w:tcPr>
            <w:tcW w:w="4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7,291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8,845</w:t>
            </w:r>
          </w:p>
        </w:tc>
      </w:tr>
      <w:tr>
        <w:trPr>
          <w:trHeight w:val="214"/>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in capital assets (1) (2)</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(4,620)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(17,778)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(25,662)</w:t>
            </w:r>
          </w:p>
        </w:tc>
      </w:tr>
      <w:tr>
        <w:trPr>
          <w:trHeight w:val="23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Free cash flow</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2,671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(18,942)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(16,817)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w:t>
      </w:r>
    </w:p>
    <w:p>
      <w:pPr>
        <w:spacing w:after="0" w:line="24" w:lineRule="exact"/>
        <w:rPr>
          <w:sz w:val="20"/>
          <w:szCs w:val="20"/>
          <w:color w:val="auto"/>
        </w:rPr>
      </w:pPr>
    </w:p>
    <w:p>
      <w:pPr>
        <w:ind w:left="700" w:hanging="245"/>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acquisition cost of property, equipment and capitalized development costs for software for internal use.</w:t>
      </w:r>
    </w:p>
    <w:p>
      <w:pPr>
        <w:spacing w:after="0" w:line="4" w:lineRule="exact"/>
        <w:rPr>
          <w:rFonts w:ascii="Arial" w:cs="Arial" w:eastAsia="Arial" w:hAnsi="Arial"/>
          <w:sz w:val="17"/>
          <w:szCs w:val="17"/>
          <w:color w:val="auto"/>
        </w:rPr>
      </w:pPr>
    </w:p>
    <w:p>
      <w:pPr>
        <w:ind w:firstLine="455"/>
        <w:spacing w:after="0" w:line="255" w:lineRule="auto"/>
        <w:tabs>
          <w:tab w:leader="none" w:pos="713"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the net cash used from the purchase of land of $(30,017) offset by the proceeds from sale of land of $17,462 from investing activities of the statement of cash flows for the six months ended June 30,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31F20"/>
        </w:rPr>
        <w:t>Consolidated Results of Operations</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table sets forth the consolidated statements of operations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0" w:type="dxa"/>
            <w:vAlign w:val="bottom"/>
            <w:gridSpan w:val="5"/>
          </w:tcPr>
          <w:p>
            <w:pPr>
              <w:ind w:left="440"/>
              <w:spacing w:after="0"/>
              <w:rPr>
                <w:sz w:val="20"/>
                <w:szCs w:val="20"/>
                <w:color w:val="auto"/>
              </w:rPr>
            </w:pPr>
            <w:r>
              <w:rPr>
                <w:rFonts w:ascii="Arial" w:cs="Arial" w:eastAsia="Arial" w:hAnsi="Arial"/>
                <w:sz w:val="17"/>
                <w:szCs w:val="17"/>
                <w:b w:val="1"/>
                <w:bCs w:val="1"/>
                <w:color w:val="auto"/>
              </w:rPr>
              <w:t>Three months ended June 30,</w:t>
            </w:r>
          </w:p>
        </w:tc>
        <w:tc>
          <w:tcPr>
            <w:tcW w:w="980" w:type="dxa"/>
            <w:vAlign w:val="bottom"/>
          </w:tcPr>
          <w:p>
            <w:pPr>
              <w:spacing w:after="0"/>
              <w:rPr>
                <w:sz w:val="18"/>
                <w:szCs w:val="18"/>
                <w:color w:val="auto"/>
              </w:rPr>
            </w:pPr>
          </w:p>
        </w:tc>
        <w:tc>
          <w:tcPr>
            <w:tcW w:w="3300" w:type="dxa"/>
            <w:vAlign w:val="bottom"/>
            <w:gridSpan w:val="4"/>
          </w:tcPr>
          <w:p>
            <w:pPr>
              <w:jc w:val="right"/>
              <w:ind w:right="796"/>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45"/>
        </w:trPr>
        <w:tc>
          <w:tcPr>
            <w:tcW w:w="2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20" w:type="dxa"/>
            <w:vAlign w:val="bottom"/>
            <w:gridSpan w:val="3"/>
          </w:tcPr>
          <w:p>
            <w:pPr>
              <w:jc w:val="right"/>
              <w:ind w:right="116"/>
              <w:spacing w:after="0"/>
              <w:rPr>
                <w:sz w:val="20"/>
                <w:szCs w:val="20"/>
                <w:color w:val="auto"/>
              </w:rPr>
            </w:pPr>
            <w:r>
              <w:rPr>
                <w:rFonts w:ascii="Arial" w:cs="Arial" w:eastAsia="Arial" w:hAnsi="Arial"/>
                <w:sz w:val="17"/>
                <w:szCs w:val="17"/>
                <w:b w:val="1"/>
                <w:bCs w:val="1"/>
                <w:color w:val="auto"/>
              </w:rPr>
              <w:t>(In thousands)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Revenue:</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ind w:left="820"/>
              <w:spacing w:after="0"/>
              <w:rPr>
                <w:sz w:val="20"/>
                <w:szCs w:val="20"/>
                <w:color w:val="auto"/>
              </w:rPr>
            </w:pPr>
            <w:r>
              <w:rPr>
                <w:rFonts w:ascii="Arial" w:cs="Arial" w:eastAsia="Arial" w:hAnsi="Arial"/>
                <w:sz w:val="17"/>
                <w:szCs w:val="17"/>
                <w:color w:val="auto"/>
              </w:rPr>
              <w:t>CPaaS revenue</w:t>
            </w:r>
          </w:p>
        </w:tc>
        <w:tc>
          <w:tcPr>
            <w:tcW w:w="9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67,076</w:t>
            </w:r>
          </w:p>
        </w:tc>
        <w:tc>
          <w:tcPr>
            <w:tcW w:w="80" w:type="dxa"/>
            <w:vAlign w:val="bottom"/>
          </w:tcPr>
          <w:p>
            <w:pPr>
              <w:spacing w:after="0"/>
              <w:rPr>
                <w:sz w:val="18"/>
                <w:szCs w:val="18"/>
                <w:color w:val="auto"/>
              </w:rPr>
            </w:pPr>
          </w:p>
        </w:tc>
        <w:tc>
          <w:tcPr>
            <w:tcW w:w="9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105,039</w:t>
            </w:r>
          </w:p>
        </w:tc>
        <w:tc>
          <w:tcPr>
            <w:tcW w:w="100" w:type="dxa"/>
            <w:vAlign w:val="bottom"/>
          </w:tcPr>
          <w:p>
            <w:pPr>
              <w:spacing w:after="0"/>
              <w:rPr>
                <w:sz w:val="18"/>
                <w:szCs w:val="18"/>
                <w:color w:val="auto"/>
              </w:rPr>
            </w:pPr>
          </w:p>
        </w:tc>
        <w:tc>
          <w:tcPr>
            <w:tcW w:w="98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126,197</w:t>
            </w:r>
          </w:p>
        </w:tc>
        <w:tc>
          <w:tcPr>
            <w:tcW w:w="80" w:type="dxa"/>
            <w:vAlign w:val="bottom"/>
          </w:tcPr>
          <w:p>
            <w:pPr>
              <w:spacing w:after="0"/>
              <w:rPr>
                <w:sz w:val="18"/>
                <w:szCs w:val="18"/>
                <w:color w:val="auto"/>
              </w:rPr>
            </w:pPr>
          </w:p>
        </w:tc>
        <w:tc>
          <w:tcPr>
            <w:tcW w:w="94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205,185</w:t>
            </w: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Other revenue</w:t>
            </w: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9,714</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19,111</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28,952</w:t>
            </w:r>
          </w:p>
        </w:tc>
        <w:tc>
          <w:tcPr>
            <w:tcW w:w="0" w:type="dxa"/>
            <w:vAlign w:val="bottom"/>
          </w:tcPr>
          <w:p>
            <w:pPr>
              <w:spacing w:after="0"/>
              <w:rPr>
                <w:sz w:val="1"/>
                <w:szCs w:val="1"/>
                <w:color w:val="auto"/>
              </w:rPr>
            </w:pPr>
          </w:p>
        </w:tc>
      </w:tr>
      <w:tr>
        <w:trPr>
          <w:trHeight w:val="207"/>
        </w:trPr>
        <w:tc>
          <w:tcPr>
            <w:tcW w:w="2560" w:type="dxa"/>
            <w:vAlign w:val="bottom"/>
          </w:tcPr>
          <w:p>
            <w:pPr>
              <w:ind w:left="620"/>
              <w:spacing w:after="0" w:line="194" w:lineRule="exact"/>
              <w:rPr>
                <w:sz w:val="20"/>
                <w:szCs w:val="20"/>
                <w:color w:val="auto"/>
              </w:rPr>
            </w:pPr>
            <w:r>
              <w:rPr>
                <w:rFonts w:ascii="Arial" w:cs="Arial" w:eastAsia="Arial" w:hAnsi="Arial"/>
                <w:sz w:val="17"/>
                <w:szCs w:val="17"/>
                <w:color w:val="auto"/>
              </w:rPr>
              <w:t>Total revenue</w:t>
            </w: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76,790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120,658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145,308</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234,137</w:t>
            </w: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Cost of revenue:</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ind w:left="820"/>
              <w:spacing w:after="0"/>
              <w:rPr>
                <w:sz w:val="20"/>
                <w:szCs w:val="20"/>
                <w:color w:val="auto"/>
              </w:rPr>
            </w:pPr>
            <w:r>
              <w:rPr>
                <w:rFonts w:ascii="Arial" w:cs="Arial" w:eastAsia="Arial" w:hAnsi="Arial"/>
                <w:sz w:val="17"/>
                <w:szCs w:val="17"/>
                <w:color w:val="auto"/>
                <w:w w:val="98"/>
              </w:rPr>
              <w:t>CPaaS cost of revenue</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37,229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56,094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69,121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109,775</w:t>
            </w: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Other cost of revenue</w:t>
            </w: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4,780</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9,247</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17,612</w:t>
            </w:r>
          </w:p>
        </w:tc>
        <w:tc>
          <w:tcPr>
            <w:tcW w:w="0" w:type="dxa"/>
            <w:vAlign w:val="bottom"/>
          </w:tcPr>
          <w:p>
            <w:pPr>
              <w:spacing w:after="0"/>
              <w:rPr>
                <w:sz w:val="1"/>
                <w:szCs w:val="1"/>
                <w:color w:val="auto"/>
              </w:rPr>
            </w:pPr>
          </w:p>
        </w:tc>
      </w:tr>
      <w:tr>
        <w:trPr>
          <w:trHeight w:val="207"/>
        </w:trPr>
        <w:tc>
          <w:tcPr>
            <w:tcW w:w="2560" w:type="dxa"/>
            <w:vAlign w:val="bottom"/>
          </w:tcPr>
          <w:p>
            <w:pPr>
              <w:ind w:left="620"/>
              <w:spacing w:after="0" w:line="194" w:lineRule="exact"/>
              <w:rPr>
                <w:sz w:val="20"/>
                <w:szCs w:val="20"/>
                <w:color w:val="auto"/>
              </w:rPr>
            </w:pPr>
            <w:r>
              <w:rPr>
                <w:rFonts w:ascii="Arial" w:cs="Arial" w:eastAsia="Arial" w:hAnsi="Arial"/>
                <w:sz w:val="17"/>
                <w:szCs w:val="17"/>
                <w:color w:val="auto"/>
              </w:rPr>
              <w:t>Total cost of revenue</w:t>
            </w: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42,009</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66,059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78,368</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127,387</w:t>
            </w: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Gross profit:</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ind w:left="820"/>
              <w:spacing w:after="0"/>
              <w:rPr>
                <w:sz w:val="20"/>
                <w:szCs w:val="20"/>
                <w:color w:val="auto"/>
              </w:rPr>
            </w:pPr>
            <w:r>
              <w:rPr>
                <w:rFonts w:ascii="Arial" w:cs="Arial" w:eastAsia="Arial" w:hAnsi="Arial"/>
                <w:sz w:val="17"/>
                <w:szCs w:val="17"/>
                <w:color w:val="auto"/>
              </w:rPr>
              <w:t>CPaaS</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29,847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48,945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57,076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95,410</w:t>
            </w: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4,934</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9,864</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11,340</w:t>
            </w:r>
          </w:p>
        </w:tc>
        <w:tc>
          <w:tcPr>
            <w:tcW w:w="0" w:type="dxa"/>
            <w:vAlign w:val="bottom"/>
          </w:tcPr>
          <w:p>
            <w:pPr>
              <w:spacing w:after="0"/>
              <w:rPr>
                <w:sz w:val="1"/>
                <w:szCs w:val="1"/>
                <w:color w:val="auto"/>
              </w:rPr>
            </w:pPr>
          </w:p>
        </w:tc>
      </w:tr>
      <w:tr>
        <w:trPr>
          <w:trHeight w:val="207"/>
        </w:trPr>
        <w:tc>
          <w:tcPr>
            <w:tcW w:w="2560" w:type="dxa"/>
            <w:vAlign w:val="bottom"/>
          </w:tcPr>
          <w:p>
            <w:pPr>
              <w:ind w:left="620"/>
              <w:spacing w:after="0" w:line="194" w:lineRule="exact"/>
              <w:rPr>
                <w:sz w:val="20"/>
                <w:szCs w:val="20"/>
                <w:color w:val="auto"/>
              </w:rPr>
            </w:pPr>
            <w:r>
              <w:rPr>
                <w:rFonts w:ascii="Arial" w:cs="Arial" w:eastAsia="Arial" w:hAnsi="Arial"/>
                <w:sz w:val="17"/>
                <w:szCs w:val="17"/>
                <w:color w:val="auto"/>
              </w:rPr>
              <w:t>Total gross profit</w:t>
            </w: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34,781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54,599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66,940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106,750</w:t>
            </w: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Operating expenses: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60" w:type="dxa"/>
            <w:vAlign w:val="bottom"/>
          </w:tcPr>
          <w:p>
            <w:pPr>
              <w:ind w:left="820"/>
              <w:spacing w:after="0" w:line="164" w:lineRule="exact"/>
              <w:rPr>
                <w:sz w:val="20"/>
                <w:szCs w:val="20"/>
                <w:color w:val="auto"/>
              </w:rPr>
            </w:pPr>
            <w:r>
              <w:rPr>
                <w:rFonts w:ascii="Arial" w:cs="Arial" w:eastAsia="Arial" w:hAnsi="Arial"/>
                <w:sz w:val="17"/>
                <w:szCs w:val="17"/>
                <w:color w:val="auto"/>
              </w:rPr>
              <w:t>Research and</w:t>
            </w:r>
          </w:p>
        </w:tc>
        <w:tc>
          <w:tcPr>
            <w:tcW w:w="9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9,554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12,817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19,084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26,150</w:t>
            </w:r>
          </w:p>
        </w:tc>
        <w:tc>
          <w:tcPr>
            <w:tcW w:w="0" w:type="dxa"/>
            <w:vAlign w:val="bottom"/>
          </w:tcPr>
          <w:p>
            <w:pPr>
              <w:spacing w:after="0"/>
              <w:rPr>
                <w:sz w:val="1"/>
                <w:szCs w:val="1"/>
                <w:color w:val="auto"/>
              </w:rPr>
            </w:pPr>
          </w:p>
        </w:tc>
      </w:tr>
      <w:tr>
        <w:trPr>
          <w:trHeight w:val="214"/>
        </w:trPr>
        <w:tc>
          <w:tcPr>
            <w:tcW w:w="2560" w:type="dxa"/>
            <w:vAlign w:val="bottom"/>
          </w:tcPr>
          <w:p>
            <w:pPr>
              <w:ind w:left="220"/>
              <w:spacing w:after="0"/>
              <w:rPr>
                <w:sz w:val="20"/>
                <w:szCs w:val="20"/>
                <w:color w:val="auto"/>
              </w:rPr>
            </w:pPr>
            <w:r>
              <w:rPr>
                <w:rFonts w:ascii="Arial" w:cs="Arial" w:eastAsia="Arial" w:hAnsi="Arial"/>
                <w:sz w:val="17"/>
                <w:szCs w:val="17"/>
                <w:color w:val="auto"/>
              </w:rPr>
              <w:t>development</w:t>
            </w:r>
          </w:p>
        </w:tc>
        <w:tc>
          <w:tcPr>
            <w:tcW w:w="9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Sales and marketing</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24,576</w:t>
            </w:r>
          </w:p>
        </w:tc>
        <w:tc>
          <w:tcPr>
            <w:tcW w:w="0" w:type="dxa"/>
            <w:vAlign w:val="bottom"/>
          </w:tcPr>
          <w:p>
            <w:pPr>
              <w:spacing w:after="0"/>
              <w:rPr>
                <w:sz w:val="1"/>
                <w:szCs w:val="1"/>
                <w:color w:val="auto"/>
              </w:rPr>
            </w:pPr>
          </w:p>
        </w:tc>
      </w:tr>
      <w:tr>
        <w:trPr>
          <w:trHeight w:val="164"/>
        </w:trPr>
        <w:tc>
          <w:tcPr>
            <w:tcW w:w="2560" w:type="dxa"/>
            <w:vAlign w:val="bottom"/>
          </w:tcPr>
          <w:p>
            <w:pPr>
              <w:ind w:left="820"/>
              <w:spacing w:after="0" w:line="164" w:lineRule="exact"/>
              <w:rPr>
                <w:sz w:val="20"/>
                <w:szCs w:val="20"/>
                <w:color w:val="auto"/>
              </w:rPr>
            </w:pPr>
            <w:r>
              <w:rPr>
                <w:rFonts w:ascii="Arial" w:cs="Arial" w:eastAsia="Arial" w:hAnsi="Arial"/>
                <w:sz w:val="17"/>
                <w:szCs w:val="17"/>
                <w:color w:val="auto"/>
              </w:rPr>
              <w:t>General and</w:t>
            </w:r>
          </w:p>
        </w:tc>
        <w:tc>
          <w:tcPr>
            <w:tcW w:w="9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16,840</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28,264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32,936</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55,127</w:t>
            </w:r>
          </w:p>
        </w:tc>
        <w:tc>
          <w:tcPr>
            <w:tcW w:w="0" w:type="dxa"/>
            <w:vAlign w:val="bottom"/>
          </w:tcPr>
          <w:p>
            <w:pPr>
              <w:spacing w:after="0"/>
              <w:rPr>
                <w:sz w:val="1"/>
                <w:szCs w:val="1"/>
                <w:color w:val="auto"/>
              </w:rPr>
            </w:pPr>
          </w:p>
        </w:tc>
      </w:tr>
      <w:tr>
        <w:trPr>
          <w:trHeight w:val="214"/>
        </w:trPr>
        <w:tc>
          <w:tcPr>
            <w:tcW w:w="25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administrative</w:t>
            </w:r>
          </w:p>
        </w:tc>
        <w:tc>
          <w:tcPr>
            <w:tcW w:w="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35,049</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53,665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70,092</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105,853</w:t>
            </w:r>
          </w:p>
        </w:tc>
        <w:tc>
          <w:tcPr>
            <w:tcW w:w="0" w:type="dxa"/>
            <w:vAlign w:val="bottom"/>
          </w:tcPr>
          <w:p>
            <w:pPr>
              <w:spacing w:after="0"/>
              <w:rPr>
                <w:sz w:val="1"/>
                <w:szCs w:val="1"/>
                <w:color w:val="auto"/>
              </w:rPr>
            </w:pPr>
          </w:p>
        </w:tc>
      </w:tr>
      <w:tr>
        <w:trPr>
          <w:trHeight w:val="207"/>
        </w:trPr>
        <w:tc>
          <w:tcPr>
            <w:tcW w:w="2560" w:type="dxa"/>
            <w:vAlign w:val="bottom"/>
          </w:tcPr>
          <w:p>
            <w:pPr>
              <w:ind w:left="620"/>
              <w:spacing w:after="0" w:line="194" w:lineRule="exact"/>
              <w:rPr>
                <w:sz w:val="20"/>
                <w:szCs w:val="20"/>
                <w:color w:val="auto"/>
              </w:rPr>
            </w:pPr>
            <w:r>
              <w:rPr>
                <w:rFonts w:ascii="Arial" w:cs="Arial" w:eastAsia="Arial" w:hAnsi="Arial"/>
                <w:sz w:val="17"/>
                <w:szCs w:val="17"/>
                <w:color w:val="auto"/>
              </w:rPr>
              <w:t>Operating (loss) income</w:t>
            </w: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(3,152)</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15"/>
        </w:trPr>
        <w:tc>
          <w:tcPr>
            <w:tcW w:w="256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Other expense, net</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ind w:left="820"/>
              <w:spacing w:after="0"/>
              <w:rPr>
                <w:sz w:val="20"/>
                <w:szCs w:val="20"/>
                <w:color w:val="auto"/>
              </w:rPr>
            </w:pPr>
            <w:r>
              <w:rPr>
                <w:rFonts w:ascii="Arial" w:cs="Arial" w:eastAsia="Arial" w:hAnsi="Arial"/>
                <w:sz w:val="17"/>
                <w:szCs w:val="17"/>
                <w:color w:val="auto"/>
              </w:rPr>
              <w:t>Interest expense, net</w:t>
            </w: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(3,864)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(7,699)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(4,723)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(13,109)</w:t>
            </w:r>
          </w:p>
        </w:tc>
        <w:tc>
          <w:tcPr>
            <w:tcW w:w="0" w:type="dxa"/>
            <w:vAlign w:val="bottom"/>
          </w:tcPr>
          <w:p>
            <w:pPr>
              <w:spacing w:after="0"/>
              <w:rPr>
                <w:sz w:val="1"/>
                <w:szCs w:val="1"/>
                <w:color w:val="auto"/>
              </w:rPr>
            </w:pPr>
          </w:p>
        </w:tc>
      </w:tr>
      <w:tr>
        <w:trPr>
          <w:trHeight w:val="164"/>
        </w:trPr>
        <w:tc>
          <w:tcPr>
            <w:tcW w:w="2560" w:type="dxa"/>
            <w:vAlign w:val="bottom"/>
            <w:shd w:val="clear" w:color="auto" w:fill="CCEEFF"/>
          </w:tcPr>
          <w:p>
            <w:pPr>
              <w:ind w:left="820"/>
              <w:spacing w:after="0" w:line="164" w:lineRule="exact"/>
              <w:rPr>
                <w:sz w:val="20"/>
                <w:szCs w:val="20"/>
                <w:color w:val="auto"/>
              </w:rPr>
            </w:pPr>
            <w:r>
              <w:rPr>
                <w:rFonts w:ascii="Arial" w:cs="Arial" w:eastAsia="Arial" w:hAnsi="Arial"/>
                <w:sz w:val="17"/>
                <w:szCs w:val="17"/>
                <w:color w:val="auto"/>
                <w:w w:val="91"/>
              </w:rPr>
              <w:t>Other (expense) income,</w:t>
            </w:r>
          </w:p>
        </w:tc>
        <w:tc>
          <w:tcPr>
            <w:tcW w:w="9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4"/>
        </w:trPr>
        <w:tc>
          <w:tcPr>
            <w:tcW w:w="2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w:t>
            </w: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620"/>
              <w:spacing w:after="0" w:line="194" w:lineRule="exact"/>
              <w:rPr>
                <w:sz w:val="20"/>
                <w:szCs w:val="20"/>
                <w:color w:val="auto"/>
              </w:rPr>
            </w:pPr>
            <w:r>
              <w:rPr>
                <w:rFonts w:ascii="Arial" w:cs="Arial" w:eastAsia="Arial" w:hAnsi="Arial"/>
                <w:sz w:val="17"/>
                <w:szCs w:val="17"/>
                <w:color w:val="auto"/>
              </w:rPr>
              <w:t>Total other expense, net</w:t>
            </w:r>
          </w:p>
        </w:tc>
        <w:tc>
          <w:tcPr>
            <w:tcW w:w="9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(3,868)</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(4,774)</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(13,201)</w:t>
            </w:r>
          </w:p>
        </w:tc>
        <w:tc>
          <w:tcPr>
            <w:tcW w:w="0" w:type="dxa"/>
            <w:vAlign w:val="bottom"/>
          </w:tcPr>
          <w:p>
            <w:pPr>
              <w:spacing w:after="0"/>
              <w:rPr>
                <w:sz w:val="1"/>
                <w:szCs w:val="1"/>
                <w:color w:val="auto"/>
              </w:rPr>
            </w:pPr>
          </w:p>
        </w:tc>
      </w:tr>
      <w:tr>
        <w:trPr>
          <w:trHeight w:val="207"/>
        </w:trPr>
        <w:tc>
          <w:tcPr>
            <w:tcW w:w="256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w w:val="99"/>
              </w:rPr>
              <w:t>Loss before income taxes</w:t>
            </w: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(12,304)</w:t>
            </w:r>
          </w:p>
        </w:tc>
        <w:tc>
          <w:tcPr>
            <w:tcW w:w="0" w:type="dxa"/>
            <w:vAlign w:val="bottom"/>
          </w:tcPr>
          <w:p>
            <w:pPr>
              <w:spacing w:after="0"/>
              <w:rPr>
                <w:sz w:val="1"/>
                <w:szCs w:val="1"/>
                <w:color w:val="auto"/>
              </w:rPr>
            </w:pPr>
          </w:p>
        </w:tc>
      </w:tr>
      <w:tr>
        <w:trPr>
          <w:trHeight w:val="164"/>
        </w:trPr>
        <w:tc>
          <w:tcPr>
            <w:tcW w:w="2560" w:type="dxa"/>
            <w:vAlign w:val="bottom"/>
          </w:tcPr>
          <w:p>
            <w:pPr>
              <w:ind w:left="620"/>
              <w:spacing w:after="0" w:line="164" w:lineRule="exact"/>
              <w:rPr>
                <w:sz w:val="20"/>
                <w:szCs w:val="20"/>
                <w:color w:val="auto"/>
              </w:rPr>
            </w:pPr>
            <w:r>
              <w:rPr>
                <w:rFonts w:ascii="Arial" w:cs="Arial" w:eastAsia="Arial" w:hAnsi="Arial"/>
                <w:sz w:val="17"/>
                <w:szCs w:val="17"/>
                <w:color w:val="auto"/>
              </w:rPr>
              <w:t>Income tax (provision)</w:t>
            </w:r>
          </w:p>
        </w:tc>
        <w:tc>
          <w:tcPr>
            <w:tcW w:w="9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(16,505)</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(13,773)</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4"/>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w:t>
            </w:r>
          </w:p>
        </w:tc>
        <w:tc>
          <w:tcPr>
            <w:tcW w:w="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60" w:type="dxa"/>
            <w:vAlign w:val="bottom"/>
            <w:tcBorders>
              <w:bottom w:val="single" w:sz="8" w:color="CCEEFF"/>
            </w:tcBorders>
            <w:shd w:val="clear" w:color="auto" w:fill="CCEEFF"/>
          </w:tcPr>
          <w:p>
            <w:pPr>
              <w:ind w:left="620"/>
              <w:spacing w:after="0" w:line="194" w:lineRule="exact"/>
              <w:rPr>
                <w:sz w:val="20"/>
                <w:szCs w:val="20"/>
                <w:color w:val="auto"/>
              </w:rPr>
            </w:pPr>
            <w:r>
              <w:rPr>
                <w:rFonts w:ascii="Arial" w:cs="Arial" w:eastAsia="Arial" w:hAnsi="Arial"/>
                <w:sz w:val="17"/>
                <w:szCs w:val="17"/>
                <w:color w:val="auto"/>
              </w:rPr>
              <w:t>Net loss</w:t>
            </w: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(20,641)</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(21,699)</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(12,244)</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table sets forth our results of operations as a percentage of our total revenue for the periods presented. *</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00" w:type="dxa"/>
            <w:vAlign w:val="bottom"/>
          </w:tcPr>
          <w:p>
            <w:pPr>
              <w:spacing w:after="0"/>
              <w:rPr>
                <w:sz w:val="18"/>
                <w:szCs w:val="18"/>
                <w:color w:val="auto"/>
              </w:rPr>
            </w:pPr>
          </w:p>
        </w:tc>
        <w:tc>
          <w:tcPr>
            <w:tcW w:w="3020" w:type="dxa"/>
            <w:vAlign w:val="bottom"/>
            <w:tcBorders>
              <w:bottom w:val="single" w:sz="8" w:color="auto"/>
            </w:tcBorders>
            <w:gridSpan w:val="4"/>
          </w:tcPr>
          <w:p>
            <w:pPr>
              <w:ind w:left="740"/>
              <w:spacing w:after="0"/>
              <w:rPr>
                <w:sz w:val="20"/>
                <w:szCs w:val="20"/>
                <w:color w:val="auto"/>
              </w:rPr>
            </w:pPr>
            <w:r>
              <w:rPr>
                <w:rFonts w:ascii="Arial" w:cs="Arial" w:eastAsia="Arial" w:hAnsi="Arial"/>
                <w:sz w:val="17"/>
                <w:szCs w:val="17"/>
                <w:b w:val="1"/>
                <w:bCs w:val="1"/>
                <w:color w:val="auto"/>
                <w:w w:val="94"/>
              </w:rPr>
              <w:t>Three months ended June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7"/>
                <w:szCs w:val="17"/>
                <w:b w:val="1"/>
                <w:bCs w:val="1"/>
                <w:color w:val="auto"/>
              </w:rPr>
              <w:t>Six months ended June 30,</w:t>
            </w:r>
          </w:p>
        </w:tc>
      </w:tr>
      <w:tr>
        <w:trPr>
          <w:trHeight w:val="207"/>
        </w:trPr>
        <w:tc>
          <w:tcPr>
            <w:tcW w:w="3900" w:type="dxa"/>
            <w:vAlign w:val="bottom"/>
          </w:tcPr>
          <w:p>
            <w:pPr>
              <w:spacing w:after="0"/>
              <w:rPr>
                <w:sz w:val="18"/>
                <w:szCs w:val="18"/>
                <w:color w:val="auto"/>
              </w:rPr>
            </w:pPr>
          </w:p>
        </w:tc>
        <w:tc>
          <w:tcPr>
            <w:tcW w:w="1160" w:type="dxa"/>
            <w:vAlign w:val="bottom"/>
          </w:tcPr>
          <w:p>
            <w:pPr>
              <w:ind w:left="720"/>
              <w:spacing w:after="0"/>
              <w:rPr>
                <w:sz w:val="20"/>
                <w:szCs w:val="20"/>
                <w:color w:val="auto"/>
              </w:rPr>
            </w:pPr>
            <w:r>
              <w:rPr>
                <w:rFonts w:ascii="Arial" w:cs="Arial" w:eastAsia="Arial" w:hAnsi="Arial"/>
                <w:sz w:val="17"/>
                <w:szCs w:val="17"/>
                <w:b w:val="1"/>
                <w:bCs w:val="1"/>
                <w:color w:val="auto"/>
              </w:rPr>
              <w:t>2020</w:t>
            </w:r>
          </w:p>
        </w:tc>
        <w:tc>
          <w:tcPr>
            <w:tcW w:w="186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2021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3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740" w:type="dxa"/>
            <w:vAlign w:val="bottom"/>
          </w:tcPr>
          <w:p>
            <w:pPr>
              <w:jc w:val="right"/>
              <w:ind w:right="636"/>
              <w:spacing w:after="0"/>
              <w:rPr>
                <w:sz w:val="20"/>
                <w:szCs w:val="20"/>
                <w:color w:val="auto"/>
              </w:rPr>
            </w:pPr>
            <w:r>
              <w:rPr>
                <w:rFonts w:ascii="Arial" w:cs="Arial" w:eastAsia="Arial" w:hAnsi="Arial"/>
                <w:sz w:val="17"/>
                <w:szCs w:val="17"/>
                <w:b w:val="1"/>
                <w:bCs w:val="1"/>
                <w:color w:val="auto"/>
              </w:rPr>
              <w:t>2021</w:t>
            </w:r>
          </w:p>
        </w:tc>
      </w:tr>
      <w:tr>
        <w:trPr>
          <w:trHeight w:val="194"/>
        </w:trPr>
        <w:tc>
          <w:tcPr>
            <w:tcW w:w="390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Revenue:</w:t>
            </w:r>
          </w:p>
        </w:tc>
        <w:tc>
          <w:tcPr>
            <w:tcW w:w="1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r>
      <w:tr>
        <w:trPr>
          <w:trHeight w:val="214"/>
        </w:trPr>
        <w:tc>
          <w:tcPr>
            <w:tcW w:w="5060" w:type="dxa"/>
            <w:vAlign w:val="bottom"/>
            <w:gridSpan w:val="2"/>
          </w:tcPr>
          <w:p>
            <w:pPr>
              <w:ind w:left="220"/>
              <w:spacing w:after="0"/>
              <w:rPr>
                <w:sz w:val="20"/>
                <w:szCs w:val="20"/>
                <w:color w:val="auto"/>
              </w:rPr>
            </w:pPr>
            <w:r>
              <w:rPr>
                <w:rFonts w:ascii="Arial" w:cs="Arial" w:eastAsia="Arial" w:hAnsi="Arial"/>
                <w:sz w:val="17"/>
                <w:szCs w:val="17"/>
                <w:color w:val="auto"/>
              </w:rPr>
              <w:t>CPaaS revenue</w:t>
            </w:r>
          </w:p>
        </w:tc>
        <w:tc>
          <w:tcPr>
            <w:tcW w:w="580" w:type="dxa"/>
            <w:vAlign w:val="bottom"/>
          </w:tcPr>
          <w:p>
            <w:pPr>
              <w:jc w:val="right"/>
              <w:spacing w:after="0"/>
              <w:rPr>
                <w:sz w:val="20"/>
                <w:szCs w:val="20"/>
                <w:color w:val="auto"/>
              </w:rPr>
            </w:pPr>
            <w:r>
              <w:rPr>
                <w:rFonts w:ascii="Arial" w:cs="Arial" w:eastAsia="Arial" w:hAnsi="Arial"/>
                <w:sz w:val="17"/>
                <w:szCs w:val="17"/>
                <w:color w:val="auto"/>
              </w:rPr>
              <w:t>87 %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87 %</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87 %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88 %</w:t>
            </w:r>
          </w:p>
        </w:tc>
      </w:tr>
      <w:tr>
        <w:trPr>
          <w:trHeight w:val="215"/>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07"/>
        </w:trPr>
        <w:tc>
          <w:tcPr>
            <w:tcW w:w="3900" w:type="dxa"/>
            <w:vAlign w:val="bottom"/>
          </w:tcPr>
          <w:p>
            <w:pPr>
              <w:ind w:left="20"/>
              <w:spacing w:after="0" w:line="194" w:lineRule="exact"/>
              <w:rPr>
                <w:sz w:val="20"/>
                <w:szCs w:val="20"/>
                <w:color w:val="auto"/>
              </w:rPr>
            </w:pPr>
            <w:r>
              <w:rPr>
                <w:rFonts w:ascii="Arial" w:cs="Arial" w:eastAsia="Arial" w:hAnsi="Arial"/>
                <w:sz w:val="17"/>
                <w:szCs w:val="17"/>
                <w:color w:val="auto"/>
              </w:rPr>
              <w:t>Total revenue</w:t>
            </w: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Cost of revenue: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4"/>
        </w:trPr>
        <w:tc>
          <w:tcPr>
            <w:tcW w:w="5060" w:type="dxa"/>
            <w:vAlign w:val="bottom"/>
            <w:gridSpan w:val="2"/>
          </w:tcPr>
          <w:p>
            <w:pPr>
              <w:ind w:left="220"/>
              <w:spacing w:after="0"/>
              <w:rPr>
                <w:sz w:val="20"/>
                <w:szCs w:val="20"/>
                <w:color w:val="auto"/>
              </w:rPr>
            </w:pPr>
            <w:r>
              <w:rPr>
                <w:rFonts w:ascii="Arial" w:cs="Arial" w:eastAsia="Arial" w:hAnsi="Arial"/>
                <w:sz w:val="17"/>
                <w:szCs w:val="17"/>
                <w:color w:val="auto"/>
              </w:rPr>
              <w:t>CPaaS cost of revenue</w:t>
            </w:r>
          </w:p>
        </w:tc>
        <w:tc>
          <w:tcPr>
            <w:tcW w:w="580" w:type="dxa"/>
            <w:vAlign w:val="bottom"/>
          </w:tcPr>
          <w:p>
            <w:pPr>
              <w:jc w:val="right"/>
              <w:spacing w:after="0"/>
              <w:rPr>
                <w:sz w:val="20"/>
                <w:szCs w:val="20"/>
                <w:color w:val="auto"/>
              </w:rPr>
            </w:pPr>
            <w:r>
              <w:rPr>
                <w:rFonts w:ascii="Arial" w:cs="Arial" w:eastAsia="Arial" w:hAnsi="Arial"/>
                <w:sz w:val="17"/>
                <w:szCs w:val="17"/>
                <w:color w:val="auto"/>
              </w:rPr>
              <w:t>48 %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46 %</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47 %</w:t>
            </w:r>
          </w:p>
        </w:tc>
      </w:tr>
      <w:tr>
        <w:trPr>
          <w:trHeight w:val="215"/>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cost of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07"/>
        </w:trPr>
        <w:tc>
          <w:tcPr>
            <w:tcW w:w="3900" w:type="dxa"/>
            <w:vAlign w:val="bottom"/>
          </w:tcPr>
          <w:p>
            <w:pPr>
              <w:ind w:left="20"/>
              <w:spacing w:after="0" w:line="194" w:lineRule="exact"/>
              <w:rPr>
                <w:sz w:val="20"/>
                <w:szCs w:val="20"/>
                <w:color w:val="auto"/>
              </w:rPr>
            </w:pPr>
            <w:r>
              <w:rPr>
                <w:rFonts w:ascii="Arial" w:cs="Arial" w:eastAsia="Arial" w:hAnsi="Arial"/>
                <w:sz w:val="17"/>
                <w:szCs w:val="17"/>
                <w:color w:val="auto"/>
              </w:rPr>
              <w:t>Total cost of revenue</w:t>
            </w: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54 %</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54 %</w:t>
            </w:r>
          </w:p>
        </w:tc>
        <w:tc>
          <w:tcPr>
            <w:tcW w:w="12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54 %</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55 %</w:t>
            </w: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4"/>
        </w:trPr>
        <w:tc>
          <w:tcPr>
            <w:tcW w:w="5060" w:type="dxa"/>
            <w:vAlign w:val="bottom"/>
            <w:gridSpan w:val="2"/>
          </w:tcPr>
          <w:p>
            <w:pPr>
              <w:ind w:left="220"/>
              <w:spacing w:after="0"/>
              <w:rPr>
                <w:sz w:val="20"/>
                <w:szCs w:val="20"/>
                <w:color w:val="auto"/>
              </w:rPr>
            </w:pPr>
            <w:r>
              <w:rPr>
                <w:rFonts w:ascii="Arial" w:cs="Arial" w:eastAsia="Arial" w:hAnsi="Arial"/>
                <w:sz w:val="17"/>
                <w:szCs w:val="17"/>
                <w:color w:val="auto"/>
              </w:rPr>
              <w:t>CPaaS</w:t>
            </w:r>
          </w:p>
        </w:tc>
        <w:tc>
          <w:tcPr>
            <w:tcW w:w="580" w:type="dxa"/>
            <w:vAlign w:val="bottom"/>
          </w:tcPr>
          <w:p>
            <w:pPr>
              <w:jc w:val="right"/>
              <w:spacing w:after="0"/>
              <w:rPr>
                <w:sz w:val="20"/>
                <w:szCs w:val="20"/>
                <w:color w:val="auto"/>
              </w:rPr>
            </w:pPr>
            <w:r>
              <w:rPr>
                <w:rFonts w:ascii="Arial" w:cs="Arial" w:eastAsia="Arial" w:hAnsi="Arial"/>
                <w:sz w:val="17"/>
                <w:szCs w:val="17"/>
                <w:color w:val="auto"/>
              </w:rPr>
              <w:t>39 %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41 %</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41 %</w:t>
            </w:r>
          </w:p>
        </w:tc>
      </w:tr>
      <w:tr>
        <w:trPr>
          <w:trHeight w:val="215"/>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07"/>
        </w:trPr>
        <w:tc>
          <w:tcPr>
            <w:tcW w:w="3900" w:type="dxa"/>
            <w:vAlign w:val="bottom"/>
          </w:tcPr>
          <w:p>
            <w:pPr>
              <w:ind w:left="20"/>
              <w:spacing w:after="0" w:line="194" w:lineRule="exact"/>
              <w:rPr>
                <w:sz w:val="20"/>
                <w:szCs w:val="20"/>
                <w:color w:val="auto"/>
              </w:rPr>
            </w:pPr>
            <w:r>
              <w:rPr>
                <w:rFonts w:ascii="Arial" w:cs="Arial" w:eastAsia="Arial" w:hAnsi="Arial"/>
                <w:sz w:val="17"/>
                <w:szCs w:val="17"/>
                <w:color w:val="auto"/>
              </w:rPr>
              <w:t>Total gross profit</w:t>
            </w: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45 %</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45 %</w:t>
            </w:r>
          </w:p>
        </w:tc>
        <w:tc>
          <w:tcPr>
            <w:tcW w:w="12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46 %</w:t>
            </w:r>
          </w:p>
        </w:tc>
        <w:tc>
          <w:tcPr>
            <w:tcW w:w="10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46 %</w:t>
            </w: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4"/>
        </w:trPr>
        <w:tc>
          <w:tcPr>
            <w:tcW w:w="5060" w:type="dxa"/>
            <w:vAlign w:val="bottom"/>
            <w:gridSpan w:val="2"/>
          </w:tcPr>
          <w:p>
            <w:pPr>
              <w:ind w:left="220"/>
              <w:spacing w:after="0"/>
              <w:rPr>
                <w:sz w:val="20"/>
                <w:szCs w:val="20"/>
                <w:color w:val="auto"/>
              </w:rPr>
            </w:pPr>
            <w:r>
              <w:rPr>
                <w:rFonts w:ascii="Arial" w:cs="Arial" w:eastAsia="Arial" w:hAnsi="Arial"/>
                <w:sz w:val="17"/>
                <w:szCs w:val="17"/>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7"/>
                <w:szCs w:val="17"/>
                <w:color w:val="auto"/>
              </w:rPr>
              <w:t>12 %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11 %</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11 %</w:t>
            </w:r>
          </w:p>
        </w:tc>
      </w:tr>
      <w:tr>
        <w:trPr>
          <w:trHeight w:val="215"/>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14"/>
        </w:trPr>
        <w:tc>
          <w:tcPr>
            <w:tcW w:w="5060" w:type="dxa"/>
            <w:vAlign w:val="bottom"/>
            <w:gridSpan w:val="2"/>
          </w:tcPr>
          <w:p>
            <w:pPr>
              <w:ind w:left="220"/>
              <w:spacing w:after="0"/>
              <w:rPr>
                <w:sz w:val="20"/>
                <w:szCs w:val="20"/>
                <w:color w:val="auto"/>
              </w:rPr>
            </w:pPr>
            <w:r>
              <w:rPr>
                <w:rFonts w:ascii="Arial" w:cs="Arial" w:eastAsia="Arial" w:hAnsi="Arial"/>
                <w:sz w:val="17"/>
                <w:szCs w:val="17"/>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7"/>
                <w:szCs w:val="17"/>
                <w:color w:val="auto"/>
              </w:rPr>
              <w:t>22 %</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23 %</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07"/>
        </w:trPr>
        <w:tc>
          <w:tcPr>
            <w:tcW w:w="390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Total operating expenses</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45 %</w:t>
            </w:r>
          </w:p>
        </w:tc>
      </w:tr>
      <w:tr>
        <w:trPr>
          <w:trHeight w:val="207"/>
        </w:trPr>
        <w:tc>
          <w:tcPr>
            <w:tcW w:w="3900" w:type="dxa"/>
            <w:vAlign w:val="bottom"/>
          </w:tcPr>
          <w:p>
            <w:pPr>
              <w:ind w:left="20"/>
              <w:spacing w:after="0" w:line="194" w:lineRule="exact"/>
              <w:rPr>
                <w:sz w:val="20"/>
                <w:szCs w:val="20"/>
                <w:color w:val="auto"/>
              </w:rPr>
            </w:pPr>
            <w:r>
              <w:rPr>
                <w:rFonts w:ascii="Arial" w:cs="Arial" w:eastAsia="Arial" w:hAnsi="Arial"/>
                <w:sz w:val="17"/>
                <w:szCs w:val="17"/>
                <w:color w:val="auto"/>
              </w:rPr>
              <w:t>Operating (loss) income</w:t>
            </w:r>
          </w:p>
        </w:tc>
        <w:tc>
          <w:tcPr>
            <w:tcW w:w="1160" w:type="dxa"/>
            <w:vAlign w:val="bottom"/>
          </w:tcPr>
          <w:p>
            <w:pPr>
              <w:spacing w:after="0"/>
              <w:rPr>
                <w:sz w:val="17"/>
                <w:szCs w:val="17"/>
                <w:color w:val="auto"/>
              </w:rPr>
            </w:pPr>
          </w:p>
        </w:tc>
        <w:tc>
          <w:tcPr>
            <w:tcW w:w="1860" w:type="dxa"/>
            <w:vAlign w:val="bottom"/>
            <w:gridSpan w:val="3"/>
          </w:tcPr>
          <w:p>
            <w:pPr>
              <w:jc w:val="right"/>
              <w:ind w:right="1280"/>
              <w:spacing w:after="0"/>
              <w:rPr>
                <w:sz w:val="20"/>
                <w:szCs w:val="20"/>
                <w:color w:val="auto"/>
              </w:rPr>
            </w:pPr>
            <w:r>
              <w:rPr>
                <w:rFonts w:ascii="Arial" w:cs="Arial" w:eastAsia="Arial" w:hAnsi="Arial"/>
                <w:sz w:val="17"/>
                <w:szCs w:val="17"/>
                <w:color w:val="auto"/>
              </w:rPr>
              <w:t>— %</w:t>
            </w:r>
          </w:p>
        </w:tc>
        <w:tc>
          <w:tcPr>
            <w:tcW w:w="56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expense,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4"/>
        </w:trPr>
        <w:tc>
          <w:tcPr>
            <w:tcW w:w="5060" w:type="dxa"/>
            <w:vAlign w:val="bottom"/>
            <w:gridSpan w:val="2"/>
          </w:tcPr>
          <w:p>
            <w:pPr>
              <w:ind w:left="220"/>
              <w:spacing w:after="0"/>
              <w:rPr>
                <w:sz w:val="20"/>
                <w:szCs w:val="20"/>
                <w:color w:val="auto"/>
              </w:rPr>
            </w:pPr>
            <w:r>
              <w:rPr>
                <w:rFonts w:ascii="Arial" w:cs="Arial" w:eastAsia="Arial" w:hAnsi="Arial"/>
                <w:sz w:val="17"/>
                <w:szCs w:val="17"/>
                <w:color w:val="auto"/>
              </w:rPr>
              <w:t>Interest expense, net</w:t>
            </w:r>
          </w:p>
        </w:tc>
        <w:tc>
          <w:tcPr>
            <w:tcW w:w="5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5"/>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(expense) income, net</w:t>
            </w:r>
          </w:p>
        </w:tc>
        <w:tc>
          <w:tcPr>
            <w:tcW w:w="1860" w:type="dxa"/>
            <w:vAlign w:val="bottom"/>
            <w:gridSpan w:val="3"/>
            <w:shd w:val="clear" w:color="auto" w:fill="CCEEFF"/>
          </w:tcPr>
          <w:p>
            <w:pPr>
              <w:jc w:val="right"/>
              <w:ind w:right="1280"/>
              <w:spacing w:after="0"/>
              <w:rPr>
                <w:sz w:val="20"/>
                <w:szCs w:val="20"/>
                <w:color w:val="auto"/>
              </w:rPr>
            </w:pPr>
            <w:r>
              <w:rPr>
                <w:rFonts w:ascii="Arial" w:cs="Arial" w:eastAsia="Arial" w:hAnsi="Arial"/>
                <w:sz w:val="17"/>
                <w:szCs w:val="17"/>
                <w:color w:val="auto"/>
              </w:rPr>
              <w:t>— %</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07"/>
        </w:trPr>
        <w:tc>
          <w:tcPr>
            <w:tcW w:w="390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Total other expense, net</w:t>
            </w:r>
          </w:p>
        </w:tc>
        <w:tc>
          <w:tcPr>
            <w:tcW w:w="1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07"/>
        </w:trPr>
        <w:tc>
          <w:tcPr>
            <w:tcW w:w="39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Loss before income taxes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4"/>
        </w:trPr>
        <w:tc>
          <w:tcPr>
            <w:tcW w:w="5060" w:type="dxa"/>
            <w:vAlign w:val="bottom"/>
            <w:gridSpan w:val="2"/>
          </w:tcPr>
          <w:p>
            <w:pPr>
              <w:ind w:left="20"/>
              <w:spacing w:after="0"/>
              <w:rPr>
                <w:sz w:val="20"/>
                <w:szCs w:val="20"/>
                <w:color w:val="auto"/>
              </w:rPr>
            </w:pPr>
            <w:r>
              <w:rPr>
                <w:rFonts w:ascii="Arial" w:cs="Arial" w:eastAsia="Arial" w:hAnsi="Arial"/>
                <w:sz w:val="17"/>
                <w:szCs w:val="17"/>
                <w:color w:val="auto"/>
              </w:rPr>
              <w:t>Income tax (provision) benefit</w:t>
            </w:r>
          </w:p>
        </w:tc>
        <w:tc>
          <w:tcPr>
            <w:tcW w:w="58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7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32"/>
        </w:trPr>
        <w:tc>
          <w:tcPr>
            <w:tcW w:w="390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Net loss</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the three months ended June 30, 2020 and 2021</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Revenue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60" w:type="dxa"/>
            <w:vAlign w:val="bottom"/>
          </w:tcPr>
          <w:p>
            <w:pPr>
              <w:spacing w:after="0"/>
              <w:rPr>
                <w:sz w:val="18"/>
                <w:szCs w:val="18"/>
                <w:color w:val="auto"/>
              </w:rPr>
            </w:pPr>
          </w:p>
        </w:tc>
        <w:tc>
          <w:tcPr>
            <w:tcW w:w="4140" w:type="dxa"/>
            <w:vAlign w:val="bottom"/>
            <w:gridSpan w:val="6"/>
          </w:tcPr>
          <w:p>
            <w:pPr>
              <w:ind w:left="1180"/>
              <w:spacing w:after="0"/>
              <w:rPr>
                <w:sz w:val="20"/>
                <w:szCs w:val="20"/>
                <w:color w:val="auto"/>
              </w:rPr>
            </w:pPr>
            <w:r>
              <w:rPr>
                <w:rFonts w:ascii="Arial" w:cs="Arial" w:eastAsia="Arial" w:hAnsi="Arial"/>
                <w:sz w:val="17"/>
                <w:szCs w:val="17"/>
                <w:b w:val="1"/>
                <w:bCs w:val="1"/>
                <w:color w:val="auto"/>
              </w:rPr>
              <w:t>Three months ended June 30,</w:t>
            </w: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7"/>
        </w:trPr>
        <w:tc>
          <w:tcPr>
            <w:tcW w:w="30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36"/>
              <w:spacing w:after="0"/>
              <w:rPr>
                <w:sz w:val="20"/>
                <w:szCs w:val="20"/>
                <w:color w:val="auto"/>
              </w:rPr>
            </w:pPr>
            <w:r>
              <w:rPr>
                <w:rFonts w:ascii="Arial" w:cs="Arial" w:eastAsia="Arial" w:hAnsi="Arial"/>
                <w:sz w:val="17"/>
                <w:szCs w:val="17"/>
                <w:b w:val="1"/>
                <w:bCs w:val="1"/>
                <w:color w:val="auto"/>
                <w:w w:val="86"/>
              </w:rPr>
              <w:t>Change</w:t>
            </w:r>
          </w:p>
        </w:tc>
        <w:tc>
          <w:tcPr>
            <w:tcW w:w="400" w:type="dxa"/>
            <w:vAlign w:val="bottom"/>
            <w:tcBorders>
              <w:bottom w:val="single" w:sz="8" w:color="auto"/>
            </w:tcBorders>
          </w:tcPr>
          <w:p>
            <w:pPr>
              <w:spacing w:after="0"/>
              <w:rPr>
                <w:sz w:val="18"/>
                <w:szCs w:val="18"/>
                <w:color w:val="auto"/>
              </w:rPr>
            </w:pPr>
          </w:p>
        </w:tc>
      </w:tr>
      <w:tr>
        <w:trPr>
          <w:trHeight w:val="245"/>
        </w:trPr>
        <w:tc>
          <w:tcPr>
            <w:tcW w:w="3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80" w:type="dxa"/>
            <w:vAlign w:val="bottom"/>
            <w:gridSpan w:val="3"/>
          </w:tcPr>
          <w:p>
            <w:pPr>
              <w:jc w:val="right"/>
              <w:ind w:right="136"/>
              <w:spacing w:after="0"/>
              <w:rPr>
                <w:sz w:val="20"/>
                <w:szCs w:val="20"/>
                <w:color w:val="auto"/>
              </w:rPr>
            </w:pPr>
            <w:r>
              <w:rPr>
                <w:rFonts w:ascii="Arial" w:cs="Arial" w:eastAsia="Arial" w:hAnsi="Arial"/>
                <w:sz w:val="17"/>
                <w:szCs w:val="17"/>
                <w:b w:val="1"/>
                <w:bCs w:val="1"/>
                <w:color w:val="auto"/>
              </w:rPr>
              <w:t>(Dollars in thousands)</w:t>
            </w: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5"/>
        </w:trPr>
        <w:tc>
          <w:tcPr>
            <w:tcW w:w="30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Revenue:</w:t>
            </w:r>
          </w:p>
        </w:tc>
        <w:tc>
          <w:tcPr>
            <w:tcW w:w="1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4"/>
        </w:trPr>
        <w:tc>
          <w:tcPr>
            <w:tcW w:w="3060" w:type="dxa"/>
            <w:vAlign w:val="bottom"/>
          </w:tcPr>
          <w:p>
            <w:pPr>
              <w:ind w:left="480"/>
              <w:spacing w:after="0"/>
              <w:rPr>
                <w:sz w:val="20"/>
                <w:szCs w:val="20"/>
                <w:color w:val="auto"/>
              </w:rPr>
            </w:pPr>
            <w:r>
              <w:rPr>
                <w:rFonts w:ascii="Arial" w:cs="Arial" w:eastAsia="Arial" w:hAnsi="Arial"/>
                <w:sz w:val="17"/>
                <w:szCs w:val="17"/>
                <w:color w:val="auto"/>
              </w:rPr>
              <w:t>CPaaS revenue</w:t>
            </w:r>
          </w:p>
        </w:tc>
        <w:tc>
          <w:tcPr>
            <w:tcW w:w="140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8"/>
              </w:rPr>
              <w:t>67,076</w:t>
            </w:r>
          </w:p>
        </w:tc>
        <w:tc>
          <w:tcPr>
            <w:tcW w:w="100" w:type="dxa"/>
            <w:vAlign w:val="bottom"/>
          </w:tcPr>
          <w:p>
            <w:pPr>
              <w:spacing w:after="0"/>
              <w:rPr>
                <w:sz w:val="18"/>
                <w:szCs w:val="18"/>
                <w:color w:val="auto"/>
              </w:rPr>
            </w:pPr>
          </w:p>
        </w:tc>
        <w:tc>
          <w:tcPr>
            <w:tcW w:w="82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105,039</w:t>
            </w:r>
          </w:p>
        </w:tc>
        <w:tc>
          <w:tcPr>
            <w:tcW w:w="100" w:type="dxa"/>
            <w:vAlign w:val="bottom"/>
          </w:tcPr>
          <w:p>
            <w:pPr>
              <w:spacing w:after="0"/>
              <w:rPr>
                <w:sz w:val="18"/>
                <w:szCs w:val="18"/>
                <w:color w:val="auto"/>
              </w:rPr>
            </w:pPr>
          </w:p>
        </w:tc>
        <w:tc>
          <w:tcPr>
            <w:tcW w:w="120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37,963</w:t>
            </w:r>
          </w:p>
        </w:tc>
        <w:tc>
          <w:tcPr>
            <w:tcW w:w="1680" w:type="dxa"/>
            <w:vAlign w:val="bottom"/>
          </w:tcPr>
          <w:p>
            <w:pPr>
              <w:jc w:val="right"/>
              <w:ind w:right="176"/>
              <w:spacing w:after="0"/>
              <w:rPr>
                <w:sz w:val="20"/>
                <w:szCs w:val="20"/>
                <w:color w:val="auto"/>
              </w:rPr>
            </w:pPr>
            <w:r>
              <w:rPr>
                <w:rFonts w:ascii="Arial" w:cs="Arial" w:eastAsia="Arial" w:hAnsi="Arial"/>
                <w:sz w:val="17"/>
                <w:szCs w:val="17"/>
                <w:color w:val="auto"/>
              </w:rPr>
              <w:t>57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30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revenue</w:t>
            </w:r>
          </w:p>
        </w:tc>
        <w:tc>
          <w:tcPr>
            <w:tcW w:w="1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9,714</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15,619</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5,905</w:t>
            </w:r>
          </w:p>
        </w:tc>
        <w:tc>
          <w:tcPr>
            <w:tcW w:w="16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3060" w:type="dxa"/>
            <w:vAlign w:val="bottom"/>
          </w:tcPr>
          <w:p>
            <w:pPr>
              <w:ind w:left="480"/>
              <w:spacing w:after="0" w:line="194" w:lineRule="exact"/>
              <w:rPr>
                <w:sz w:val="20"/>
                <w:szCs w:val="20"/>
                <w:color w:val="auto"/>
              </w:rPr>
            </w:pPr>
            <w:r>
              <w:rPr>
                <w:rFonts w:ascii="Arial" w:cs="Arial" w:eastAsia="Arial" w:hAnsi="Arial"/>
                <w:sz w:val="17"/>
                <w:szCs w:val="17"/>
                <w:color w:val="auto"/>
              </w:rPr>
              <w:t>Total revenue</w:t>
            </w:r>
          </w:p>
        </w:tc>
        <w:tc>
          <w:tcPr>
            <w:tcW w:w="140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76,790</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120,658</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43,868</w:t>
            </w:r>
          </w:p>
        </w:tc>
        <w:tc>
          <w:tcPr>
            <w:tcW w:w="1680" w:type="dxa"/>
            <w:vAlign w:val="bottom"/>
          </w:tcPr>
          <w:p>
            <w:pPr>
              <w:jc w:val="right"/>
              <w:ind w:right="176"/>
              <w:spacing w:after="0"/>
              <w:rPr>
                <w:sz w:val="20"/>
                <w:szCs w:val="20"/>
                <w:color w:val="auto"/>
              </w:rPr>
            </w:pPr>
            <w:r>
              <w:rPr>
                <w:rFonts w:ascii="Arial" w:cs="Arial" w:eastAsia="Arial" w:hAnsi="Arial"/>
                <w:sz w:val="17"/>
                <w:szCs w:val="17"/>
                <w:color w:val="auto"/>
              </w:rPr>
              <w:t>57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 xml:space="preserve">For the three months ended June 30, 2021, total revenue increased by </w:t>
      </w:r>
      <w:r>
        <w:rPr>
          <w:rFonts w:ascii="Arial" w:cs="Arial" w:eastAsia="Arial" w:hAnsi="Arial"/>
          <w:sz w:val="18"/>
          <w:szCs w:val="18"/>
          <w:color w:val="231F20"/>
        </w:rPr>
        <w:t>$43.9 million</w:t>
      </w:r>
      <w:r>
        <w:rPr>
          <w:rFonts w:ascii="Arial" w:cs="Arial" w:eastAsia="Arial" w:hAnsi="Arial"/>
          <w:sz w:val="18"/>
          <w:szCs w:val="18"/>
          <w:color w:val="auto"/>
        </w:rPr>
        <w:t xml:space="preserve">, or 57%, and CPaaS revenue increased by </w:t>
      </w:r>
      <w:r>
        <w:rPr>
          <w:rFonts w:ascii="Arial" w:cs="Arial" w:eastAsia="Arial" w:hAnsi="Arial"/>
          <w:sz w:val="18"/>
          <w:szCs w:val="18"/>
          <w:color w:val="231F20"/>
        </w:rPr>
        <w:t>$38.0 million</w:t>
      </w:r>
      <w:r>
        <w:rPr>
          <w:rFonts w:ascii="Arial" w:cs="Arial" w:eastAsia="Arial" w:hAnsi="Arial"/>
          <w:sz w:val="18"/>
          <w:szCs w:val="18"/>
          <w:color w:val="auto"/>
        </w:rPr>
        <w:t xml:space="preserve">, or 57%, compared to the same period in 2020. Our </w:t>
      </w:r>
      <w:r>
        <w:rPr>
          <w:rFonts w:ascii="Arial" w:cs="Arial" w:eastAsia="Arial" w:hAnsi="Arial"/>
          <w:sz w:val="18"/>
          <w:szCs w:val="18"/>
          <w:color w:val="231F20"/>
        </w:rPr>
        <w:t>Acquisition contributed $26.9 million of this increase of total revenue and $26.0 million to CPaaS</w:t>
      </w:r>
      <w:r>
        <w:rPr>
          <w:rFonts w:ascii="Arial" w:cs="Arial" w:eastAsia="Arial" w:hAnsi="Arial"/>
          <w:sz w:val="18"/>
          <w:szCs w:val="18"/>
          <w:color w:val="auto"/>
        </w:rPr>
        <w:t xml:space="preserve"> </w:t>
      </w:r>
      <w:r>
        <w:rPr>
          <w:rFonts w:ascii="Arial" w:cs="Arial" w:eastAsia="Arial" w:hAnsi="Arial"/>
          <w:sz w:val="18"/>
          <w:szCs w:val="18"/>
          <w:color w:val="231F20"/>
        </w:rPr>
        <w:t xml:space="preserve">revenue. Excluding the higher amounts attributable to the Acquisition, revenue from all of our CPaaS offerings </w:t>
      </w:r>
      <w:r>
        <w:rPr>
          <w:rFonts w:ascii="Arial" w:cs="Arial" w:eastAsia="Arial" w:hAnsi="Arial"/>
          <w:sz w:val="18"/>
          <w:szCs w:val="18"/>
          <w:color w:val="000000"/>
        </w:rPr>
        <w:t>increased</w:t>
      </w:r>
      <w:r>
        <w:rPr>
          <w:rFonts w:ascii="Arial" w:cs="Arial" w:eastAsia="Arial" w:hAnsi="Arial"/>
          <w:sz w:val="18"/>
          <w:szCs w:val="18"/>
          <w:color w:val="231F20"/>
        </w:rPr>
        <w:t xml:space="preserve"> from the same period in </w:t>
      </w:r>
      <w:r>
        <w:rPr>
          <w:rFonts w:ascii="Arial" w:cs="Arial" w:eastAsia="Arial" w:hAnsi="Arial"/>
          <w:sz w:val="18"/>
          <w:szCs w:val="18"/>
          <w:color w:val="000000"/>
        </w:rPr>
        <w:t>2020</w:t>
      </w:r>
      <w:r>
        <w:rPr>
          <w:rFonts w:ascii="Arial" w:cs="Arial" w:eastAsia="Arial" w:hAnsi="Arial"/>
          <w:sz w:val="18"/>
          <w:szCs w:val="18"/>
          <w:color w:val="231F20"/>
        </w:rPr>
        <w:t xml:space="preserve"> led by growth in our phone number services and 911-enabled phone number services of $5.9 million and voice and messaging offerings of $4.3 million. </w:t>
      </w:r>
      <w:r>
        <w:rPr>
          <w:rFonts w:ascii="Arial" w:cs="Arial" w:eastAsia="Arial" w:hAnsi="Arial"/>
          <w:sz w:val="18"/>
          <w:szCs w:val="18"/>
          <w:color w:val="000000"/>
        </w:rPr>
        <w:t xml:space="preserve">Across our CPaaS offerings, slightly higher usage pricing benefited CPaaS revenue by </w:t>
      </w:r>
      <w:r>
        <w:rPr>
          <w:rFonts w:ascii="Arial" w:cs="Arial" w:eastAsia="Arial" w:hAnsi="Arial"/>
          <w:sz w:val="18"/>
          <w:szCs w:val="18"/>
          <w:color w:val="231F20"/>
        </w:rPr>
        <w:t>$1.8 million</w:t>
      </w:r>
      <w:r>
        <w:rPr>
          <w:rFonts w:ascii="Arial" w:cs="Arial" w:eastAsia="Arial" w:hAnsi="Arial"/>
          <w:sz w:val="18"/>
          <w:szCs w:val="18"/>
          <w:color w:val="000000"/>
        </w:rPr>
        <w:t xml:space="preserve"> with the remaining increase in CPaaS revenue driven by usage volume growth. </w:t>
      </w:r>
      <w:r>
        <w:rPr>
          <w:rFonts w:ascii="Arial" w:cs="Arial" w:eastAsia="Arial" w:hAnsi="Arial"/>
          <w:sz w:val="18"/>
          <w:szCs w:val="18"/>
          <w:color w:val="231F20"/>
        </w:rPr>
        <w:t>These benefits in pricing and usage volume period over period were reflected in our dollar-based net retention rate of</w:t>
      </w:r>
      <w:r>
        <w:rPr>
          <w:rFonts w:ascii="Arial" w:cs="Arial" w:eastAsia="Arial" w:hAnsi="Arial"/>
          <w:sz w:val="18"/>
          <w:szCs w:val="18"/>
          <w:color w:val="000000"/>
        </w:rPr>
        <w:t xml:space="preserve"> </w:t>
      </w:r>
      <w:r>
        <w:rPr>
          <w:rFonts w:ascii="Arial" w:cs="Arial" w:eastAsia="Arial" w:hAnsi="Arial"/>
          <w:sz w:val="18"/>
          <w:szCs w:val="18"/>
          <w:color w:val="231F20"/>
        </w:rPr>
        <w:t>114%. Revenue from new CPaaS customers also contributed $2.4 million, or 4%, to CPaaS revenue for 2021 compared to $3.3 million, or 7%, in the same period in 2020.</w:t>
      </w:r>
    </w:p>
    <w:p>
      <w:pPr>
        <w:spacing w:after="0" w:line="120" w:lineRule="exact"/>
        <w:rPr>
          <w:sz w:val="20"/>
          <w:szCs w:val="20"/>
          <w:color w:val="auto"/>
        </w:rPr>
      </w:pPr>
    </w:p>
    <w:p>
      <w:pPr>
        <w:jc w:val="both"/>
        <w:ind w:firstLine="605"/>
        <w:spacing w:after="0" w:line="311" w:lineRule="auto"/>
        <w:rPr>
          <w:sz w:val="20"/>
          <w:szCs w:val="20"/>
          <w:color w:val="auto"/>
        </w:rPr>
      </w:pPr>
      <w:r>
        <w:rPr>
          <w:rFonts w:ascii="Arial" w:cs="Arial" w:eastAsia="Arial" w:hAnsi="Arial"/>
          <w:sz w:val="17"/>
          <w:szCs w:val="17"/>
          <w:color w:val="231F20"/>
        </w:rPr>
        <w:t xml:space="preserve">The increase in usage was also attributable to a 61% increase in the number of active CPaaS customer accounts, from 1,900 as of June 30, 2020 to 3,051 as of June 30, 2021. </w:t>
      </w:r>
      <w:r>
        <w:rPr>
          <w:rFonts w:ascii="Arial" w:cs="Arial" w:eastAsia="Arial" w:hAnsi="Arial"/>
          <w:sz w:val="17"/>
          <w:szCs w:val="17"/>
          <w:color w:val="000000"/>
        </w:rPr>
        <w:t>As a percentage of total revenue, CPaaS revenue remained at 87% from 2020 to the same period in</w:t>
      </w:r>
      <w:r>
        <w:rPr>
          <w:rFonts w:ascii="Arial" w:cs="Arial" w:eastAsia="Arial" w:hAnsi="Arial"/>
          <w:sz w:val="17"/>
          <w:szCs w:val="17"/>
          <w:color w:val="231F20"/>
        </w:rPr>
        <w:t xml:space="preserve"> 2021</w:t>
      </w:r>
      <w:r>
        <w:rPr>
          <w:rFonts w:ascii="Arial" w:cs="Arial" w:eastAsia="Arial" w:hAnsi="Arial"/>
          <w:sz w:val="17"/>
          <w:szCs w:val="17"/>
          <w:color w:val="000000"/>
        </w:rPr>
        <w:t>.</w:t>
      </w:r>
    </w:p>
    <w:p>
      <w:pPr>
        <w:spacing w:after="0" w:line="7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 xml:space="preserve">Other revenue increased by $5.9 million, or 61%, in 2021 primarily due to higher indirect revenue, which increased by $5.2 million primarily due to an increase in messaging surcharges and indirect voice revenue, and $1.0 million due to the Acquisition. Legacy revenue, as expected, continued to decline and decreased by $0.3 million, compared to the same period in </w:t>
      </w:r>
      <w:r>
        <w:rPr>
          <w:rFonts w:ascii="Arial" w:cs="Arial" w:eastAsia="Arial" w:hAnsi="Arial"/>
          <w:sz w:val="18"/>
          <w:szCs w:val="18"/>
          <w:color w:val="000000"/>
        </w:rPr>
        <w:t>2020</w:t>
      </w:r>
      <w:r>
        <w:rPr>
          <w:rFonts w:ascii="Arial" w:cs="Arial" w:eastAsia="Arial" w:hAnsi="Arial"/>
          <w:sz w:val="18"/>
          <w:szCs w:val="18"/>
          <w:color w:val="231F20"/>
        </w:rPr>
        <w: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Cost of Revenue and Gross Margin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spacing w:after="0"/>
              <w:rPr>
                <w:sz w:val="18"/>
                <w:szCs w:val="18"/>
                <w:color w:val="auto"/>
              </w:rPr>
            </w:pPr>
          </w:p>
        </w:tc>
        <w:tc>
          <w:tcPr>
            <w:tcW w:w="3820" w:type="dxa"/>
            <w:vAlign w:val="bottom"/>
            <w:gridSpan w:val="6"/>
          </w:tcPr>
          <w:p>
            <w:pPr>
              <w:ind w:left="800"/>
              <w:spacing w:after="0"/>
              <w:rPr>
                <w:sz w:val="20"/>
                <w:szCs w:val="20"/>
                <w:color w:val="auto"/>
              </w:rPr>
            </w:pPr>
            <w:r>
              <w:rPr>
                <w:rFonts w:ascii="Arial" w:cs="Arial" w:eastAsia="Arial" w:hAnsi="Arial"/>
                <w:sz w:val="17"/>
                <w:szCs w:val="17"/>
                <w:b w:val="1"/>
                <w:bCs w:val="1"/>
                <w:color w:val="auto"/>
              </w:rPr>
              <w:t>Three months ended June 30,</w:t>
            </w: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7"/>
        </w:trPr>
        <w:tc>
          <w:tcPr>
            <w:tcW w:w="39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600"/>
              <w:spacing w:after="0"/>
              <w:rPr>
                <w:sz w:val="20"/>
                <w:szCs w:val="20"/>
                <w:color w:val="auto"/>
              </w:rPr>
            </w:pPr>
            <w:r>
              <w:rPr>
                <w:rFonts w:ascii="Arial" w:cs="Arial" w:eastAsia="Arial" w:hAnsi="Arial"/>
                <w:sz w:val="17"/>
                <w:szCs w:val="17"/>
                <w:b w:val="1"/>
                <w:bCs w:val="1"/>
                <w:color w:val="auto"/>
              </w:rPr>
              <w:t>Change</w:t>
            </w:r>
          </w:p>
        </w:tc>
        <w:tc>
          <w:tcPr>
            <w:tcW w:w="960" w:type="dxa"/>
            <w:vAlign w:val="bottom"/>
            <w:tcBorders>
              <w:bottom w:val="single" w:sz="8" w:color="auto"/>
            </w:tcBorders>
          </w:tcPr>
          <w:p>
            <w:pPr>
              <w:spacing w:after="0"/>
              <w:rPr>
                <w:sz w:val="18"/>
                <w:szCs w:val="18"/>
                <w:color w:val="auto"/>
              </w:rPr>
            </w:pPr>
          </w:p>
        </w:tc>
      </w:tr>
      <w:tr>
        <w:trPr>
          <w:trHeight w:val="245"/>
        </w:trPr>
        <w:tc>
          <w:tcPr>
            <w:tcW w:w="3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3"/>
          </w:tcPr>
          <w:p>
            <w:pPr>
              <w:jc w:val="right"/>
              <w:ind w:right="136"/>
              <w:spacing w:after="0"/>
              <w:rPr>
                <w:sz w:val="20"/>
                <w:szCs w:val="20"/>
                <w:color w:val="auto"/>
              </w:rPr>
            </w:pPr>
            <w:r>
              <w:rPr>
                <w:rFonts w:ascii="Arial" w:cs="Arial" w:eastAsia="Arial" w:hAnsi="Arial"/>
                <w:sz w:val="17"/>
                <w:szCs w:val="17"/>
                <w:b w:val="1"/>
                <w:bCs w:val="1"/>
                <w:color w:val="auto"/>
              </w:rPr>
              <w:t>(Dollars in thousands)</w:t>
            </w: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 of revenue:</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3940" w:type="dxa"/>
            <w:vAlign w:val="bottom"/>
          </w:tcPr>
          <w:p>
            <w:pPr>
              <w:ind w:left="20"/>
              <w:spacing w:after="0"/>
              <w:rPr>
                <w:sz w:val="20"/>
                <w:szCs w:val="20"/>
                <w:color w:val="auto"/>
              </w:rPr>
            </w:pPr>
            <w:r>
              <w:rPr>
                <w:rFonts w:ascii="Arial" w:cs="Arial" w:eastAsia="Arial" w:hAnsi="Arial"/>
                <w:sz w:val="17"/>
                <w:szCs w:val="17"/>
                <w:color w:val="auto"/>
              </w:rPr>
              <w:t>CPaaS cost of revenue</w:t>
            </w:r>
          </w:p>
        </w:tc>
        <w:tc>
          <w:tcPr>
            <w:tcW w:w="1100" w:type="dxa"/>
            <w:vAlign w:val="bottom"/>
          </w:tcPr>
          <w:p>
            <w:pPr>
              <w:jc w:val="right"/>
              <w:ind w:right="91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36"/>
              <w:spacing w:after="0"/>
              <w:rPr>
                <w:sz w:val="20"/>
                <w:szCs w:val="20"/>
                <w:color w:val="auto"/>
              </w:rPr>
            </w:pPr>
            <w:r>
              <w:rPr>
                <w:rFonts w:ascii="Arial" w:cs="Arial" w:eastAsia="Arial" w:hAnsi="Arial"/>
                <w:sz w:val="17"/>
                <w:szCs w:val="17"/>
                <w:color w:val="auto"/>
                <w:w w:val="92"/>
              </w:rPr>
              <w:t>37,229</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36"/>
              <w:spacing w:after="0"/>
              <w:rPr>
                <w:sz w:val="20"/>
                <w:szCs w:val="20"/>
                <w:color w:val="auto"/>
              </w:rPr>
            </w:pPr>
            <w:r>
              <w:rPr>
                <w:rFonts w:ascii="Arial" w:cs="Arial" w:eastAsia="Arial" w:hAnsi="Arial"/>
                <w:sz w:val="17"/>
                <w:szCs w:val="17"/>
                <w:color w:val="auto"/>
              </w:rPr>
              <w:t>56,094</w:t>
            </w:r>
          </w:p>
        </w:tc>
        <w:tc>
          <w:tcPr>
            <w:tcW w:w="10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18,865</w:t>
            </w:r>
          </w:p>
        </w:tc>
        <w:tc>
          <w:tcPr>
            <w:tcW w:w="9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51 %</w:t>
            </w: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cost of revenue</w:t>
            </w:r>
          </w:p>
        </w:tc>
        <w:tc>
          <w:tcPr>
            <w:tcW w:w="1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4,780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9,965</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5,185</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108 %</w:t>
            </w:r>
          </w:p>
        </w:tc>
      </w:tr>
      <w:tr>
        <w:trPr>
          <w:trHeight w:val="207"/>
        </w:trPr>
        <w:tc>
          <w:tcPr>
            <w:tcW w:w="3940" w:type="dxa"/>
            <w:vAlign w:val="bottom"/>
          </w:tcPr>
          <w:p>
            <w:pPr>
              <w:ind w:left="20"/>
              <w:spacing w:after="0" w:line="194" w:lineRule="exact"/>
              <w:rPr>
                <w:sz w:val="20"/>
                <w:szCs w:val="20"/>
                <w:color w:val="auto"/>
              </w:rPr>
            </w:pPr>
            <w:r>
              <w:rPr>
                <w:rFonts w:ascii="Arial" w:cs="Arial" w:eastAsia="Arial" w:hAnsi="Arial"/>
                <w:sz w:val="17"/>
                <w:szCs w:val="17"/>
                <w:color w:val="auto"/>
              </w:rPr>
              <w:t>Total cost of revenue</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92"/>
              </w:rPr>
              <w:t>42,009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66,059</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24,050</w:t>
            </w:r>
          </w:p>
        </w:tc>
        <w:tc>
          <w:tcPr>
            <w:tcW w:w="9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57 %</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10"/>
        </w:trPr>
        <w:tc>
          <w:tcPr>
            <w:tcW w:w="394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Gross profit</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92"/>
              </w:rPr>
              <w:t>34,781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54,599</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19,818</w:t>
            </w:r>
          </w:p>
        </w:tc>
        <w:tc>
          <w:tcPr>
            <w:tcW w:w="9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4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Gross margin:</w:t>
            </w: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860" w:type="dxa"/>
            <w:vAlign w:val="bottom"/>
          </w:tcPr>
          <w:p>
            <w:pPr>
              <w:spacing w:after="0"/>
              <w:rPr>
                <w:sz w:val="16"/>
                <w:szCs w:val="16"/>
                <w:color w:val="auto"/>
              </w:rPr>
            </w:pPr>
          </w:p>
        </w:tc>
      </w:tr>
      <w:tr>
        <w:trPr>
          <w:trHeight w:val="214"/>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CPaaS</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4"/>
        </w:trPr>
        <w:tc>
          <w:tcPr>
            <w:tcW w:w="3940" w:type="dxa"/>
            <w:vAlign w:val="bottom"/>
          </w:tcPr>
          <w:p>
            <w:pPr>
              <w:ind w:left="20"/>
              <w:spacing w:after="0"/>
              <w:rPr>
                <w:sz w:val="20"/>
                <w:szCs w:val="20"/>
                <w:color w:val="auto"/>
              </w:rPr>
            </w:pPr>
            <w:r>
              <w:rPr>
                <w:rFonts w:ascii="Arial" w:cs="Arial" w:eastAsia="Arial" w:hAnsi="Arial"/>
                <w:sz w:val="17"/>
                <w:szCs w:val="17"/>
                <w:color w:val="auto"/>
              </w:rPr>
              <w:t>Other</w:t>
            </w:r>
          </w:p>
        </w:tc>
        <w:tc>
          <w:tcPr>
            <w:tcW w:w="1820" w:type="dxa"/>
            <w:vAlign w:val="bottom"/>
          </w:tcPr>
          <w:p>
            <w:pPr>
              <w:jc w:val="right"/>
              <w:spacing w:after="0"/>
              <w:rPr>
                <w:sz w:val="20"/>
                <w:szCs w:val="20"/>
                <w:color w:val="auto"/>
              </w:rPr>
            </w:pPr>
            <w:r>
              <w:rPr>
                <w:rFonts w:ascii="Arial" w:cs="Arial" w:eastAsia="Arial" w:hAnsi="Arial"/>
                <w:sz w:val="17"/>
                <w:szCs w:val="17"/>
                <w:color w:val="auto"/>
              </w:rPr>
              <w:t>51 %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36 %</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gross margin</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 xml:space="preserve">For the three months ended June 30, 2021, </w:t>
      </w:r>
      <w:r>
        <w:rPr>
          <w:rFonts w:ascii="Arial" w:cs="Arial" w:eastAsia="Arial" w:hAnsi="Arial"/>
          <w:sz w:val="18"/>
          <w:szCs w:val="18"/>
          <w:color w:val="231F20"/>
        </w:rPr>
        <w:t>total gross profit increased by $19.8 million, or 57%, compared to the same period in 2020</w:t>
      </w:r>
      <w:r>
        <w:rPr>
          <w:rFonts w:ascii="Arial" w:cs="Arial" w:eastAsia="Arial" w:hAnsi="Arial"/>
          <w:sz w:val="18"/>
          <w:szCs w:val="18"/>
          <w:color w:val="auto"/>
        </w:rPr>
        <w:t xml:space="preserve">. Total gross margins were 45% for the three months ended June 30, 2020 and 2021. For the three months ended June 30, 2021, </w:t>
      </w:r>
      <w:r>
        <w:rPr>
          <w:rFonts w:ascii="Arial" w:cs="Arial" w:eastAsia="Arial" w:hAnsi="Arial"/>
          <w:sz w:val="18"/>
          <w:szCs w:val="18"/>
          <w:color w:val="231F20"/>
        </w:rPr>
        <w:t>CPaaS cost of revenue</w:t>
      </w:r>
      <w:r>
        <w:rPr>
          <w:rFonts w:ascii="Arial" w:cs="Arial" w:eastAsia="Arial" w:hAnsi="Arial"/>
          <w:sz w:val="18"/>
          <w:szCs w:val="18"/>
          <w:color w:val="auto"/>
        </w:rPr>
        <w:t xml:space="preserve"> </w:t>
      </w:r>
      <w:r>
        <w:rPr>
          <w:rFonts w:ascii="Arial" w:cs="Arial" w:eastAsia="Arial" w:hAnsi="Arial"/>
          <w:sz w:val="18"/>
          <w:szCs w:val="18"/>
          <w:color w:val="231F20"/>
        </w:rPr>
        <w:t>increased by $18.9 million, or 51%, compared to the same period in 2020. CPaaS cost of revenue increased due to an increase in voice usage costs of $7.3 million due to growth in minutes used by customers. Cost of messaging increased by $2.7 million due to growth in messages used by customers, in addition to an increased cost per message.</w:t>
      </w:r>
    </w:p>
    <w:p>
      <w:pPr>
        <w:spacing w:after="0" w:line="119" w:lineRule="exact"/>
        <w:rPr>
          <w:sz w:val="20"/>
          <w:szCs w:val="20"/>
          <w:color w:val="auto"/>
        </w:rPr>
      </w:pPr>
    </w:p>
    <w:p>
      <w:pPr>
        <w:jc w:val="both"/>
        <w:ind w:firstLine="605"/>
        <w:spacing w:after="0" w:line="311" w:lineRule="auto"/>
        <w:rPr>
          <w:sz w:val="20"/>
          <w:szCs w:val="20"/>
          <w:color w:val="auto"/>
        </w:rPr>
      </w:pPr>
      <w:r>
        <w:rPr>
          <w:rFonts w:ascii="Arial" w:cs="Arial" w:eastAsia="Arial" w:hAnsi="Arial"/>
          <w:sz w:val="17"/>
          <w:szCs w:val="17"/>
          <w:color w:val="231F20"/>
        </w:rPr>
        <w:t>Network costs also increased $6.2 million due to network expansions and amortization expense. Cost of phone numbers and 911 increased by $2.7 million. CPaaS gross margin increased from 44% to 47% for the three months ended June 30, 2020 and 2021, respectively.</w:t>
      </w:r>
    </w:p>
    <w:p>
      <w:pPr>
        <w:spacing w:after="0" w:line="73"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231F20"/>
        </w:rPr>
        <w:t xml:space="preserve">Excluding depreciation, amortization and stock-based compensation of $2.3 million for the three months ended June 30, 2020 </w:t>
      </w:r>
      <w:r>
        <w:rPr>
          <w:rFonts w:ascii="Arial" w:cs="Arial" w:eastAsia="Arial" w:hAnsi="Arial"/>
          <w:sz w:val="18"/>
          <w:szCs w:val="18"/>
          <w:color w:val="000000"/>
        </w:rPr>
        <w:t>and</w:t>
      </w:r>
      <w:r>
        <w:rPr>
          <w:rFonts w:ascii="Arial" w:cs="Arial" w:eastAsia="Arial" w:hAnsi="Arial"/>
          <w:sz w:val="18"/>
          <w:szCs w:val="18"/>
          <w:color w:val="231F20"/>
        </w:rPr>
        <w:t xml:space="preserve"> $5.2 million for the three months ended June 30, 2021, CPaaS Non-GAAP gross margins were 48% and 52%, and total Non-GAAP gross margins were 48% and 50% </w:t>
      </w:r>
      <w:r>
        <w:rPr>
          <w:rFonts w:ascii="Arial" w:cs="Arial" w:eastAsia="Arial" w:hAnsi="Arial"/>
          <w:sz w:val="18"/>
          <w:szCs w:val="18"/>
          <w:color w:val="000000"/>
        </w:rPr>
        <w:t>for the three months ended June 30, 2020 and 2021, respectively</w:t>
      </w:r>
      <w:r>
        <w:rPr>
          <w:rFonts w:ascii="Arial" w:cs="Arial" w:eastAsia="Arial" w:hAnsi="Arial"/>
          <w:sz w:val="18"/>
          <w:szCs w:val="18"/>
          <w:color w:val="231F20"/>
        </w:rPr>
        <w:t>. The increase Non-GAAP gross margins were mostly due to the inclusion of higher margin Voxbone business.</w:t>
      </w:r>
    </w:p>
    <w:p>
      <w:pPr>
        <w:spacing w:after="0" w:line="115"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For the three months ended June 30, 2021, o</w:t>
      </w:r>
      <w:r>
        <w:rPr>
          <w:rFonts w:ascii="Arial" w:cs="Arial" w:eastAsia="Arial" w:hAnsi="Arial"/>
          <w:sz w:val="18"/>
          <w:szCs w:val="18"/>
          <w:color w:val="231F20"/>
        </w:rPr>
        <w:t>ther cost of revenue increased by $5.2 million compared to the same period in 2020, due to indirect</w:t>
      </w:r>
      <w:r>
        <w:rPr>
          <w:rFonts w:ascii="Arial" w:cs="Arial" w:eastAsia="Arial" w:hAnsi="Arial"/>
          <w:sz w:val="18"/>
          <w:szCs w:val="18"/>
          <w:color w:val="auto"/>
        </w:rPr>
        <w:t xml:space="preserve"> </w:t>
      </w:r>
      <w:r>
        <w:rPr>
          <w:rFonts w:ascii="Arial" w:cs="Arial" w:eastAsia="Arial" w:hAnsi="Arial"/>
          <w:sz w:val="18"/>
          <w:szCs w:val="18"/>
          <w:color w:val="231F20"/>
        </w:rPr>
        <w:t>revenue related to messaging surcharges.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3600" w:type="dxa"/>
            <w:vAlign w:val="bottom"/>
            <w:gridSpan w:val="6"/>
          </w:tcPr>
          <w:p>
            <w:pPr>
              <w:ind w:left="660"/>
              <w:spacing w:after="0"/>
              <w:rPr>
                <w:sz w:val="20"/>
                <w:szCs w:val="20"/>
                <w:color w:val="auto"/>
              </w:rPr>
            </w:pPr>
            <w:r>
              <w:rPr>
                <w:rFonts w:ascii="Arial" w:cs="Arial" w:eastAsia="Arial" w:hAnsi="Arial"/>
                <w:sz w:val="17"/>
                <w:szCs w:val="17"/>
                <w:b w:val="1"/>
                <w:bCs w:val="1"/>
                <w:color w:val="auto"/>
              </w:rPr>
              <w:t>Three Months Ended June 30,</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7"/>
        </w:trPr>
        <w:tc>
          <w:tcPr>
            <w:tcW w:w="40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540"/>
              <w:spacing w:after="0"/>
              <w:rPr>
                <w:sz w:val="20"/>
                <w:szCs w:val="20"/>
                <w:color w:val="auto"/>
              </w:rPr>
            </w:pPr>
            <w:r>
              <w:rPr>
                <w:rFonts w:ascii="Arial" w:cs="Arial" w:eastAsia="Arial" w:hAnsi="Arial"/>
                <w:sz w:val="17"/>
                <w:szCs w:val="17"/>
                <w:b w:val="1"/>
                <w:bCs w:val="1"/>
                <w:color w:val="auto"/>
              </w:rPr>
              <w:t>Change</w:t>
            </w:r>
          </w:p>
        </w:tc>
        <w:tc>
          <w:tcPr>
            <w:tcW w:w="940" w:type="dxa"/>
            <w:vAlign w:val="bottom"/>
            <w:tcBorders>
              <w:bottom w:val="single" w:sz="8" w:color="auto"/>
            </w:tcBorders>
          </w:tcPr>
          <w:p>
            <w:pPr>
              <w:spacing w:after="0"/>
              <w:rPr>
                <w:sz w:val="18"/>
                <w:szCs w:val="18"/>
                <w:color w:val="auto"/>
              </w:rPr>
            </w:pPr>
          </w:p>
        </w:tc>
      </w:tr>
      <w:tr>
        <w:trPr>
          <w:trHeight w:val="245"/>
        </w:trPr>
        <w:tc>
          <w:tcPr>
            <w:tcW w:w="4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3"/>
          </w:tcPr>
          <w:p>
            <w:pPr>
              <w:jc w:val="right"/>
              <w:ind w:right="96"/>
              <w:spacing w:after="0"/>
              <w:rPr>
                <w:sz w:val="20"/>
                <w:szCs w:val="20"/>
                <w:color w:val="auto"/>
              </w:rPr>
            </w:pPr>
            <w:r>
              <w:rPr>
                <w:rFonts w:ascii="Arial" w:cs="Arial" w:eastAsia="Arial" w:hAnsi="Arial"/>
                <w:sz w:val="17"/>
                <w:szCs w:val="17"/>
                <w:b w:val="1"/>
                <w:bCs w:val="1"/>
                <w:color w:val="auto"/>
              </w:rPr>
              <w:t>(Dollars in thousands)</w:t>
            </w: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14"/>
        </w:trPr>
        <w:tc>
          <w:tcPr>
            <w:tcW w:w="408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8,655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12,584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3,929</w:t>
            </w:r>
          </w:p>
        </w:tc>
        <w:tc>
          <w:tcPr>
            <w:tcW w:w="9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45 %</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16,840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28,264</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11,424</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68 %</w:t>
            </w:r>
          </w:p>
        </w:tc>
      </w:tr>
      <w:tr>
        <w:trPr>
          <w:trHeight w:val="207"/>
        </w:trPr>
        <w:tc>
          <w:tcPr>
            <w:tcW w:w="4080" w:type="dxa"/>
            <w:vAlign w:val="bottom"/>
          </w:tcPr>
          <w:p>
            <w:pPr>
              <w:ind w:left="20"/>
              <w:spacing w:after="0" w:line="194" w:lineRule="exact"/>
              <w:rPr>
                <w:sz w:val="20"/>
                <w:szCs w:val="20"/>
                <w:color w:val="auto"/>
              </w:rPr>
            </w:pPr>
            <w:r>
              <w:rPr>
                <w:rFonts w:ascii="Arial" w:cs="Arial" w:eastAsia="Arial" w:hAnsi="Arial"/>
                <w:sz w:val="17"/>
                <w:szCs w:val="17"/>
                <w:color w:val="auto"/>
              </w:rPr>
              <w:t>Total operating expenses</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35,049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53,665</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18,616</w:t>
            </w:r>
          </w:p>
        </w:tc>
        <w:tc>
          <w:tcPr>
            <w:tcW w:w="9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53 %</w:t>
            </w: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 xml:space="preserve">For the three months ended June 30, 2021, </w:t>
      </w:r>
      <w:r>
        <w:rPr>
          <w:rFonts w:ascii="Arial" w:cs="Arial" w:eastAsia="Arial" w:hAnsi="Arial"/>
          <w:sz w:val="18"/>
          <w:szCs w:val="18"/>
          <w:color w:val="231F20"/>
        </w:rPr>
        <w:t>R&amp;D expenses related to the expansion of our product offerings increased by $3.3 million, or 34%,</w:t>
      </w:r>
      <w:r>
        <w:rPr>
          <w:rFonts w:ascii="Arial" w:cs="Arial" w:eastAsia="Arial" w:hAnsi="Arial"/>
          <w:sz w:val="18"/>
          <w:szCs w:val="18"/>
          <w:color w:val="auto"/>
        </w:rPr>
        <w:t xml:space="preserve"> </w:t>
      </w:r>
      <w:r>
        <w:rPr>
          <w:rFonts w:ascii="Arial" w:cs="Arial" w:eastAsia="Arial" w:hAnsi="Arial"/>
          <w:sz w:val="18"/>
          <w:szCs w:val="18"/>
          <w:color w:val="231F20"/>
        </w:rPr>
        <w:t>compared to the same period in 2020. This increase was primarily due to increased personnel costs of $2.5 million including the impact of growth in headcount as a result of the Acquisition.</w:t>
      </w:r>
    </w:p>
    <w:p>
      <w:pPr>
        <w:spacing w:after="0" w:line="111"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For the three months ended June 30, 2021, sales and marketing expenses increased by $3.9 million, or 45%, compared to th</w:t>
      </w:r>
      <w:r>
        <w:rPr>
          <w:rFonts w:ascii="Arial" w:cs="Arial" w:eastAsia="Arial" w:hAnsi="Arial"/>
          <w:sz w:val="18"/>
          <w:szCs w:val="18"/>
          <w:color w:val="231F20"/>
        </w:rPr>
        <w:t>e period in 2020,</w:t>
      </w:r>
      <w:r>
        <w:rPr>
          <w:rFonts w:ascii="Arial" w:cs="Arial" w:eastAsia="Arial" w:hAnsi="Arial"/>
          <w:sz w:val="18"/>
          <w:szCs w:val="18"/>
          <w:color w:val="auto"/>
        </w:rPr>
        <w:t xml:space="preserve"> </w:t>
      </w:r>
      <w:r>
        <w:rPr>
          <w:rFonts w:ascii="Arial" w:cs="Arial" w:eastAsia="Arial" w:hAnsi="Arial"/>
          <w:sz w:val="18"/>
          <w:szCs w:val="18"/>
          <w:color w:val="231F20"/>
        </w:rPr>
        <w:t>primarily due to an overall increase in sales personnel costs of $2.5 million including the impact of growth in headcount as a result of the Acquisition, and an increase in non-headcount costs of $1.4 million.</w:t>
      </w:r>
    </w:p>
    <w:p>
      <w:pPr>
        <w:spacing w:after="0" w:line="111"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For the three months ended June 30, 2021, g</w:t>
      </w:r>
      <w:r>
        <w:rPr>
          <w:rFonts w:ascii="Arial" w:cs="Arial" w:eastAsia="Arial" w:hAnsi="Arial"/>
          <w:sz w:val="17"/>
          <w:szCs w:val="17"/>
          <w:color w:val="231F20"/>
        </w:rPr>
        <w:t>eneral and administrative expenses increased by $11.4 million</w:t>
      </w:r>
      <w:r>
        <w:rPr>
          <w:rFonts w:ascii="Arial" w:cs="Arial" w:eastAsia="Arial" w:hAnsi="Arial"/>
          <w:sz w:val="17"/>
          <w:szCs w:val="17"/>
          <w:color w:val="auto"/>
        </w:rPr>
        <w:t xml:space="preserve">, </w:t>
      </w:r>
      <w:r>
        <w:rPr>
          <w:rFonts w:ascii="Arial" w:cs="Arial" w:eastAsia="Arial" w:hAnsi="Arial"/>
          <w:sz w:val="17"/>
          <w:szCs w:val="17"/>
          <w:color w:val="231F20"/>
        </w:rPr>
        <w:t>or 68%,</w:t>
      </w:r>
      <w:r>
        <w:rPr>
          <w:rFonts w:ascii="Arial" w:cs="Arial" w:eastAsia="Arial" w:hAnsi="Arial"/>
          <w:sz w:val="17"/>
          <w:szCs w:val="17"/>
          <w:color w:val="auto"/>
        </w:rPr>
        <w:t xml:space="preserve"> compared to the same period in 2020. </w:t>
      </w:r>
      <w:r>
        <w:rPr>
          <w:rFonts w:ascii="Arial" w:cs="Arial" w:eastAsia="Arial" w:hAnsi="Arial"/>
          <w:sz w:val="17"/>
          <w:szCs w:val="17"/>
          <w:color w:val="231F20"/>
        </w:rPr>
        <w:t>This increase was due to higher personnel cost of $4.0 million due to the impact of growth in headcount as a result of the Acquisition,</w:t>
      </w:r>
      <w:r>
        <w:rPr>
          <w:rFonts w:ascii="Arial" w:cs="Arial" w:eastAsia="Arial" w:hAnsi="Arial"/>
          <w:sz w:val="17"/>
          <w:szCs w:val="17"/>
          <w:color w:val="auto"/>
        </w:rPr>
        <w:t xml:space="preserve"> </w:t>
      </w:r>
      <w:r>
        <w:rPr>
          <w:rFonts w:ascii="Arial" w:cs="Arial" w:eastAsia="Arial" w:hAnsi="Arial"/>
          <w:sz w:val="17"/>
          <w:szCs w:val="17"/>
          <w:color w:val="231F20"/>
        </w:rPr>
        <w:t>depreciation and amortization costs of $3.1 million, professional costs of $1.9 million, facilities costs of $1.1 million, and other costs of $1.3 million.</w:t>
      </w:r>
    </w:p>
    <w:p>
      <w:pPr>
        <w:spacing w:after="0" w:line="9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231F20"/>
        </w:rPr>
        <w:t>As a percentage of revenue, total operating expenses for the three months ended June 30, 2020 and 2021 decreased from 46% to 44%, respectively, as operating expenditures growth exceeded corresponding growth in revenue in 2021.</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Interest Expense, Net</w:t>
      </w:r>
    </w:p>
    <w:p>
      <w:pPr>
        <w:spacing w:after="0" w:line="159"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 xml:space="preserve">For the three months ended June 30, 2021, </w:t>
      </w:r>
      <w:r>
        <w:rPr>
          <w:rFonts w:ascii="Arial" w:cs="Arial" w:eastAsia="Arial" w:hAnsi="Arial"/>
          <w:sz w:val="17"/>
          <w:szCs w:val="17"/>
          <w:color w:val="231F20"/>
        </w:rPr>
        <w:t>interest expense, net increased by $3.8 million compared to the same period in 2020,</w:t>
      </w:r>
      <w:r>
        <w:rPr>
          <w:rFonts w:ascii="Arial" w:cs="Arial" w:eastAsia="Arial" w:hAnsi="Arial"/>
          <w:sz w:val="17"/>
          <w:szCs w:val="17"/>
          <w:color w:val="auto"/>
        </w:rPr>
        <w:t xml:space="preserve"> due to a </w:t>
      </w:r>
      <w:r>
        <w:rPr>
          <w:rFonts w:ascii="Arial" w:cs="Arial" w:eastAsia="Arial" w:hAnsi="Arial"/>
          <w:sz w:val="17"/>
          <w:szCs w:val="17"/>
          <w:color w:val="231F20"/>
        </w:rPr>
        <w:t>$2.9</w:t>
      </w:r>
      <w:r>
        <w:rPr>
          <w:rFonts w:ascii="Arial" w:cs="Arial" w:eastAsia="Arial" w:hAnsi="Arial"/>
          <w:sz w:val="17"/>
          <w:szCs w:val="17"/>
          <w:color w:val="auto"/>
        </w:rPr>
        <w:t xml:space="preserve"> </w:t>
      </w:r>
      <w:r>
        <w:rPr>
          <w:rFonts w:ascii="Arial" w:cs="Arial" w:eastAsia="Arial" w:hAnsi="Arial"/>
          <w:sz w:val="17"/>
          <w:szCs w:val="17"/>
          <w:color w:val="231F20"/>
        </w:rPr>
        <w:t xml:space="preserve">million </w:t>
      </w:r>
      <w:r>
        <w:rPr>
          <w:rFonts w:ascii="Arial" w:cs="Arial" w:eastAsia="Arial" w:hAnsi="Arial"/>
          <w:sz w:val="17"/>
          <w:szCs w:val="17"/>
          <w:color w:val="000000"/>
        </w:rPr>
        <w:t>increase in interest expense related to the Convertible Notes and a $0.8 million decrease in interest income from the investment of follow-on</w:t>
      </w:r>
      <w:r>
        <w:rPr>
          <w:rFonts w:ascii="Arial" w:cs="Arial" w:eastAsia="Arial" w:hAnsi="Arial"/>
          <w:sz w:val="17"/>
          <w:szCs w:val="17"/>
          <w:color w:val="231F20"/>
        </w:rPr>
        <w:t xml:space="preserve"> </w:t>
      </w:r>
      <w:r>
        <w:rPr>
          <w:rFonts w:ascii="Arial" w:cs="Arial" w:eastAsia="Arial" w:hAnsi="Arial"/>
          <w:sz w:val="17"/>
          <w:szCs w:val="17"/>
          <w:color w:val="000000"/>
        </w:rPr>
        <w:t>equity offering proceeds. See Note 8, “Debt” to the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Income Tax Benefit</w:t>
      </w:r>
    </w:p>
    <w:p>
      <w:pPr>
        <w:spacing w:after="0" w:line="159" w:lineRule="exact"/>
        <w:rPr>
          <w:sz w:val="20"/>
          <w:szCs w:val="20"/>
          <w:color w:val="auto"/>
        </w:rPr>
      </w:pPr>
    </w:p>
    <w:p>
      <w:pPr>
        <w:jc w:val="both"/>
        <w:ind w:firstLine="605"/>
        <w:spacing w:after="0" w:line="312" w:lineRule="auto"/>
        <w:rPr>
          <w:sz w:val="20"/>
          <w:szCs w:val="20"/>
          <w:color w:val="auto"/>
        </w:rPr>
      </w:pPr>
      <w:r>
        <w:rPr>
          <w:rFonts w:ascii="Arial" w:cs="Arial" w:eastAsia="Arial" w:hAnsi="Arial"/>
          <w:sz w:val="16"/>
          <w:szCs w:val="16"/>
          <w:color w:val="auto"/>
        </w:rPr>
        <w:t xml:space="preserve">For the three months ended June 30, 2021, </w:t>
      </w:r>
      <w:r>
        <w:rPr>
          <w:rFonts w:ascii="Arial" w:cs="Arial" w:eastAsia="Arial" w:hAnsi="Arial"/>
          <w:sz w:val="16"/>
          <w:szCs w:val="16"/>
          <w:color w:val="231F20"/>
        </w:rPr>
        <w:t>income tax expense decreased by $16.2 million compared to the same period in 2020. The effective</w:t>
      </w:r>
      <w:r>
        <w:rPr>
          <w:rFonts w:ascii="Arial" w:cs="Arial" w:eastAsia="Arial" w:hAnsi="Arial"/>
          <w:sz w:val="16"/>
          <w:szCs w:val="16"/>
          <w:color w:val="auto"/>
        </w:rPr>
        <w:t xml:space="preserve"> </w:t>
      </w:r>
      <w:r>
        <w:rPr>
          <w:rFonts w:ascii="Arial" w:cs="Arial" w:eastAsia="Arial" w:hAnsi="Arial"/>
          <w:sz w:val="16"/>
          <w:szCs w:val="16"/>
          <w:color w:val="231F20"/>
        </w:rPr>
        <w:t xml:space="preserve">tax rate for the three months ended June 30, 2021 was (4.1)% compared to (399.1)% in the same period in 2020. </w:t>
      </w:r>
      <w:r>
        <w:rPr>
          <w:rFonts w:ascii="Arial" w:cs="Arial" w:eastAsia="Arial" w:hAnsi="Arial"/>
          <w:sz w:val="16"/>
          <w:szCs w:val="16"/>
          <w:color w:val="000000"/>
        </w:rPr>
        <w:t>The increase in our effective tax rate is</w:t>
      </w:r>
      <w:r>
        <w:rPr>
          <w:rFonts w:ascii="Arial" w:cs="Arial" w:eastAsia="Arial" w:hAnsi="Arial"/>
          <w:sz w:val="16"/>
          <w:szCs w:val="16"/>
          <w:color w:val="231F20"/>
        </w:rPr>
        <w:t xml:space="preserve"> </w:t>
      </w:r>
      <w:r>
        <w:rPr>
          <w:rFonts w:ascii="Arial" w:cs="Arial" w:eastAsia="Arial" w:hAnsi="Arial"/>
          <w:sz w:val="16"/>
          <w:szCs w:val="16"/>
          <w:color w:val="000000"/>
        </w:rPr>
        <w:t>primarily due to the change in judgment related to the realizability of certain deferred tax assets and the resulting valuation allowance.</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231F20"/>
        </w:rPr>
        <w:t>Comparison of the six months ended June 30, 2020 and 2021</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Revenue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80" w:type="dxa"/>
            <w:vAlign w:val="bottom"/>
            <w:gridSpan w:val="5"/>
          </w:tcPr>
          <w:p>
            <w:pPr>
              <w:ind w:left="500"/>
              <w:spacing w:after="0"/>
              <w:rPr>
                <w:sz w:val="20"/>
                <w:szCs w:val="20"/>
                <w:color w:val="auto"/>
              </w:rPr>
            </w:pPr>
            <w:r>
              <w:rPr>
                <w:rFonts w:ascii="Arial" w:cs="Arial" w:eastAsia="Arial" w:hAnsi="Arial"/>
                <w:sz w:val="17"/>
                <w:szCs w:val="17"/>
                <w:b w:val="1"/>
                <w:bCs w:val="1"/>
                <w:color w:val="auto"/>
              </w:rPr>
              <w:t>Six months ended June 30,</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7"/>
        </w:trPr>
        <w:tc>
          <w:tcPr>
            <w:tcW w:w="302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16"/>
              <w:spacing w:after="0"/>
              <w:rPr>
                <w:sz w:val="20"/>
                <w:szCs w:val="20"/>
                <w:color w:val="auto"/>
              </w:rPr>
            </w:pPr>
            <w:r>
              <w:rPr>
                <w:rFonts w:ascii="Arial" w:cs="Arial" w:eastAsia="Arial" w:hAnsi="Arial"/>
                <w:sz w:val="17"/>
                <w:szCs w:val="17"/>
                <w:b w:val="1"/>
                <w:bCs w:val="1"/>
                <w:color w:val="auto"/>
                <w:w w:val="89"/>
              </w:rPr>
              <w:t>Change</w:t>
            </w:r>
          </w:p>
        </w:tc>
        <w:tc>
          <w:tcPr>
            <w:tcW w:w="400" w:type="dxa"/>
            <w:vAlign w:val="bottom"/>
            <w:tcBorders>
              <w:bottom w:val="single" w:sz="8" w:color="auto"/>
            </w:tcBorders>
          </w:tcPr>
          <w:p>
            <w:pPr>
              <w:spacing w:after="0"/>
              <w:rPr>
                <w:sz w:val="18"/>
                <w:szCs w:val="18"/>
                <w:color w:val="auto"/>
              </w:rPr>
            </w:pPr>
          </w:p>
        </w:tc>
      </w:tr>
      <w:tr>
        <w:trPr>
          <w:trHeight w:val="245"/>
        </w:trPr>
        <w:tc>
          <w:tcPr>
            <w:tcW w:w="3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80" w:type="dxa"/>
            <w:vAlign w:val="bottom"/>
            <w:gridSpan w:val="3"/>
          </w:tcPr>
          <w:p>
            <w:pPr>
              <w:jc w:val="right"/>
              <w:ind w:right="156"/>
              <w:spacing w:after="0"/>
              <w:rPr>
                <w:sz w:val="20"/>
                <w:szCs w:val="20"/>
                <w:color w:val="auto"/>
              </w:rPr>
            </w:pPr>
            <w:r>
              <w:rPr>
                <w:rFonts w:ascii="Arial" w:cs="Arial" w:eastAsia="Arial" w:hAnsi="Arial"/>
                <w:sz w:val="17"/>
                <w:szCs w:val="17"/>
                <w:b w:val="1"/>
                <w:bCs w:val="1"/>
                <w:color w:val="auto"/>
              </w:rPr>
              <w:t>(Dollars in thousands)</w:t>
            </w:r>
          </w:p>
        </w:tc>
        <w:tc>
          <w:tcPr>
            <w:tcW w:w="7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5"/>
        </w:trPr>
        <w:tc>
          <w:tcPr>
            <w:tcW w:w="302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Revenue:</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4"/>
        </w:trPr>
        <w:tc>
          <w:tcPr>
            <w:tcW w:w="3020" w:type="dxa"/>
            <w:vAlign w:val="bottom"/>
          </w:tcPr>
          <w:p>
            <w:pPr>
              <w:ind w:left="480"/>
              <w:spacing w:after="0"/>
              <w:rPr>
                <w:sz w:val="20"/>
                <w:szCs w:val="20"/>
                <w:color w:val="auto"/>
              </w:rPr>
            </w:pPr>
            <w:r>
              <w:rPr>
                <w:rFonts w:ascii="Arial" w:cs="Arial" w:eastAsia="Arial" w:hAnsi="Arial"/>
                <w:sz w:val="17"/>
                <w:szCs w:val="17"/>
                <w:color w:val="auto"/>
              </w:rPr>
              <w:t>CPaaS revenue</w:t>
            </w:r>
          </w:p>
        </w:tc>
        <w:tc>
          <w:tcPr>
            <w:tcW w:w="82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126,197</w:t>
            </w:r>
          </w:p>
        </w:tc>
        <w:tc>
          <w:tcPr>
            <w:tcW w:w="100" w:type="dxa"/>
            <w:vAlign w:val="bottom"/>
          </w:tcPr>
          <w:p>
            <w:pPr>
              <w:spacing w:after="0"/>
              <w:rPr>
                <w:sz w:val="18"/>
                <w:szCs w:val="18"/>
                <w:color w:val="auto"/>
              </w:rPr>
            </w:pPr>
          </w:p>
        </w:tc>
        <w:tc>
          <w:tcPr>
            <w:tcW w:w="80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205,185</w:t>
            </w:r>
          </w:p>
        </w:tc>
        <w:tc>
          <w:tcPr>
            <w:tcW w:w="100" w:type="dxa"/>
            <w:vAlign w:val="bottom"/>
          </w:tcPr>
          <w:p>
            <w:pPr>
              <w:spacing w:after="0"/>
              <w:rPr>
                <w:sz w:val="18"/>
                <w:szCs w:val="18"/>
                <w:color w:val="auto"/>
              </w:rPr>
            </w:pPr>
          </w:p>
        </w:tc>
        <w:tc>
          <w:tcPr>
            <w:tcW w:w="1180" w:type="dxa"/>
            <w:vAlign w:val="bottom"/>
          </w:tcPr>
          <w:p>
            <w:pPr>
              <w:jc w:val="right"/>
              <w:ind w:right="556"/>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78,988</w:t>
            </w:r>
          </w:p>
        </w:tc>
        <w:tc>
          <w:tcPr>
            <w:tcW w:w="1680" w:type="dxa"/>
            <w:vAlign w:val="bottom"/>
          </w:tcPr>
          <w:p>
            <w:pPr>
              <w:jc w:val="right"/>
              <w:ind w:right="176"/>
              <w:spacing w:after="0"/>
              <w:rPr>
                <w:sz w:val="20"/>
                <w:szCs w:val="20"/>
                <w:color w:val="auto"/>
              </w:rPr>
            </w:pPr>
            <w:r>
              <w:rPr>
                <w:rFonts w:ascii="Arial" w:cs="Arial" w:eastAsia="Arial" w:hAnsi="Arial"/>
                <w:sz w:val="17"/>
                <w:szCs w:val="17"/>
                <w:color w:val="auto"/>
              </w:rPr>
              <w:t>63</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3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revenue</w:t>
            </w:r>
          </w:p>
        </w:tc>
        <w:tc>
          <w:tcPr>
            <w:tcW w:w="8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19,111</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28,952</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9,841</w:t>
            </w:r>
          </w:p>
        </w:tc>
        <w:tc>
          <w:tcPr>
            <w:tcW w:w="16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51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3020" w:type="dxa"/>
            <w:vAlign w:val="bottom"/>
          </w:tcPr>
          <w:p>
            <w:pPr>
              <w:ind w:left="480"/>
              <w:spacing w:after="0" w:line="194" w:lineRule="exact"/>
              <w:rPr>
                <w:sz w:val="20"/>
                <w:szCs w:val="20"/>
                <w:color w:val="auto"/>
              </w:rPr>
            </w:pPr>
            <w:r>
              <w:rPr>
                <w:rFonts w:ascii="Arial" w:cs="Arial" w:eastAsia="Arial" w:hAnsi="Arial"/>
                <w:sz w:val="17"/>
                <w:szCs w:val="17"/>
                <w:color w:val="auto"/>
              </w:rPr>
              <w:t>Total revenue</w:t>
            </w: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145,308</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234,137</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88,829</w:t>
            </w:r>
          </w:p>
        </w:tc>
        <w:tc>
          <w:tcPr>
            <w:tcW w:w="1680" w:type="dxa"/>
            <w:vAlign w:val="bottom"/>
          </w:tcPr>
          <w:p>
            <w:pPr>
              <w:jc w:val="right"/>
              <w:ind w:right="176"/>
              <w:spacing w:after="0"/>
              <w:rPr>
                <w:sz w:val="20"/>
                <w:szCs w:val="20"/>
                <w:color w:val="auto"/>
              </w:rPr>
            </w:pPr>
            <w:r>
              <w:rPr>
                <w:rFonts w:ascii="Arial" w:cs="Arial" w:eastAsia="Arial" w:hAnsi="Arial"/>
                <w:sz w:val="17"/>
                <w:szCs w:val="17"/>
                <w:color w:val="auto"/>
              </w:rPr>
              <w:t>61</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 xml:space="preserve">For the six months ended June 30, 2021, total revenue increased by </w:t>
      </w:r>
      <w:r>
        <w:rPr>
          <w:rFonts w:ascii="Arial" w:cs="Arial" w:eastAsia="Arial" w:hAnsi="Arial"/>
          <w:sz w:val="18"/>
          <w:szCs w:val="18"/>
          <w:color w:val="231F20"/>
        </w:rPr>
        <w:t>$88.8 million</w:t>
      </w:r>
      <w:r>
        <w:rPr>
          <w:rFonts w:ascii="Arial" w:cs="Arial" w:eastAsia="Arial" w:hAnsi="Arial"/>
          <w:sz w:val="18"/>
          <w:szCs w:val="18"/>
          <w:color w:val="auto"/>
        </w:rPr>
        <w:t xml:space="preserve">, or 61%, and CPaaS revenue increased by </w:t>
      </w:r>
      <w:r>
        <w:rPr>
          <w:rFonts w:ascii="Arial" w:cs="Arial" w:eastAsia="Arial" w:hAnsi="Arial"/>
          <w:sz w:val="18"/>
          <w:szCs w:val="18"/>
          <w:color w:val="231F20"/>
        </w:rPr>
        <w:t>$79.0 million</w:t>
      </w:r>
      <w:r>
        <w:rPr>
          <w:rFonts w:ascii="Arial" w:cs="Arial" w:eastAsia="Arial" w:hAnsi="Arial"/>
          <w:sz w:val="18"/>
          <w:szCs w:val="18"/>
          <w:color w:val="auto"/>
        </w:rPr>
        <w:t xml:space="preserve">, or 63%, compared to the same period in 2020. Our </w:t>
      </w:r>
      <w:r>
        <w:rPr>
          <w:rFonts w:ascii="Arial" w:cs="Arial" w:eastAsia="Arial" w:hAnsi="Arial"/>
          <w:sz w:val="18"/>
          <w:szCs w:val="18"/>
          <w:color w:val="231F20"/>
        </w:rPr>
        <w:t>Acquisition contributed $49.2 million of this increase to total revenue and $47.2 million to CPaaS</w:t>
      </w:r>
      <w:r>
        <w:rPr>
          <w:rFonts w:ascii="Arial" w:cs="Arial" w:eastAsia="Arial" w:hAnsi="Arial"/>
          <w:sz w:val="18"/>
          <w:szCs w:val="18"/>
          <w:color w:val="auto"/>
        </w:rPr>
        <w:t xml:space="preserve"> </w:t>
      </w:r>
      <w:r>
        <w:rPr>
          <w:rFonts w:ascii="Arial" w:cs="Arial" w:eastAsia="Arial" w:hAnsi="Arial"/>
          <w:sz w:val="18"/>
          <w:szCs w:val="18"/>
          <w:color w:val="231F20"/>
        </w:rPr>
        <w:t xml:space="preserve">revenue. Excluding the higher amounts attributable to the Acquisition, revenue from all of our CPaaS offerings </w:t>
      </w:r>
      <w:r>
        <w:rPr>
          <w:rFonts w:ascii="Arial" w:cs="Arial" w:eastAsia="Arial" w:hAnsi="Arial"/>
          <w:sz w:val="18"/>
          <w:szCs w:val="18"/>
          <w:color w:val="000000"/>
        </w:rPr>
        <w:t>increased</w:t>
      </w:r>
      <w:r>
        <w:rPr>
          <w:rFonts w:ascii="Arial" w:cs="Arial" w:eastAsia="Arial" w:hAnsi="Arial"/>
          <w:sz w:val="18"/>
          <w:szCs w:val="18"/>
          <w:color w:val="231F20"/>
        </w:rPr>
        <w:t xml:space="preserve"> from the same period in </w:t>
      </w:r>
      <w:r>
        <w:rPr>
          <w:rFonts w:ascii="Arial" w:cs="Arial" w:eastAsia="Arial" w:hAnsi="Arial"/>
          <w:sz w:val="18"/>
          <w:szCs w:val="18"/>
          <w:color w:val="000000"/>
        </w:rPr>
        <w:t>2020</w:t>
      </w:r>
      <w:r>
        <w:rPr>
          <w:rFonts w:ascii="Arial" w:cs="Arial" w:eastAsia="Arial" w:hAnsi="Arial"/>
          <w:sz w:val="18"/>
          <w:szCs w:val="18"/>
          <w:color w:val="231F20"/>
        </w:rPr>
        <w:t xml:space="preserve"> led by growth in our voice and messaging offerings of $18.4 million and phone number services and 911-enabled phone number services of $11.9 million. </w:t>
      </w:r>
      <w:r>
        <w:rPr>
          <w:rFonts w:ascii="Arial" w:cs="Arial" w:eastAsia="Arial" w:hAnsi="Arial"/>
          <w:sz w:val="18"/>
          <w:szCs w:val="18"/>
          <w:color w:val="000000"/>
        </w:rPr>
        <w:t>Across our CPaaS offerings, slightly higher usage pricing benefited CPaaS revenue by</w:t>
      </w:r>
      <w:r>
        <w:rPr>
          <w:rFonts w:ascii="Arial" w:cs="Arial" w:eastAsia="Arial" w:hAnsi="Arial"/>
          <w:sz w:val="18"/>
          <w:szCs w:val="18"/>
          <w:color w:val="231F20"/>
        </w:rPr>
        <w:t xml:space="preserve"> $1.5 million </w:t>
      </w:r>
      <w:r>
        <w:rPr>
          <w:rFonts w:ascii="Arial" w:cs="Arial" w:eastAsia="Arial" w:hAnsi="Arial"/>
          <w:sz w:val="18"/>
          <w:szCs w:val="18"/>
          <w:color w:val="000000"/>
        </w:rPr>
        <w:t>with the remaining increase in CPaaS</w:t>
      </w:r>
      <w:r>
        <w:rPr>
          <w:rFonts w:ascii="Arial" w:cs="Arial" w:eastAsia="Arial" w:hAnsi="Arial"/>
          <w:sz w:val="18"/>
          <w:szCs w:val="18"/>
          <w:color w:val="231F20"/>
        </w:rPr>
        <w:t xml:space="preserve"> </w:t>
      </w:r>
      <w:r>
        <w:rPr>
          <w:rFonts w:ascii="Arial" w:cs="Arial" w:eastAsia="Arial" w:hAnsi="Arial"/>
          <w:sz w:val="18"/>
          <w:szCs w:val="18"/>
          <w:color w:val="000000"/>
        </w:rPr>
        <w:t xml:space="preserve">revenue driven by usage volume growth. </w:t>
      </w:r>
      <w:r>
        <w:rPr>
          <w:rFonts w:ascii="Arial" w:cs="Arial" w:eastAsia="Arial" w:hAnsi="Arial"/>
          <w:sz w:val="18"/>
          <w:szCs w:val="18"/>
          <w:color w:val="231F20"/>
        </w:rPr>
        <w:t>These benefits in pricing and usage volume period over period were reflected in our dollar-based net retention</w:t>
      </w:r>
      <w:r>
        <w:rPr>
          <w:rFonts w:ascii="Arial" w:cs="Arial" w:eastAsia="Arial" w:hAnsi="Arial"/>
          <w:sz w:val="18"/>
          <w:szCs w:val="18"/>
          <w:color w:val="000000"/>
        </w:rPr>
        <w:t xml:space="preserve"> </w:t>
      </w:r>
      <w:r>
        <w:rPr>
          <w:rFonts w:ascii="Arial" w:cs="Arial" w:eastAsia="Arial" w:hAnsi="Arial"/>
          <w:sz w:val="18"/>
          <w:szCs w:val="18"/>
          <w:color w:val="231F20"/>
        </w:rPr>
        <w:t>rate of 120%. Revenue from new CPaaS customers contributed $7.4 million, or 6%, to CPaaS revenue for 2021 compared to $5.9 million, or 6%, in the same period in 2020.</w:t>
      </w:r>
    </w:p>
    <w:p>
      <w:pPr>
        <w:spacing w:after="0" w:line="120" w:lineRule="exact"/>
        <w:rPr>
          <w:sz w:val="20"/>
          <w:szCs w:val="20"/>
          <w:color w:val="auto"/>
        </w:rPr>
      </w:pPr>
    </w:p>
    <w:p>
      <w:pPr>
        <w:jc w:val="both"/>
        <w:ind w:firstLine="605"/>
        <w:spacing w:after="0" w:line="345" w:lineRule="auto"/>
        <w:rPr>
          <w:sz w:val="20"/>
          <w:szCs w:val="20"/>
          <w:color w:val="auto"/>
        </w:rPr>
      </w:pPr>
      <w:r>
        <w:rPr>
          <w:rFonts w:ascii="Arial" w:cs="Arial" w:eastAsia="Arial" w:hAnsi="Arial"/>
          <w:sz w:val="16"/>
          <w:szCs w:val="16"/>
          <w:color w:val="231F20"/>
        </w:rPr>
        <w:t xml:space="preserve">The increase in usage was also attributable to a 61% increase in the number of active CPaaS customer accounts, from 1,900 as of June 30, 2020 to 3,051 as of June 30, 2021. </w:t>
      </w:r>
      <w:r>
        <w:rPr>
          <w:rFonts w:ascii="Arial" w:cs="Arial" w:eastAsia="Arial" w:hAnsi="Arial"/>
          <w:sz w:val="16"/>
          <w:szCs w:val="16"/>
          <w:color w:val="000000"/>
        </w:rPr>
        <w:t>As a percentage of total revenue, CPaaS revenue increased from 87% to 88% from 2020 to the same period in</w:t>
      </w:r>
      <w:r>
        <w:rPr>
          <w:rFonts w:ascii="Arial" w:cs="Arial" w:eastAsia="Arial" w:hAnsi="Arial"/>
          <w:sz w:val="16"/>
          <w:szCs w:val="16"/>
          <w:color w:val="231F20"/>
        </w:rPr>
        <w:t xml:space="preserve"> 2021</w:t>
      </w:r>
      <w:r>
        <w:rPr>
          <w:rFonts w:ascii="Arial" w:cs="Arial" w:eastAsia="Arial" w:hAnsi="Arial"/>
          <w:sz w:val="16"/>
          <w:szCs w:val="16"/>
          <w:color w:val="000000"/>
        </w:rPr>
        <w:t>.</w:t>
      </w:r>
    </w:p>
    <w:p>
      <w:pPr>
        <w:spacing w:after="0" w:line="51"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 xml:space="preserve">Other revenue increased by $9.8 million, or 51%, in 2021 primarily due to higher indirect revenue, which increased by $8.6 million primarily due to an increase in messaging surcharges and indirect voice revenue, and $1.9 million due to the Acquisition. Legacy revenue, as expected, continued to decline and decreased by $0.7 million, compared to the same period in </w:t>
      </w:r>
      <w:r>
        <w:rPr>
          <w:rFonts w:ascii="Arial" w:cs="Arial" w:eastAsia="Arial" w:hAnsi="Arial"/>
          <w:sz w:val="18"/>
          <w:szCs w:val="18"/>
          <w:color w:val="000000"/>
        </w:rPr>
        <w:t>2020</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Cost of Revenue and Gross Margin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spacing w:after="0"/>
              <w:rPr>
                <w:sz w:val="18"/>
                <w:szCs w:val="18"/>
                <w:color w:val="auto"/>
              </w:rPr>
            </w:pPr>
          </w:p>
        </w:tc>
        <w:tc>
          <w:tcPr>
            <w:tcW w:w="3820" w:type="dxa"/>
            <w:vAlign w:val="bottom"/>
            <w:gridSpan w:val="6"/>
          </w:tcPr>
          <w:p>
            <w:pPr>
              <w:ind w:left="900"/>
              <w:spacing w:after="0"/>
              <w:rPr>
                <w:sz w:val="20"/>
                <w:szCs w:val="20"/>
                <w:color w:val="auto"/>
              </w:rPr>
            </w:pPr>
            <w:r>
              <w:rPr>
                <w:rFonts w:ascii="Arial" w:cs="Arial" w:eastAsia="Arial" w:hAnsi="Arial"/>
                <w:sz w:val="17"/>
                <w:szCs w:val="17"/>
                <w:b w:val="1"/>
                <w:bCs w:val="1"/>
                <w:color w:val="auto"/>
              </w:rPr>
              <w:t>Six months ended June 30,</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9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0"/>
              <w:spacing w:after="0"/>
              <w:rPr>
                <w:sz w:val="20"/>
                <w:szCs w:val="20"/>
                <w:color w:val="auto"/>
              </w:rPr>
            </w:pPr>
            <w:r>
              <w:rPr>
                <w:rFonts w:ascii="Arial" w:cs="Arial" w:eastAsia="Arial" w:hAnsi="Arial"/>
                <w:sz w:val="17"/>
                <w:szCs w:val="17"/>
                <w:b w:val="1"/>
                <w:bCs w:val="1"/>
                <w:color w:val="auto"/>
              </w:rPr>
              <w:t>Change</w:t>
            </w:r>
          </w:p>
        </w:tc>
        <w:tc>
          <w:tcPr>
            <w:tcW w:w="920" w:type="dxa"/>
            <w:vAlign w:val="bottom"/>
            <w:tcBorders>
              <w:bottom w:val="single" w:sz="8" w:color="auto"/>
            </w:tcBorders>
          </w:tcPr>
          <w:p>
            <w:pPr>
              <w:spacing w:after="0"/>
              <w:rPr>
                <w:sz w:val="18"/>
                <w:szCs w:val="18"/>
                <w:color w:val="auto"/>
              </w:rPr>
            </w:pPr>
          </w:p>
        </w:tc>
      </w:tr>
      <w:tr>
        <w:trPr>
          <w:trHeight w:val="245"/>
        </w:trPr>
        <w:tc>
          <w:tcPr>
            <w:tcW w:w="3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60" w:type="dxa"/>
            <w:vAlign w:val="bottom"/>
            <w:gridSpan w:val="3"/>
          </w:tcPr>
          <w:p>
            <w:pPr>
              <w:jc w:val="right"/>
              <w:ind w:right="156"/>
              <w:spacing w:after="0"/>
              <w:rPr>
                <w:sz w:val="20"/>
                <w:szCs w:val="20"/>
                <w:color w:val="auto"/>
              </w:rPr>
            </w:pPr>
            <w:r>
              <w:rPr>
                <w:rFonts w:ascii="Arial" w:cs="Arial" w:eastAsia="Arial" w:hAnsi="Arial"/>
                <w:sz w:val="17"/>
                <w:szCs w:val="17"/>
                <w:b w:val="1"/>
                <w:bCs w:val="1"/>
                <w:color w:val="auto"/>
              </w:rPr>
              <w:t>(Dollars in thousands)</w:t>
            </w: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 of revenue:</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3940" w:type="dxa"/>
            <w:vAlign w:val="bottom"/>
          </w:tcPr>
          <w:p>
            <w:pPr>
              <w:ind w:left="20"/>
              <w:spacing w:after="0"/>
              <w:rPr>
                <w:sz w:val="20"/>
                <w:szCs w:val="20"/>
                <w:color w:val="auto"/>
              </w:rPr>
            </w:pPr>
            <w:r>
              <w:rPr>
                <w:rFonts w:ascii="Arial" w:cs="Arial" w:eastAsia="Arial" w:hAnsi="Arial"/>
                <w:sz w:val="17"/>
                <w:szCs w:val="17"/>
                <w:color w:val="auto"/>
              </w:rPr>
              <w:t>CPaaS cost of revenue</w:t>
            </w:r>
          </w:p>
        </w:tc>
        <w:tc>
          <w:tcPr>
            <w:tcW w:w="1100" w:type="dxa"/>
            <w:vAlign w:val="bottom"/>
          </w:tcPr>
          <w:p>
            <w:pPr>
              <w:jc w:val="right"/>
              <w:ind w:right="916"/>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16"/>
              <w:spacing w:after="0"/>
              <w:rPr>
                <w:sz w:val="20"/>
                <w:szCs w:val="20"/>
                <w:color w:val="auto"/>
              </w:rPr>
            </w:pPr>
            <w:r>
              <w:rPr>
                <w:rFonts w:ascii="Arial" w:cs="Arial" w:eastAsia="Arial" w:hAnsi="Arial"/>
                <w:sz w:val="17"/>
                <w:szCs w:val="17"/>
                <w:color w:val="auto"/>
                <w:w w:val="92"/>
              </w:rPr>
              <w:t>69,121</w:t>
            </w:r>
          </w:p>
        </w:tc>
        <w:tc>
          <w:tcPr>
            <w:tcW w:w="100" w:type="dxa"/>
            <w:vAlign w:val="bottom"/>
          </w:tcPr>
          <w:p>
            <w:pPr>
              <w:spacing w:after="0"/>
              <w:rPr>
                <w:sz w:val="18"/>
                <w:szCs w:val="18"/>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36"/>
              <w:spacing w:after="0"/>
              <w:rPr>
                <w:sz w:val="20"/>
                <w:szCs w:val="20"/>
                <w:color w:val="auto"/>
              </w:rPr>
            </w:pPr>
            <w:r>
              <w:rPr>
                <w:rFonts w:ascii="Arial" w:cs="Arial" w:eastAsia="Arial" w:hAnsi="Arial"/>
                <w:sz w:val="17"/>
                <w:szCs w:val="17"/>
                <w:color w:val="auto"/>
              </w:rPr>
              <w:t>109,775</w:t>
            </w:r>
          </w:p>
        </w:tc>
        <w:tc>
          <w:tcPr>
            <w:tcW w:w="10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40,654</w:t>
            </w:r>
          </w:p>
        </w:tc>
        <w:tc>
          <w:tcPr>
            <w:tcW w:w="9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59 %</w:t>
            </w: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cost of revenue</w:t>
            </w:r>
          </w:p>
        </w:tc>
        <w:tc>
          <w:tcPr>
            <w:tcW w:w="1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9,247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17,612</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8,365</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90 %</w:t>
            </w:r>
          </w:p>
        </w:tc>
      </w:tr>
      <w:tr>
        <w:trPr>
          <w:trHeight w:val="207"/>
        </w:trPr>
        <w:tc>
          <w:tcPr>
            <w:tcW w:w="3940" w:type="dxa"/>
            <w:vAlign w:val="bottom"/>
          </w:tcPr>
          <w:p>
            <w:pPr>
              <w:ind w:left="20"/>
              <w:spacing w:after="0" w:line="194" w:lineRule="exact"/>
              <w:rPr>
                <w:sz w:val="20"/>
                <w:szCs w:val="20"/>
                <w:color w:val="auto"/>
              </w:rPr>
            </w:pPr>
            <w:r>
              <w:rPr>
                <w:rFonts w:ascii="Arial" w:cs="Arial" w:eastAsia="Arial" w:hAnsi="Arial"/>
                <w:sz w:val="17"/>
                <w:szCs w:val="17"/>
                <w:color w:val="auto"/>
              </w:rPr>
              <w:t>Total cost of revenue</w:t>
            </w: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92"/>
              </w:rPr>
              <w:t>78,368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127,387</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49,019</w:t>
            </w:r>
          </w:p>
        </w:tc>
        <w:tc>
          <w:tcPr>
            <w:tcW w:w="9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63 %</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10"/>
        </w:trPr>
        <w:tc>
          <w:tcPr>
            <w:tcW w:w="394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Gross profit</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w w:val="92"/>
              </w:rPr>
              <w:t>66,940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106,750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39,810</w:t>
            </w:r>
          </w:p>
        </w:tc>
        <w:tc>
          <w:tcPr>
            <w:tcW w:w="9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4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Gross margin:</w:t>
            </w: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840" w:type="dxa"/>
            <w:vAlign w:val="bottom"/>
          </w:tcPr>
          <w:p>
            <w:pPr>
              <w:spacing w:after="0"/>
              <w:rPr>
                <w:sz w:val="16"/>
                <w:szCs w:val="16"/>
                <w:color w:val="auto"/>
              </w:rPr>
            </w:pPr>
          </w:p>
        </w:tc>
      </w:tr>
      <w:tr>
        <w:trPr>
          <w:trHeight w:val="214"/>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CPaaS</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4"/>
        </w:trPr>
        <w:tc>
          <w:tcPr>
            <w:tcW w:w="3940" w:type="dxa"/>
            <w:vAlign w:val="bottom"/>
          </w:tcPr>
          <w:p>
            <w:pPr>
              <w:ind w:left="20"/>
              <w:spacing w:after="0"/>
              <w:rPr>
                <w:sz w:val="20"/>
                <w:szCs w:val="20"/>
                <w:color w:val="auto"/>
              </w:rPr>
            </w:pPr>
            <w:r>
              <w:rPr>
                <w:rFonts w:ascii="Arial" w:cs="Arial" w:eastAsia="Arial" w:hAnsi="Arial"/>
                <w:sz w:val="17"/>
                <w:szCs w:val="17"/>
                <w:color w:val="auto"/>
              </w:rPr>
              <w:t>Other</w:t>
            </w:r>
          </w:p>
        </w:tc>
        <w:tc>
          <w:tcPr>
            <w:tcW w:w="1800" w:type="dxa"/>
            <w:vAlign w:val="bottom"/>
          </w:tcPr>
          <w:p>
            <w:pPr>
              <w:jc w:val="right"/>
              <w:spacing w:after="0"/>
              <w:rPr>
                <w:sz w:val="20"/>
                <w:szCs w:val="20"/>
                <w:color w:val="auto"/>
              </w:rPr>
            </w:pPr>
            <w:r>
              <w:rPr>
                <w:rFonts w:ascii="Arial" w:cs="Arial" w:eastAsia="Arial" w:hAnsi="Arial"/>
                <w:sz w:val="17"/>
                <w:szCs w:val="17"/>
                <w:color w:val="auto"/>
              </w:rPr>
              <w:t>52 %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gross margin</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bl>
    <w:p>
      <w:pPr>
        <w:spacing w:after="0" w:line="223"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 xml:space="preserve">For the six months ended June 30, 2021, </w:t>
      </w:r>
      <w:r>
        <w:rPr>
          <w:rFonts w:ascii="Arial" w:cs="Arial" w:eastAsia="Arial" w:hAnsi="Arial"/>
          <w:sz w:val="18"/>
          <w:szCs w:val="18"/>
          <w:color w:val="231F20"/>
        </w:rPr>
        <w:t>total gross profit increased by $39.8 million, or 59%, compared to the same period in 2020</w:t>
      </w:r>
      <w:r>
        <w:rPr>
          <w:rFonts w:ascii="Arial" w:cs="Arial" w:eastAsia="Arial" w:hAnsi="Arial"/>
          <w:sz w:val="18"/>
          <w:szCs w:val="18"/>
          <w:color w:val="auto"/>
        </w:rPr>
        <w:t xml:space="preserve">. Total gross margins were </w:t>
      </w:r>
      <w:r>
        <w:rPr>
          <w:rFonts w:ascii="Arial" w:cs="Arial" w:eastAsia="Arial" w:hAnsi="Arial"/>
          <w:sz w:val="18"/>
          <w:szCs w:val="18"/>
          <w:color w:val="231F20"/>
        </w:rPr>
        <w:t>46%</w:t>
      </w:r>
      <w:r>
        <w:rPr>
          <w:rFonts w:ascii="Arial" w:cs="Arial" w:eastAsia="Arial" w:hAnsi="Arial"/>
          <w:sz w:val="18"/>
          <w:szCs w:val="18"/>
          <w:color w:val="auto"/>
        </w:rPr>
        <w:t xml:space="preserve"> for the six months ended June 30, 2020 and 2021. For the six months ended June 30, 2021, </w:t>
      </w:r>
      <w:r>
        <w:rPr>
          <w:rFonts w:ascii="Arial" w:cs="Arial" w:eastAsia="Arial" w:hAnsi="Arial"/>
          <w:sz w:val="18"/>
          <w:szCs w:val="18"/>
          <w:color w:val="231F20"/>
        </w:rPr>
        <w:t>CPaaS cost of revenue increased</w:t>
      </w:r>
      <w:r>
        <w:rPr>
          <w:rFonts w:ascii="Arial" w:cs="Arial" w:eastAsia="Arial" w:hAnsi="Arial"/>
          <w:sz w:val="18"/>
          <w:szCs w:val="18"/>
          <w:color w:val="auto"/>
        </w:rPr>
        <w:t xml:space="preserve"> </w:t>
      </w:r>
      <w:r>
        <w:rPr>
          <w:rFonts w:ascii="Arial" w:cs="Arial" w:eastAsia="Arial" w:hAnsi="Arial"/>
          <w:sz w:val="18"/>
          <w:szCs w:val="18"/>
          <w:color w:val="231F20"/>
        </w:rPr>
        <w:t>by $40.7 million, or 59%, compared to the same period in 2020. CPaaS cost of revenue increased due to an increase in voice usage costs of $17.4 million due to growth in minutes used by customers. Cost of messaging increased by $5.4 million due to growth in messages used by customers, including an increased cost per message.</w:t>
      </w:r>
    </w:p>
    <w:p>
      <w:pPr>
        <w:spacing w:after="0" w:line="119"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231F20"/>
        </w:rPr>
        <w:t xml:space="preserve">Network costs also increased $12.6 million due to network expansions and amortization expense. Cost of phone numbers and 911 increased by $5.2 million. CPaaS gross margin increased from 45% to 46% </w:t>
      </w:r>
      <w:r>
        <w:rPr>
          <w:rFonts w:ascii="Arial" w:cs="Arial" w:eastAsia="Arial" w:hAnsi="Arial"/>
          <w:sz w:val="18"/>
          <w:szCs w:val="18"/>
          <w:color w:val="000000"/>
        </w:rPr>
        <w:t>for the six months ended June 30, 2020 and 2021</w:t>
      </w:r>
      <w:r>
        <w:rPr>
          <w:rFonts w:ascii="Arial" w:cs="Arial" w:eastAsia="Arial" w:hAnsi="Arial"/>
          <w:sz w:val="18"/>
          <w:szCs w:val="18"/>
          <w:color w:val="231F20"/>
        </w:rPr>
        <w:t>.</w:t>
      </w:r>
    </w:p>
    <w:p>
      <w:pPr>
        <w:spacing w:after="0" w:line="97"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231F20"/>
        </w:rPr>
        <w:t xml:space="preserve">Excluding depreciation, amortization and stock-based compensation of $4.8 million for the </w:t>
      </w:r>
      <w:r>
        <w:rPr>
          <w:rFonts w:ascii="Arial" w:cs="Arial" w:eastAsia="Arial" w:hAnsi="Arial"/>
          <w:sz w:val="18"/>
          <w:szCs w:val="18"/>
          <w:color w:val="000000"/>
        </w:rPr>
        <w:t>six months ended June 30, 2020 and</w:t>
      </w:r>
      <w:r>
        <w:rPr>
          <w:rFonts w:ascii="Arial" w:cs="Arial" w:eastAsia="Arial" w:hAnsi="Arial"/>
          <w:sz w:val="18"/>
          <w:szCs w:val="18"/>
          <w:color w:val="231F20"/>
        </w:rPr>
        <w:t xml:space="preserve"> $10.5 million </w:t>
      </w:r>
      <w:r>
        <w:rPr>
          <w:rFonts w:ascii="Arial" w:cs="Arial" w:eastAsia="Arial" w:hAnsi="Arial"/>
          <w:sz w:val="18"/>
          <w:szCs w:val="18"/>
          <w:color w:val="000000"/>
        </w:rPr>
        <w:t>for the six months ended June 30, 2021</w:t>
      </w:r>
      <w:r>
        <w:rPr>
          <w:rFonts w:ascii="Arial" w:cs="Arial" w:eastAsia="Arial" w:hAnsi="Arial"/>
          <w:sz w:val="18"/>
          <w:szCs w:val="18"/>
          <w:color w:val="231F20"/>
        </w:rPr>
        <w:t>, CPaaS Non-GAAP gross margins were 49% and 52%, respectively, and total Non-GAAP gross margins were</w:t>
      </w:r>
      <w:r>
        <w:rPr>
          <w:rFonts w:ascii="Arial" w:cs="Arial" w:eastAsia="Arial" w:hAnsi="Arial"/>
          <w:sz w:val="18"/>
          <w:szCs w:val="18"/>
          <w:color w:val="000000"/>
        </w:rPr>
        <w:t xml:space="preserve"> </w:t>
      </w:r>
      <w:r>
        <w:rPr>
          <w:rFonts w:ascii="Arial" w:cs="Arial" w:eastAsia="Arial" w:hAnsi="Arial"/>
          <w:sz w:val="18"/>
          <w:szCs w:val="18"/>
          <w:color w:val="231F20"/>
        </w:rPr>
        <w:t xml:space="preserve">49% and 50%, respectively, </w:t>
      </w:r>
      <w:r>
        <w:rPr>
          <w:rFonts w:ascii="Arial" w:cs="Arial" w:eastAsia="Arial" w:hAnsi="Arial"/>
          <w:sz w:val="18"/>
          <w:szCs w:val="18"/>
          <w:color w:val="000000"/>
        </w:rPr>
        <w:t>for the six months ended June 30, 2020 and 2021</w:t>
      </w:r>
      <w:r>
        <w:rPr>
          <w:rFonts w:ascii="Arial" w:cs="Arial" w:eastAsia="Arial" w:hAnsi="Arial"/>
          <w:sz w:val="18"/>
          <w:szCs w:val="18"/>
          <w:color w:val="231F20"/>
        </w:rPr>
        <w:t>. The increase Non-GAAP gross margins were mostly due to the inclusion of higher margin Voxbone business.</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For the six months ended June 30, 2021, o</w:t>
      </w:r>
      <w:r>
        <w:rPr>
          <w:rFonts w:ascii="Arial" w:cs="Arial" w:eastAsia="Arial" w:hAnsi="Arial"/>
          <w:sz w:val="18"/>
          <w:szCs w:val="18"/>
          <w:color w:val="231F20"/>
        </w:rPr>
        <w:t>ther cost of revenue increased by $8.4 million compared to the same period in 2020, primarily due to</w:t>
      </w:r>
      <w:r>
        <w:rPr>
          <w:rFonts w:ascii="Arial" w:cs="Arial" w:eastAsia="Arial" w:hAnsi="Arial"/>
          <w:sz w:val="18"/>
          <w:szCs w:val="18"/>
          <w:color w:val="auto"/>
        </w:rPr>
        <w:t xml:space="preserve"> </w:t>
      </w:r>
      <w:r>
        <w:rPr>
          <w:rFonts w:ascii="Arial" w:cs="Arial" w:eastAsia="Arial" w:hAnsi="Arial"/>
          <w:sz w:val="18"/>
          <w:szCs w:val="18"/>
          <w:color w:val="231F20"/>
        </w:rPr>
        <w:t>a $8.5 million increase in cost of indirect revenue related to messaging surcharges offset by a $0.1 million decrease in costs as a result of the expected churn in legacy services.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3600" w:type="dxa"/>
            <w:vAlign w:val="bottom"/>
            <w:gridSpan w:val="6"/>
          </w:tcPr>
          <w:p>
            <w:pPr>
              <w:ind w:left="800"/>
              <w:spacing w:after="0"/>
              <w:rPr>
                <w:sz w:val="20"/>
                <w:szCs w:val="20"/>
                <w:color w:val="auto"/>
              </w:rPr>
            </w:pPr>
            <w:r>
              <w:rPr>
                <w:rFonts w:ascii="Arial" w:cs="Arial" w:eastAsia="Arial" w:hAnsi="Arial"/>
                <w:sz w:val="17"/>
                <w:szCs w:val="17"/>
                <w:b w:val="1"/>
                <w:bCs w:val="1"/>
                <w:color w:val="auto"/>
              </w:rPr>
              <w:t>Six months ended June 30,</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7"/>
        </w:trPr>
        <w:tc>
          <w:tcPr>
            <w:tcW w:w="40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540"/>
              <w:spacing w:after="0"/>
              <w:rPr>
                <w:sz w:val="20"/>
                <w:szCs w:val="20"/>
                <w:color w:val="auto"/>
              </w:rPr>
            </w:pPr>
            <w:r>
              <w:rPr>
                <w:rFonts w:ascii="Arial" w:cs="Arial" w:eastAsia="Arial" w:hAnsi="Arial"/>
                <w:sz w:val="17"/>
                <w:szCs w:val="17"/>
                <w:b w:val="1"/>
                <w:bCs w:val="1"/>
                <w:color w:val="auto"/>
              </w:rPr>
              <w:t>Change</w:t>
            </w:r>
          </w:p>
        </w:tc>
        <w:tc>
          <w:tcPr>
            <w:tcW w:w="940" w:type="dxa"/>
            <w:vAlign w:val="bottom"/>
            <w:tcBorders>
              <w:bottom w:val="single" w:sz="8" w:color="auto"/>
            </w:tcBorders>
          </w:tcPr>
          <w:p>
            <w:pPr>
              <w:spacing w:after="0"/>
              <w:rPr>
                <w:sz w:val="18"/>
                <w:szCs w:val="18"/>
                <w:color w:val="auto"/>
              </w:rPr>
            </w:pPr>
          </w:p>
        </w:tc>
      </w:tr>
      <w:tr>
        <w:trPr>
          <w:trHeight w:val="245"/>
        </w:trPr>
        <w:tc>
          <w:tcPr>
            <w:tcW w:w="4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3"/>
          </w:tcPr>
          <w:p>
            <w:pPr>
              <w:jc w:val="right"/>
              <w:ind w:right="96"/>
              <w:spacing w:after="0"/>
              <w:rPr>
                <w:sz w:val="20"/>
                <w:szCs w:val="20"/>
                <w:color w:val="auto"/>
              </w:rPr>
            </w:pPr>
            <w:r>
              <w:rPr>
                <w:rFonts w:ascii="Arial" w:cs="Arial" w:eastAsia="Arial" w:hAnsi="Arial"/>
                <w:sz w:val="17"/>
                <w:szCs w:val="17"/>
                <w:b w:val="1"/>
                <w:bCs w:val="1"/>
                <w:color w:val="auto"/>
              </w:rPr>
              <w:t>(Dollars in thousands)</w:t>
            </w: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19,084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7,066</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r>
      <w:tr>
        <w:trPr>
          <w:trHeight w:val="214"/>
        </w:trPr>
        <w:tc>
          <w:tcPr>
            <w:tcW w:w="408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18,072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24,576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6,504</w:t>
            </w:r>
          </w:p>
        </w:tc>
        <w:tc>
          <w:tcPr>
            <w:tcW w:w="9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36 %</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32,936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55,127</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22,191</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w:t>
            </w:r>
          </w:p>
        </w:tc>
      </w:tr>
      <w:tr>
        <w:trPr>
          <w:trHeight w:val="207"/>
        </w:trPr>
        <w:tc>
          <w:tcPr>
            <w:tcW w:w="4080" w:type="dxa"/>
            <w:vAlign w:val="bottom"/>
          </w:tcPr>
          <w:p>
            <w:pPr>
              <w:ind w:left="20"/>
              <w:spacing w:after="0" w:line="194" w:lineRule="exact"/>
              <w:rPr>
                <w:sz w:val="20"/>
                <w:szCs w:val="20"/>
                <w:color w:val="auto"/>
              </w:rPr>
            </w:pPr>
            <w:r>
              <w:rPr>
                <w:rFonts w:ascii="Arial" w:cs="Arial" w:eastAsia="Arial" w:hAnsi="Arial"/>
                <w:sz w:val="17"/>
                <w:szCs w:val="17"/>
                <w:color w:val="auto"/>
              </w:rPr>
              <w:t>Total operating expenses</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70,092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105,853</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35,761</w:t>
            </w:r>
          </w:p>
        </w:tc>
        <w:tc>
          <w:tcPr>
            <w:tcW w:w="9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51 %</w:t>
            </w: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 xml:space="preserve">For the six months ended June 30, 2021, </w:t>
      </w:r>
      <w:r>
        <w:rPr>
          <w:rFonts w:ascii="Arial" w:cs="Arial" w:eastAsia="Arial" w:hAnsi="Arial"/>
          <w:sz w:val="18"/>
          <w:szCs w:val="18"/>
          <w:color w:val="231F20"/>
        </w:rPr>
        <w:t>R&amp;D expenses related to the expansion of our product offerings increased by $7.1 million, or 37%,</w:t>
      </w:r>
      <w:r>
        <w:rPr>
          <w:rFonts w:ascii="Arial" w:cs="Arial" w:eastAsia="Arial" w:hAnsi="Arial"/>
          <w:sz w:val="18"/>
          <w:szCs w:val="18"/>
          <w:color w:val="auto"/>
        </w:rPr>
        <w:t xml:space="preserve"> </w:t>
      </w:r>
      <w:r>
        <w:rPr>
          <w:rFonts w:ascii="Arial" w:cs="Arial" w:eastAsia="Arial" w:hAnsi="Arial"/>
          <w:sz w:val="18"/>
          <w:szCs w:val="18"/>
          <w:color w:val="231F20"/>
        </w:rPr>
        <w:t>compared to the same period in 2020. This increase was primarily due to increased personnel costs of $5.9 million including the impact of growth in headcount as a result of the Acquisition, and an increase in non-headcount costs of $1.1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 xml:space="preserve">For the six months ended June 30, 2021, sales and marketing expenses increased by </w:t>
      </w:r>
      <w:r>
        <w:rPr>
          <w:rFonts w:ascii="Arial" w:cs="Arial" w:eastAsia="Arial" w:hAnsi="Arial"/>
          <w:sz w:val="18"/>
          <w:szCs w:val="18"/>
          <w:color w:val="231F20"/>
        </w:rPr>
        <w:t>$6.5 million</w:t>
      </w:r>
      <w:r>
        <w:rPr>
          <w:rFonts w:ascii="Arial" w:cs="Arial" w:eastAsia="Arial" w:hAnsi="Arial"/>
          <w:sz w:val="18"/>
          <w:szCs w:val="18"/>
          <w:color w:val="auto"/>
        </w:rPr>
        <w:t>, or 36%, compared to th</w:t>
      </w:r>
      <w:r>
        <w:rPr>
          <w:rFonts w:ascii="Arial" w:cs="Arial" w:eastAsia="Arial" w:hAnsi="Arial"/>
          <w:sz w:val="18"/>
          <w:szCs w:val="18"/>
          <w:color w:val="231F20"/>
        </w:rPr>
        <w:t>e period in 2020,</w:t>
      </w:r>
      <w:r>
        <w:rPr>
          <w:rFonts w:ascii="Arial" w:cs="Arial" w:eastAsia="Arial" w:hAnsi="Arial"/>
          <w:sz w:val="18"/>
          <w:szCs w:val="18"/>
          <w:color w:val="auto"/>
        </w:rPr>
        <w:t xml:space="preserve"> </w:t>
      </w:r>
      <w:r>
        <w:rPr>
          <w:rFonts w:ascii="Arial" w:cs="Arial" w:eastAsia="Arial" w:hAnsi="Arial"/>
          <w:sz w:val="18"/>
          <w:szCs w:val="18"/>
          <w:color w:val="231F20"/>
        </w:rPr>
        <w:t>primarily due to an overall increase in sales personnel costs of $4.7 million including the impact of growth in headcount as a result of the Acquisition, and an increase in non-headcount costs of $1.8 million.</w:t>
      </w:r>
    </w:p>
    <w:p>
      <w:pPr>
        <w:spacing w:after="0" w:line="111"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For the six months ended June 30, 2021, g</w:t>
      </w:r>
      <w:r>
        <w:rPr>
          <w:rFonts w:ascii="Arial" w:cs="Arial" w:eastAsia="Arial" w:hAnsi="Arial"/>
          <w:sz w:val="18"/>
          <w:szCs w:val="18"/>
          <w:color w:val="231F20"/>
        </w:rPr>
        <w:t>eneral and administrative expenses increased by $22.2 million</w:t>
      </w:r>
      <w:r>
        <w:rPr>
          <w:rFonts w:ascii="Arial" w:cs="Arial" w:eastAsia="Arial" w:hAnsi="Arial"/>
          <w:sz w:val="18"/>
          <w:szCs w:val="18"/>
          <w:color w:val="auto"/>
        </w:rPr>
        <w:t xml:space="preserve">, </w:t>
      </w:r>
      <w:r>
        <w:rPr>
          <w:rFonts w:ascii="Arial" w:cs="Arial" w:eastAsia="Arial" w:hAnsi="Arial"/>
          <w:sz w:val="18"/>
          <w:szCs w:val="18"/>
          <w:color w:val="231F20"/>
        </w:rPr>
        <w:t>or 67%,</w:t>
      </w:r>
      <w:r>
        <w:rPr>
          <w:rFonts w:ascii="Arial" w:cs="Arial" w:eastAsia="Arial" w:hAnsi="Arial"/>
          <w:sz w:val="18"/>
          <w:szCs w:val="18"/>
          <w:color w:val="auto"/>
        </w:rPr>
        <w:t xml:space="preserve"> compared to the same period in 2020. </w:t>
      </w:r>
      <w:r>
        <w:rPr>
          <w:rFonts w:ascii="Arial" w:cs="Arial" w:eastAsia="Arial" w:hAnsi="Arial"/>
          <w:sz w:val="18"/>
          <w:szCs w:val="18"/>
          <w:color w:val="231F20"/>
        </w:rPr>
        <w:t>This increase was primarily due to higher personnel cost of $9.3 million resulting from the impact of growth in headcount as a result of the</w:t>
      </w:r>
      <w:r>
        <w:rPr>
          <w:rFonts w:ascii="Arial" w:cs="Arial" w:eastAsia="Arial" w:hAnsi="Arial"/>
          <w:sz w:val="18"/>
          <w:szCs w:val="18"/>
          <w:color w:val="auto"/>
        </w:rPr>
        <w:t xml:space="preserve"> </w:t>
      </w:r>
      <w:r>
        <w:rPr>
          <w:rFonts w:ascii="Arial" w:cs="Arial" w:eastAsia="Arial" w:hAnsi="Arial"/>
          <w:sz w:val="18"/>
          <w:szCs w:val="18"/>
          <w:color w:val="231F20"/>
        </w:rPr>
        <w:t>Acquisition, depreciation and amortization costs of $5.8 million, professional costs of $3.6 million, facilities costs of $1.8 million, and other costs of $1.7 million.</w:t>
      </w:r>
    </w:p>
    <w:p>
      <w:pPr>
        <w:spacing w:after="0" w:line="115"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231F20"/>
        </w:rPr>
        <w:t>As a percentage of revenue, total operating expenses for the six months ended June 30, 2020 and 2021 decreased from 48% to 45%, respectively, as operating expenditures growth exceeded corresponding growth in revenue in 2021.</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Interest Expense, Net</w:t>
      </w:r>
    </w:p>
    <w:p>
      <w:pPr>
        <w:spacing w:after="0" w:line="159"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231F20"/>
        </w:rPr>
        <w:t xml:space="preserve">For the six months ended June 30, 2021, interest expense, net increased by $8.4 million compared to the same period in 2020, </w:t>
      </w:r>
      <w:r>
        <w:rPr>
          <w:rFonts w:ascii="Arial" w:cs="Arial" w:eastAsia="Arial" w:hAnsi="Arial"/>
          <w:sz w:val="17"/>
          <w:szCs w:val="17"/>
          <w:color w:val="000000"/>
        </w:rPr>
        <w:t>due to a</w:t>
      </w:r>
      <w:r>
        <w:rPr>
          <w:rFonts w:ascii="Arial" w:cs="Arial" w:eastAsia="Arial" w:hAnsi="Arial"/>
          <w:sz w:val="17"/>
          <w:szCs w:val="17"/>
          <w:color w:val="231F20"/>
        </w:rPr>
        <w:t xml:space="preserve"> $6.6 million </w:t>
      </w:r>
      <w:r>
        <w:rPr>
          <w:rFonts w:ascii="Arial" w:cs="Arial" w:eastAsia="Arial" w:hAnsi="Arial"/>
          <w:sz w:val="17"/>
          <w:szCs w:val="17"/>
          <w:color w:val="000000"/>
        </w:rPr>
        <w:t>increase in interest expense related to the Convertible Notes and a</w:t>
      </w:r>
      <w:r>
        <w:rPr>
          <w:rFonts w:ascii="Arial" w:cs="Arial" w:eastAsia="Arial" w:hAnsi="Arial"/>
          <w:sz w:val="17"/>
          <w:szCs w:val="17"/>
          <w:color w:val="231F20"/>
        </w:rPr>
        <w:t xml:space="preserve"> $1.7 million </w:t>
      </w:r>
      <w:r>
        <w:rPr>
          <w:rFonts w:ascii="Arial" w:cs="Arial" w:eastAsia="Arial" w:hAnsi="Arial"/>
          <w:sz w:val="17"/>
          <w:szCs w:val="17"/>
          <w:color w:val="000000"/>
        </w:rPr>
        <w:t>decrease in interest income from the investment of follow-on</w:t>
      </w:r>
      <w:r>
        <w:rPr>
          <w:rFonts w:ascii="Arial" w:cs="Arial" w:eastAsia="Arial" w:hAnsi="Arial"/>
          <w:sz w:val="17"/>
          <w:szCs w:val="17"/>
          <w:color w:val="231F20"/>
        </w:rPr>
        <w:t xml:space="preserve"> </w:t>
      </w:r>
      <w:r>
        <w:rPr>
          <w:rFonts w:ascii="Arial" w:cs="Arial" w:eastAsia="Arial" w:hAnsi="Arial"/>
          <w:sz w:val="17"/>
          <w:szCs w:val="17"/>
          <w:color w:val="000000"/>
        </w:rPr>
        <w:t>equity offering proceeds. See Note 8, “Debt” to the condensed consolidated financial statements, for additional details.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Income Tax Benefit</w:t>
      </w:r>
    </w:p>
    <w:p>
      <w:pPr>
        <w:spacing w:after="0" w:line="15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 xml:space="preserve">For the six months ended June 30, 2021, </w:t>
      </w:r>
      <w:r>
        <w:rPr>
          <w:rFonts w:ascii="Arial" w:cs="Arial" w:eastAsia="Arial" w:hAnsi="Arial"/>
          <w:sz w:val="18"/>
          <w:szCs w:val="18"/>
          <w:color w:val="231F20"/>
        </w:rPr>
        <w:t>income tax expense decreased by</w:t>
      </w:r>
      <w:r>
        <w:rPr>
          <w:rFonts w:ascii="Arial" w:cs="Arial" w:eastAsia="Arial" w:hAnsi="Arial"/>
          <w:sz w:val="18"/>
          <w:szCs w:val="18"/>
          <w:color w:val="auto"/>
        </w:rPr>
        <w:t xml:space="preserve"> $13.8 million </w:t>
      </w:r>
      <w:r>
        <w:rPr>
          <w:rFonts w:ascii="Arial" w:cs="Arial" w:eastAsia="Arial" w:hAnsi="Arial"/>
          <w:sz w:val="18"/>
          <w:szCs w:val="18"/>
          <w:color w:val="231F20"/>
        </w:rPr>
        <w:t>compared to the same period in 2020 resulting in a net</w:t>
      </w:r>
      <w:r>
        <w:rPr>
          <w:rFonts w:ascii="Arial" w:cs="Arial" w:eastAsia="Arial" w:hAnsi="Arial"/>
          <w:sz w:val="18"/>
          <w:szCs w:val="18"/>
          <w:color w:val="auto"/>
        </w:rPr>
        <w:t xml:space="preserve"> </w:t>
      </w:r>
      <w:r>
        <w:rPr>
          <w:rFonts w:ascii="Arial" w:cs="Arial" w:eastAsia="Arial" w:hAnsi="Arial"/>
          <w:sz w:val="18"/>
          <w:szCs w:val="18"/>
          <w:color w:val="231F20"/>
        </w:rPr>
        <w:t xml:space="preserve">tax benefit. The effective tax rate for the six months ended June 30, 2021 was 0.5% compared to (173.8)% in the same period in 2020. </w:t>
      </w:r>
      <w:r>
        <w:rPr>
          <w:rFonts w:ascii="Arial" w:cs="Arial" w:eastAsia="Arial" w:hAnsi="Arial"/>
          <w:sz w:val="18"/>
          <w:szCs w:val="18"/>
          <w:color w:val="000000"/>
        </w:rPr>
        <w:t>The increase in</w:t>
      </w:r>
      <w:r>
        <w:rPr>
          <w:rFonts w:ascii="Arial" w:cs="Arial" w:eastAsia="Arial" w:hAnsi="Arial"/>
          <w:sz w:val="18"/>
          <w:szCs w:val="18"/>
          <w:color w:val="231F20"/>
        </w:rPr>
        <w:t xml:space="preserve"> </w:t>
      </w:r>
      <w:r>
        <w:rPr>
          <w:rFonts w:ascii="Arial" w:cs="Arial" w:eastAsia="Arial" w:hAnsi="Arial"/>
          <w:sz w:val="18"/>
          <w:szCs w:val="18"/>
          <w:color w:val="000000"/>
        </w:rPr>
        <w:t>our effective tax rate is primarily due to the change in judgment related to the realizability of certain deferred tax assets and the resulting valuation allowance.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3"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7"/>
          <w:szCs w:val="17"/>
          <w:color w:val="auto"/>
        </w:rPr>
        <w:t>To date, our principal sources of liquidity have been the proceeds of $74.4 million from our initial public offering in November 2017, $147.4 million from our follow-on public offering in March 2019, $344.7 million from our issuance of the 2026 Convertible Notes in February 2020 and $217.0 million from our issuance of the 2028 Convertible Notes in March 2021, each net of underwriting discounts and commissions, in addition to free cash flow driven by payments received from customers using our services. We believe that our cash and cash equivalents balances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Statement of Cash Flows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231F20"/>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7"/>
                <w:szCs w:val="17"/>
                <w:b w:val="1"/>
                <w:bCs w:val="1"/>
                <w:color w:val="auto"/>
                <w:w w:val="98"/>
              </w:rPr>
              <w:t>Six months ended June 30,</w:t>
            </w:r>
          </w:p>
        </w:tc>
      </w:tr>
      <w:tr>
        <w:trPr>
          <w:trHeight w:val="207"/>
        </w:trPr>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r>
      <w:tr>
        <w:trPr>
          <w:trHeight w:val="245"/>
        </w:trPr>
        <w:tc>
          <w:tcPr>
            <w:tcW w:w="8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980" w:type="dxa"/>
            <w:vAlign w:val="bottom"/>
          </w:tcPr>
          <w:p>
            <w:pPr>
              <w:spacing w:after="0"/>
              <w:rPr>
                <w:sz w:val="21"/>
                <w:szCs w:val="2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8,845</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(239,828)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14,338</w:t>
            </w:r>
          </w:p>
        </w:tc>
      </w:tr>
      <w:tr>
        <w:trPr>
          <w:trHeight w:val="215"/>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347,057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214,197</w:t>
            </w:r>
          </w:p>
        </w:tc>
      </w:tr>
      <w:tr>
        <w:trPr>
          <w:trHeight w:val="21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r>
      <w:tr>
        <w:trPr>
          <w:trHeight w:val="232"/>
        </w:trPr>
        <w:tc>
          <w:tcPr>
            <w:tcW w:w="810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Net increase in cash, cash equivalents, and restricted cash</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106,905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237,584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59"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 xml:space="preserve">For the six months ended June 30, 2021, </w:t>
      </w:r>
      <w:r>
        <w:rPr>
          <w:rFonts w:ascii="Arial" w:cs="Arial" w:eastAsia="Arial" w:hAnsi="Arial"/>
          <w:sz w:val="18"/>
          <w:szCs w:val="18"/>
          <w:color w:val="231F20"/>
        </w:rPr>
        <w:t>net cash provided by operating activities was $8.8 million, consisting of net loss of $12.2 million</w:t>
      </w:r>
      <w:r>
        <w:rPr>
          <w:rFonts w:ascii="Arial" w:cs="Arial" w:eastAsia="Arial" w:hAnsi="Arial"/>
          <w:sz w:val="18"/>
          <w:szCs w:val="18"/>
          <w:color w:val="auto"/>
        </w:rPr>
        <w:t xml:space="preserve"> </w:t>
      </w:r>
      <w:r>
        <w:rPr>
          <w:rFonts w:ascii="Arial" w:cs="Arial" w:eastAsia="Arial" w:hAnsi="Arial"/>
          <w:sz w:val="18"/>
          <w:szCs w:val="18"/>
          <w:color w:val="231F20"/>
        </w:rPr>
        <w:t>adjusted for non-cash items of $41.7 million, and offset by cash used by changes in operating assets and liabilities of $20.6 million.</w:t>
      </w:r>
    </w:p>
    <w:p>
      <w:pPr>
        <w:spacing w:after="0" w:line="97"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231F20"/>
        </w:rPr>
        <w:t>Cash used in operating assets and liabilities included an increase in accounts receivable of $8.2 million, a decrease in accrued expenses and other liabilities of $6.3 million, a decrease in operating right-of-use liability of $2.9 million, an increase in prepaid expenses and other assets of $3.7 million, and an increase of deferred costs of $0.8 million. Offsetting these cash use items in assets and liabilities were an increase in accounts payable of $1.1 million, and an increase in deferred revenue and advanced billings of $0.2 million.</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The non-cash items included depreciation and amortization expense of $18.2 million, amortization of debt discount and issuance costs of $12.3 million, stock-based compensation expenses of $7.8 million, right-of-use asset amortization of $2.8 million, loss on disposal of property and equipment of $0.3 million, and deferred tax expense of $0.2 million.</w:t>
      </w:r>
    </w:p>
    <w:p>
      <w:pPr>
        <w:spacing w:after="0" w:line="111"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231F20"/>
        </w:rPr>
        <w:t>For the six months ended June 30, 2020, net cash used in operating activities was 0.3 million, consisting of net loss of $21.7 million adjusted for non-cash items of 34.7 million and offset by cash used by changes in operating assets and liabilities of $13.3 million.</w:t>
      </w:r>
    </w:p>
    <w:p>
      <w:pPr>
        <w:spacing w:after="0" w:line="97"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231F20"/>
        </w:rPr>
        <w:t>Cash generated in operating assets and liabilities included an increase in accrued expenses and other liabilities of $2.4 million and an increase in deferred revenue and advanced billings of $1.0 million. Offsetting these cash generating items in assets and liabilities were an increase in accounts receivable of $11.6 million, a decrease in operating right-of-use liability of $2.6 million, an increase in prepaid expenses and other assets of $2.0 million, and an increase of deferred costs of $0.6 million.</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The non-cash items included deferred tax expense of $14.3 million, depreciation and amortization expense of $6.6 million, amortization of debt discount and issuance costs of $6.3 million, stock-based compensation expenses of $4.9 million, right-of-use asset amortization of $2.3 million, and loss on disposal of property and equipment of $0.3 million.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59" w:lineRule="exact"/>
        <w:rPr>
          <w:sz w:val="20"/>
          <w:szCs w:val="20"/>
          <w:color w:val="auto"/>
        </w:rPr>
      </w:pPr>
    </w:p>
    <w:p>
      <w:pPr>
        <w:jc w:val="both"/>
        <w:ind w:firstLine="605"/>
        <w:spacing w:after="0" w:line="312" w:lineRule="auto"/>
        <w:rPr>
          <w:sz w:val="20"/>
          <w:szCs w:val="20"/>
          <w:color w:val="auto"/>
        </w:rPr>
      </w:pPr>
      <w:r>
        <w:rPr>
          <w:rFonts w:ascii="Arial" w:cs="Arial" w:eastAsia="Arial" w:hAnsi="Arial"/>
          <w:sz w:val="16"/>
          <w:szCs w:val="16"/>
          <w:color w:val="auto"/>
        </w:rPr>
        <w:t xml:space="preserve">For the six months ended June 30, 2021, net </w:t>
      </w:r>
      <w:r>
        <w:rPr>
          <w:rFonts w:ascii="Arial" w:cs="Arial" w:eastAsia="Arial" w:hAnsi="Arial"/>
          <w:sz w:val="16"/>
          <w:szCs w:val="16"/>
          <w:color w:val="231F20"/>
        </w:rPr>
        <w:t>cash provided by investing activities was $14.3 million. Cash provided by investing activities was</w:t>
      </w:r>
      <w:r>
        <w:rPr>
          <w:rFonts w:ascii="Arial" w:cs="Arial" w:eastAsia="Arial" w:hAnsi="Arial"/>
          <w:sz w:val="16"/>
          <w:szCs w:val="16"/>
          <w:color w:val="auto"/>
        </w:rPr>
        <w:t xml:space="preserve"> </w:t>
      </w:r>
      <w:r>
        <w:rPr>
          <w:rFonts w:ascii="Arial" w:cs="Arial" w:eastAsia="Arial" w:hAnsi="Arial"/>
          <w:sz w:val="16"/>
          <w:szCs w:val="16"/>
          <w:color w:val="231F20"/>
        </w:rPr>
        <w:t>the proceeds from sales and maturities of other investments of $40.0 million, proceeds from the sale of land of $17.4 million, offset by the purchase of land of $30.0 million, purchase of property and equipment of $10.7 million and capitalized internally developed software costs of $2.4 million.</w:t>
      </w:r>
    </w:p>
    <w:p>
      <w:pPr>
        <w:spacing w:after="0" w:line="77" w:lineRule="exact"/>
        <w:rPr>
          <w:sz w:val="20"/>
          <w:szCs w:val="20"/>
          <w:color w:val="auto"/>
        </w:rPr>
      </w:pPr>
    </w:p>
    <w:p>
      <w:pPr>
        <w:jc w:val="both"/>
        <w:ind w:firstLine="605"/>
        <w:spacing w:after="0" w:line="311" w:lineRule="auto"/>
        <w:rPr>
          <w:sz w:val="20"/>
          <w:szCs w:val="20"/>
          <w:color w:val="auto"/>
        </w:rPr>
      </w:pPr>
      <w:r>
        <w:rPr>
          <w:rFonts w:ascii="Arial" w:cs="Arial" w:eastAsia="Arial" w:hAnsi="Arial"/>
          <w:sz w:val="17"/>
          <w:szCs w:val="17"/>
          <w:color w:val="231F20"/>
        </w:rPr>
        <w:t xml:space="preserve">For the six months ended June 30, 2020, </w:t>
      </w:r>
      <w:r>
        <w:rPr>
          <w:rFonts w:ascii="Arial" w:cs="Arial" w:eastAsia="Arial" w:hAnsi="Arial"/>
          <w:sz w:val="17"/>
          <w:szCs w:val="17"/>
          <w:color w:val="000000"/>
        </w:rPr>
        <w:t>net</w:t>
      </w:r>
      <w:r>
        <w:rPr>
          <w:rFonts w:ascii="Arial" w:cs="Arial" w:eastAsia="Arial" w:hAnsi="Arial"/>
          <w:sz w:val="17"/>
          <w:szCs w:val="17"/>
          <w:color w:val="231F20"/>
        </w:rPr>
        <w:t xml:space="preserve"> cash used in investing activities was $239.8 million from the purchase of other investments of $230.8 million, the purchase of property and equipment of $7.6 million and capitalized internally developed software costs of $1.5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5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 xml:space="preserve">For the six months ended June 30, 2021, </w:t>
      </w:r>
      <w:r>
        <w:rPr>
          <w:rFonts w:ascii="Arial" w:cs="Arial" w:eastAsia="Arial" w:hAnsi="Arial"/>
          <w:sz w:val="18"/>
          <w:szCs w:val="18"/>
          <w:color w:val="231F20"/>
        </w:rPr>
        <w:t>net cash provided by financing activities was $214.2 million consisting primarily of $250.0 million in</w:t>
      </w:r>
      <w:r>
        <w:rPr>
          <w:rFonts w:ascii="Arial" w:cs="Arial" w:eastAsia="Arial" w:hAnsi="Arial"/>
          <w:sz w:val="18"/>
          <w:szCs w:val="18"/>
          <w:color w:val="auto"/>
        </w:rPr>
        <w:t xml:space="preserve"> </w:t>
      </w:r>
      <w:r>
        <w:rPr>
          <w:rFonts w:ascii="Arial" w:cs="Arial" w:eastAsia="Arial" w:hAnsi="Arial"/>
          <w:sz w:val="18"/>
          <w:szCs w:val="18"/>
          <w:color w:val="231F20"/>
        </w:rPr>
        <w:t>proceeds from the issuance of the 2028 Convertible Notes and $0.8 million in proceeds from the issuance of stock options, partially offset by $25.5 million in the purchase of the 2028 Capped Calls, $7.5 million in payments of debt issuance cost, $3.5 million in value of equity awards withheld for tax liabilities, and payments of finance leases of $0.1 million.</w:t>
      </w:r>
    </w:p>
    <w:p>
      <w:pPr>
        <w:spacing w:after="0" w:line="115" w:lineRule="exact"/>
        <w:rPr>
          <w:sz w:val="20"/>
          <w:szCs w:val="20"/>
          <w:color w:val="auto"/>
        </w:rPr>
      </w:pPr>
    </w:p>
    <w:p>
      <w:pPr>
        <w:jc w:val="both"/>
        <w:ind w:firstLine="605"/>
        <w:spacing w:after="0" w:line="312" w:lineRule="auto"/>
        <w:rPr>
          <w:sz w:val="20"/>
          <w:szCs w:val="20"/>
          <w:color w:val="auto"/>
        </w:rPr>
      </w:pPr>
      <w:r>
        <w:rPr>
          <w:rFonts w:ascii="Arial" w:cs="Arial" w:eastAsia="Arial" w:hAnsi="Arial"/>
          <w:sz w:val="16"/>
          <w:szCs w:val="16"/>
          <w:color w:val="231F20"/>
        </w:rPr>
        <w:t>For the six months ended June 30, 2020, net cash provided by financing activities was $347.1 million consisting primarily of $400.0 million in proceeds from issuance of the Convertible Notes and $3.5 million in proceeds from the issuance of stock options, partially offset by $43.3 million in the purchase of the Capped Calls, $11.9 million in payments of debt issuance costs and $1.2 million in value of equity awards withheld for tax liabilities.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Debt</w:t>
      </w:r>
    </w:p>
    <w:p>
      <w:pPr>
        <w:spacing w:after="0" w:line="15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 xml:space="preserve">On May 25, 2021, we terminated the Credit and Security Agreement, dated as of November 4, 2016 as amended and restated as of March 1, 2019, among the Company, KeyBank National Association, and KeyBanc Capital Markets Inc. (the “Credit Agreement”). The Credit Agreement provided for a secured </w:t>
      </w:r>
      <w:r>
        <w:rPr>
          <w:rFonts w:ascii="Arial" w:cs="Arial" w:eastAsia="Arial" w:hAnsi="Arial"/>
          <w:sz w:val="18"/>
          <w:szCs w:val="18"/>
          <w:color w:val="231F20"/>
        </w:rPr>
        <w:t>$25.0 million</w:t>
      </w:r>
      <w:r>
        <w:rPr>
          <w:rFonts w:ascii="Arial" w:cs="Arial" w:eastAsia="Arial" w:hAnsi="Arial"/>
          <w:sz w:val="18"/>
          <w:szCs w:val="18"/>
          <w:color w:val="auto"/>
        </w:rPr>
        <w:t xml:space="preserve"> revolving credit facility. As of May 25, 2021, no borrowings were outstanding under the Credit Agreement. As of June 30, 2021, we had no outstanding unamortized loan fees for the Credit Agreement.</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 xml:space="preserve">On March 16, 2021, we issued </w:t>
      </w:r>
      <w:r>
        <w:rPr>
          <w:rFonts w:ascii="Arial" w:cs="Arial" w:eastAsia="Arial" w:hAnsi="Arial"/>
          <w:sz w:val="18"/>
          <w:szCs w:val="18"/>
          <w:color w:val="231F20"/>
        </w:rPr>
        <w:t>$250.0 million</w:t>
      </w:r>
      <w:r>
        <w:rPr>
          <w:rFonts w:ascii="Arial" w:cs="Arial" w:eastAsia="Arial" w:hAnsi="Arial"/>
          <w:sz w:val="18"/>
          <w:szCs w:val="18"/>
          <w:color w:val="auto"/>
        </w:rPr>
        <w:t xml:space="preserve"> aggregate principal amount of the 2028 Convertible Notes in a private placement to qualified institutional buyers pursuant to Rule 144A under the Securities Act. The interest on the 2028 Convertible Notes is payable semi-annually in arrears on April 1 and October 1 of each year, beginning on October 1, 2021.</w:t>
      </w:r>
    </w:p>
    <w:p>
      <w:pPr>
        <w:spacing w:after="0" w:line="111"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 xml:space="preserve">The 2028 Convertible Notes may bear special interest under specified circumstances relating to our failure to comply with its reporting obligations under the indenture governing the 2028 Convertible Notes (the “2028 Indenture”) or if the 2028 Convertible Notes are not freely tradeable as required by the 2028 Indenture. The 2028 Convertible Notes will mature on April 1, 2028, unless earlier repurchased, redeemed by us, or converted pursuant to their terms. The total net proceeds from the 2028 Convertible Notes, after deducting initial purchaser discounts, costs related to the 2028 Capped Calls, and debt issuance costs, paid or payable by us, were approximately </w:t>
      </w:r>
      <w:r>
        <w:rPr>
          <w:rFonts w:ascii="Arial" w:cs="Arial" w:eastAsia="Arial" w:hAnsi="Arial"/>
          <w:sz w:val="18"/>
          <w:szCs w:val="18"/>
          <w:color w:val="231F20"/>
        </w:rPr>
        <w:t>$217.0 million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 and Other Commitments</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non-cancellable contractual obligations as of June 30,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7"/>
                <w:szCs w:val="17"/>
                <w:b w:val="1"/>
                <w:bCs w:val="1"/>
                <w:color w:val="auto"/>
              </w:rPr>
              <w:t>Less</w:t>
            </w:r>
          </w:p>
        </w:tc>
        <w:tc>
          <w:tcPr>
            <w:tcW w:w="72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89"/>
              </w:rPr>
              <w:t>1 to 3</w:t>
            </w:r>
          </w:p>
        </w:tc>
        <w:tc>
          <w:tcPr>
            <w:tcW w:w="720" w:type="dxa"/>
            <w:vAlign w:val="bottom"/>
          </w:tcPr>
          <w:p>
            <w:pPr>
              <w:spacing w:after="0"/>
              <w:rPr>
                <w:sz w:val="16"/>
                <w:szCs w:val="16"/>
                <w:color w:val="auto"/>
              </w:rPr>
            </w:pPr>
          </w:p>
        </w:tc>
        <w:tc>
          <w:tcPr>
            <w:tcW w:w="1280" w:type="dxa"/>
            <w:vAlign w:val="bottom"/>
            <w:gridSpan w:val="2"/>
            <w:vMerge w:val="restart"/>
          </w:tcPr>
          <w:p>
            <w:pPr>
              <w:ind w:left="340"/>
              <w:spacing w:after="0"/>
              <w:rPr>
                <w:sz w:val="20"/>
                <w:szCs w:val="20"/>
                <w:color w:val="auto"/>
              </w:rPr>
            </w:pPr>
            <w:r>
              <w:rPr>
                <w:rFonts w:ascii="Arial" w:cs="Arial" w:eastAsia="Arial" w:hAnsi="Arial"/>
                <w:sz w:val="17"/>
                <w:szCs w:val="17"/>
                <w:b w:val="1"/>
                <w:bCs w:val="1"/>
                <w:color w:val="auto"/>
              </w:rPr>
              <w:t>3 to 5</w:t>
            </w:r>
          </w:p>
        </w:tc>
        <w:tc>
          <w:tcPr>
            <w:tcW w:w="72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Arial" w:cs="Arial" w:eastAsia="Arial" w:hAnsi="Arial"/>
                <w:sz w:val="17"/>
                <w:szCs w:val="17"/>
                <w:b w:val="1"/>
                <w:bCs w:val="1"/>
                <w:color w:val="auto"/>
              </w:rPr>
              <w:t>More</w:t>
            </w:r>
          </w:p>
        </w:tc>
        <w:tc>
          <w:tcPr>
            <w:tcW w:w="0" w:type="dxa"/>
            <w:vAlign w:val="bottom"/>
          </w:tcPr>
          <w:p>
            <w:pPr>
              <w:spacing w:after="0"/>
              <w:rPr>
                <w:sz w:val="1"/>
                <w:szCs w:val="1"/>
                <w:color w:val="auto"/>
              </w:rPr>
            </w:pPr>
          </w:p>
        </w:tc>
      </w:tr>
      <w:tr>
        <w:trPr>
          <w:trHeight w:val="164"/>
        </w:trPr>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vMerge w:val="restart"/>
          </w:tcPr>
          <w:p>
            <w:pPr>
              <w:jc w:val="right"/>
              <w:ind w:right="456"/>
              <w:spacing w:after="0"/>
              <w:rPr>
                <w:sz w:val="20"/>
                <w:szCs w:val="20"/>
                <w:color w:val="auto"/>
              </w:rPr>
            </w:pPr>
            <w:r>
              <w:rPr>
                <w:rFonts w:ascii="Arial" w:cs="Arial" w:eastAsia="Arial" w:hAnsi="Arial"/>
                <w:sz w:val="17"/>
                <w:szCs w:val="17"/>
                <w:b w:val="1"/>
                <w:bCs w:val="1"/>
                <w:color w:val="auto"/>
              </w:rPr>
              <w:t>Total</w:t>
            </w:r>
          </w:p>
        </w:tc>
        <w:tc>
          <w:tcPr>
            <w:tcW w:w="80" w:type="dxa"/>
            <w:vAlign w:val="bottom"/>
            <w:vMerge w:val="restart"/>
          </w:tcPr>
          <w:p>
            <w:pPr>
              <w:spacing w:after="0"/>
              <w:rPr>
                <w:sz w:val="14"/>
                <w:szCs w:val="14"/>
                <w:color w:val="auto"/>
              </w:rPr>
            </w:pPr>
          </w:p>
        </w:tc>
        <w:tc>
          <w:tcPr>
            <w:tcW w:w="1920" w:type="dxa"/>
            <w:vAlign w:val="bottom"/>
            <w:gridSpan w:val="3"/>
          </w:tcPr>
          <w:p>
            <w:pPr>
              <w:ind w:left="700"/>
              <w:spacing w:after="0" w:line="164" w:lineRule="exact"/>
              <w:rPr>
                <w:sz w:val="20"/>
                <w:szCs w:val="20"/>
                <w:color w:val="auto"/>
              </w:rPr>
            </w:pPr>
            <w:r>
              <w:rPr>
                <w:rFonts w:ascii="Arial" w:cs="Arial" w:eastAsia="Arial" w:hAnsi="Arial"/>
                <w:sz w:val="17"/>
                <w:szCs w:val="17"/>
                <w:b w:val="1"/>
                <w:bCs w:val="1"/>
                <w:color w:val="auto"/>
              </w:rPr>
              <w:t>than 1</w:t>
            </w:r>
          </w:p>
        </w:tc>
        <w:tc>
          <w:tcPr>
            <w:tcW w:w="7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jc w:val="right"/>
              <w:ind w:right="656"/>
              <w:spacing w:after="0" w:line="164" w:lineRule="exact"/>
              <w:rPr>
                <w:sz w:val="20"/>
                <w:szCs w:val="20"/>
                <w:color w:val="auto"/>
              </w:rPr>
            </w:pPr>
            <w:r>
              <w:rPr>
                <w:rFonts w:ascii="Arial" w:cs="Arial" w:eastAsia="Arial" w:hAnsi="Arial"/>
                <w:sz w:val="17"/>
                <w:szCs w:val="17"/>
                <w:b w:val="1"/>
                <w:bCs w:val="1"/>
                <w:color w:val="auto"/>
                <w:w w:val="87"/>
              </w:rPr>
              <w:t>than 5</w:t>
            </w:r>
          </w:p>
        </w:tc>
        <w:tc>
          <w:tcPr>
            <w:tcW w:w="0" w:type="dxa"/>
            <w:vAlign w:val="bottom"/>
          </w:tcPr>
          <w:p>
            <w:pPr>
              <w:spacing w:after="0"/>
              <w:rPr>
                <w:sz w:val="1"/>
                <w:szCs w:val="1"/>
                <w:color w:val="auto"/>
              </w:rPr>
            </w:pPr>
          </w:p>
        </w:tc>
      </w:tr>
      <w:tr>
        <w:trPr>
          <w:trHeight w:val="214"/>
        </w:trPr>
        <w:tc>
          <w:tcPr>
            <w:tcW w:w="14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b w:val="1"/>
                <w:bCs w:val="1"/>
                <w:color w:val="auto"/>
                <w:w w:val="91"/>
              </w:rPr>
              <w:t>year</w:t>
            </w: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w w:val="81"/>
              </w:rPr>
              <w:t>Years</w:t>
            </w: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b w:val="1"/>
                <w:bCs w:val="1"/>
                <w:color w:val="auto"/>
                <w:w w:val="90"/>
              </w:rPr>
              <w:t>Years</w:t>
            </w: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b w:val="1"/>
                <w:bCs w:val="1"/>
                <w:color w:val="auto"/>
                <w:w w:val="94"/>
              </w:rPr>
              <w:t>years</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3"/>
          </w:tcPr>
          <w:p>
            <w:pPr>
              <w:jc w:val="center"/>
              <w:ind w:left="396"/>
              <w:spacing w:after="0"/>
              <w:rPr>
                <w:sz w:val="20"/>
                <w:szCs w:val="20"/>
                <w:color w:val="auto"/>
              </w:rPr>
            </w:pPr>
            <w:r>
              <w:rPr>
                <w:rFonts w:ascii="Arial" w:cs="Arial" w:eastAsia="Arial" w:hAnsi="Arial"/>
                <w:sz w:val="17"/>
                <w:szCs w:val="17"/>
                <w:b w:val="1"/>
                <w:bCs w:val="1"/>
                <w:color w:val="auto"/>
                <w:w w:val="88"/>
              </w:rPr>
              <w:t>(In thousands)</w:t>
            </w: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1460" w:type="dxa"/>
            <w:vAlign w:val="bottom"/>
            <w:shd w:val="clear" w:color="auto" w:fill="CCEEFF"/>
          </w:tcPr>
          <w:p>
            <w:pPr>
              <w:ind w:left="620"/>
              <w:spacing w:after="0" w:line="164" w:lineRule="exact"/>
              <w:rPr>
                <w:sz w:val="20"/>
                <w:szCs w:val="20"/>
                <w:color w:val="auto"/>
              </w:rPr>
            </w:pPr>
            <w:r>
              <w:rPr>
                <w:rFonts w:ascii="Arial" w:cs="Arial" w:eastAsia="Arial" w:hAnsi="Arial"/>
                <w:sz w:val="17"/>
                <w:szCs w:val="17"/>
                <w:color w:val="auto"/>
              </w:rPr>
              <w:t>Operating</w:t>
            </w:r>
          </w:p>
        </w:tc>
        <w:tc>
          <w:tcPr>
            <w:tcW w:w="92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19,417</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6,757</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10,927</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1,733</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 (1)</w:t>
            </w:r>
          </w:p>
        </w:tc>
        <w:tc>
          <w:tcPr>
            <w:tcW w:w="9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460" w:type="dxa"/>
            <w:vAlign w:val="bottom"/>
          </w:tcPr>
          <w:p>
            <w:pPr>
              <w:ind w:left="620"/>
              <w:spacing w:after="0" w:line="164" w:lineRule="exact"/>
              <w:rPr>
                <w:sz w:val="20"/>
                <w:szCs w:val="20"/>
                <w:color w:val="auto"/>
              </w:rPr>
            </w:pPr>
            <w:r>
              <w:rPr>
                <w:rFonts w:ascii="Arial" w:cs="Arial" w:eastAsia="Arial" w:hAnsi="Arial"/>
                <w:sz w:val="17"/>
                <w:szCs w:val="17"/>
                <w:color w:val="auto"/>
              </w:rPr>
              <w:t>Finance</w:t>
            </w:r>
          </w:p>
        </w:tc>
        <w:tc>
          <w:tcPr>
            <w:tcW w:w="9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506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242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460" w:type="dxa"/>
            <w:vAlign w:val="bottom"/>
          </w:tcPr>
          <w:p>
            <w:pPr>
              <w:ind w:left="20"/>
              <w:spacing w:after="0"/>
              <w:rPr>
                <w:sz w:val="20"/>
                <w:szCs w:val="20"/>
                <w:color w:val="auto"/>
              </w:rPr>
            </w:pPr>
            <w:r>
              <w:rPr>
                <w:rFonts w:ascii="Arial" w:cs="Arial" w:eastAsia="Arial" w:hAnsi="Arial"/>
                <w:sz w:val="17"/>
                <w:szCs w:val="17"/>
                <w:color w:val="auto"/>
              </w:rPr>
              <w:t>leases (1)</w:t>
            </w:r>
          </w:p>
        </w:tc>
        <w:tc>
          <w:tcPr>
            <w:tcW w:w="9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460" w:type="dxa"/>
            <w:vAlign w:val="bottom"/>
            <w:shd w:val="clear" w:color="auto" w:fill="CCEEFF"/>
          </w:tcPr>
          <w:p>
            <w:pPr>
              <w:ind w:left="620"/>
              <w:spacing w:after="0" w:line="164" w:lineRule="exact"/>
              <w:rPr>
                <w:sz w:val="20"/>
                <w:szCs w:val="20"/>
                <w:color w:val="auto"/>
              </w:rPr>
            </w:pPr>
            <w:r>
              <w:rPr>
                <w:rFonts w:ascii="Arial" w:cs="Arial" w:eastAsia="Arial" w:hAnsi="Arial"/>
                <w:sz w:val="17"/>
                <w:szCs w:val="17"/>
                <w:color w:val="auto"/>
                <w:w w:val="98"/>
              </w:rPr>
              <w:t>Leases not</w:t>
            </w:r>
          </w:p>
        </w:tc>
        <w:tc>
          <w:tcPr>
            <w:tcW w:w="9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495,708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24,223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42,704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428,781</w:t>
            </w:r>
          </w:p>
        </w:tc>
        <w:tc>
          <w:tcPr>
            <w:tcW w:w="0" w:type="dxa"/>
            <w:vAlign w:val="bottom"/>
          </w:tcPr>
          <w:p>
            <w:pPr>
              <w:spacing w:after="0"/>
              <w:rPr>
                <w:sz w:val="1"/>
                <w:szCs w:val="1"/>
                <w:color w:val="auto"/>
              </w:rPr>
            </w:pPr>
          </w:p>
        </w:tc>
      </w:tr>
      <w:tr>
        <w:trPr>
          <w:trHeight w:val="214"/>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yet commenced (2)</w:t>
            </w:r>
          </w:p>
        </w:tc>
        <w:tc>
          <w:tcPr>
            <w:tcW w:w="9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460" w:type="dxa"/>
            <w:vAlign w:val="bottom"/>
          </w:tcPr>
          <w:p>
            <w:pPr>
              <w:ind w:left="620"/>
              <w:spacing w:after="0" w:line="164" w:lineRule="exact"/>
              <w:rPr>
                <w:sz w:val="20"/>
                <w:szCs w:val="20"/>
                <w:color w:val="auto"/>
              </w:rPr>
            </w:pPr>
            <w:r>
              <w:rPr>
                <w:rFonts w:ascii="Arial" w:cs="Arial" w:eastAsia="Arial" w:hAnsi="Arial"/>
                <w:sz w:val="17"/>
                <w:szCs w:val="17"/>
                <w:color w:val="auto"/>
                <w:w w:val="95"/>
              </w:rPr>
              <w:t>Convertible</w:t>
            </w:r>
          </w:p>
        </w:tc>
        <w:tc>
          <w:tcPr>
            <w:tcW w:w="9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650,000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400,000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214"/>
        </w:trPr>
        <w:tc>
          <w:tcPr>
            <w:tcW w:w="1460" w:type="dxa"/>
            <w:vAlign w:val="bottom"/>
          </w:tcPr>
          <w:p>
            <w:pPr>
              <w:ind w:left="20"/>
              <w:spacing w:after="0"/>
              <w:rPr>
                <w:sz w:val="20"/>
                <w:szCs w:val="20"/>
                <w:color w:val="auto"/>
              </w:rPr>
            </w:pPr>
            <w:r>
              <w:rPr>
                <w:rFonts w:ascii="Arial" w:cs="Arial" w:eastAsia="Arial" w:hAnsi="Arial"/>
                <w:sz w:val="17"/>
                <w:szCs w:val="17"/>
                <w:color w:val="auto"/>
              </w:rPr>
              <w:t>Notes (3)</w:t>
            </w:r>
          </w:p>
        </w:tc>
        <w:tc>
          <w:tcPr>
            <w:tcW w:w="9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460" w:type="dxa"/>
            <w:vAlign w:val="bottom"/>
            <w:shd w:val="clear" w:color="auto" w:fill="CCEEFF"/>
          </w:tcPr>
          <w:p>
            <w:pPr>
              <w:ind w:left="620"/>
              <w:spacing w:after="0" w:line="164" w:lineRule="exact"/>
              <w:rPr>
                <w:sz w:val="20"/>
                <w:szCs w:val="20"/>
                <w:color w:val="auto"/>
              </w:rPr>
            </w:pPr>
            <w:r>
              <w:rPr>
                <w:rFonts w:ascii="Arial" w:cs="Arial" w:eastAsia="Arial" w:hAnsi="Arial"/>
                <w:sz w:val="17"/>
                <w:szCs w:val="17"/>
                <w:color w:val="auto"/>
              </w:rPr>
              <w:t>Purchase</w:t>
            </w:r>
          </w:p>
        </w:tc>
        <w:tc>
          <w:tcPr>
            <w:tcW w:w="9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11,019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4,199</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4"/>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obligations (4)</w:t>
            </w: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60" w:type="dxa"/>
            <w:vAlign w:val="bottom"/>
          </w:tcPr>
          <w:p>
            <w:pPr>
              <w:ind w:left="820"/>
              <w:spacing w:after="0" w:line="194" w:lineRule="exact"/>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1,182,550</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17,998</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39,591</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446,177</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678,784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w:t>
      </w:r>
    </w:p>
    <w:p>
      <w:pPr>
        <w:spacing w:after="0" w:line="24" w:lineRule="exact"/>
        <w:rPr>
          <w:sz w:val="20"/>
          <w:szCs w:val="20"/>
          <w:color w:val="auto"/>
        </w:rPr>
      </w:pPr>
    </w:p>
    <w:p>
      <w:pPr>
        <w:ind w:left="840" w:hanging="234"/>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Operating and finance leases represent total future minimum rent payments under non-cancellable lease agreements.</w:t>
      </w:r>
    </w:p>
    <w:p>
      <w:pPr>
        <w:spacing w:after="0" w:line="4" w:lineRule="exact"/>
        <w:rPr>
          <w:rFonts w:ascii="Arial" w:cs="Arial" w:eastAsia="Arial" w:hAnsi="Arial"/>
          <w:sz w:val="17"/>
          <w:szCs w:val="17"/>
          <w:color w:val="auto"/>
        </w:rPr>
      </w:pPr>
    </w:p>
    <w:p>
      <w:pPr>
        <w:ind w:right="100" w:firstLine="606"/>
        <w:spacing w:after="0" w:line="247" w:lineRule="auto"/>
        <w:tabs>
          <w:tab w:leader="none" w:pos="846"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 xml:space="preserve">See Note 12, </w:t>
      </w:r>
      <w:r>
        <w:rPr>
          <w:rFonts w:ascii="Arial" w:cs="Arial" w:eastAsia="Arial" w:hAnsi="Arial"/>
          <w:sz w:val="17"/>
          <w:szCs w:val="17"/>
          <w:color w:val="000000"/>
        </w:rPr>
        <w:t>“Commitments and Contingencies”</w:t>
      </w:r>
      <w:r>
        <w:rPr>
          <w:rFonts w:ascii="Arial" w:cs="Arial" w:eastAsia="Arial" w:hAnsi="Arial"/>
          <w:sz w:val="17"/>
          <w:szCs w:val="17"/>
          <w:color w:val="231F20"/>
        </w:rPr>
        <w:t xml:space="preserve"> to the condensed consolidated financial statements included elsewhere in this Quarterly Report on Form 10-Q, for a discussion of the lease anticipated to commence in May 2023 for our new corporate headquarters.</w:t>
      </w:r>
    </w:p>
    <w:p>
      <w:pPr>
        <w:spacing w:after="0" w:line="1" w:lineRule="exact"/>
        <w:rPr>
          <w:rFonts w:ascii="Arial" w:cs="Arial" w:eastAsia="Arial" w:hAnsi="Arial"/>
          <w:sz w:val="17"/>
          <w:szCs w:val="17"/>
          <w:color w:val="231F20"/>
        </w:rPr>
      </w:pPr>
    </w:p>
    <w:p>
      <w:pPr>
        <w:ind w:right="100" w:firstLine="606"/>
        <w:spacing w:after="0" w:line="247" w:lineRule="auto"/>
        <w:tabs>
          <w:tab w:leader="none" w:pos="846" w:val="left"/>
        </w:tabs>
        <w:numPr>
          <w:ilvl w:val="0"/>
          <w:numId w:val="18"/>
        </w:numPr>
        <w:rPr>
          <w:rFonts w:ascii="Arial" w:cs="Arial" w:eastAsia="Arial" w:hAnsi="Arial"/>
          <w:sz w:val="17"/>
          <w:szCs w:val="17"/>
          <w:color w:val="231F20"/>
        </w:rPr>
      </w:pPr>
      <w:r>
        <w:rPr>
          <w:rFonts w:ascii="Arial" w:cs="Arial" w:eastAsia="Arial" w:hAnsi="Arial"/>
          <w:sz w:val="17"/>
          <w:szCs w:val="17"/>
          <w:color w:val="231F20"/>
        </w:rPr>
        <w:t xml:space="preserve">See Note 8, </w:t>
      </w:r>
      <w:r>
        <w:rPr>
          <w:rFonts w:ascii="Arial" w:cs="Arial" w:eastAsia="Arial" w:hAnsi="Arial"/>
          <w:sz w:val="17"/>
          <w:szCs w:val="17"/>
          <w:color w:val="000000"/>
        </w:rPr>
        <w:t>“Debt”</w:t>
      </w:r>
      <w:r>
        <w:rPr>
          <w:rFonts w:ascii="Arial" w:cs="Arial" w:eastAsia="Arial" w:hAnsi="Arial"/>
          <w:sz w:val="17"/>
          <w:szCs w:val="17"/>
          <w:color w:val="231F20"/>
        </w:rPr>
        <w:t xml:space="preserve"> to the condensed consolidated financial statements included elsewhere in this Quarterly Report on Form 10-Q, for a discussion of our 2026 Convertible Notes and our 2028 Convertible Notes.</w:t>
      </w:r>
    </w:p>
    <w:p>
      <w:pPr>
        <w:spacing w:after="0" w:line="1" w:lineRule="exact"/>
        <w:rPr>
          <w:rFonts w:ascii="Arial" w:cs="Arial" w:eastAsia="Arial" w:hAnsi="Arial"/>
          <w:sz w:val="17"/>
          <w:szCs w:val="17"/>
          <w:color w:val="231F20"/>
        </w:rPr>
      </w:pPr>
    </w:p>
    <w:p>
      <w:pPr>
        <w:ind w:right="100" w:firstLine="606"/>
        <w:spacing w:after="0" w:line="255" w:lineRule="auto"/>
        <w:tabs>
          <w:tab w:leader="none" w:pos="856"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Purchase obligations represent total non-cancelable purchase commitments and future minimum payments under contracts to various service providers, excluding agreements that are cancellable without penalty.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63" w:lineRule="exact"/>
        <w:rPr>
          <w:sz w:val="20"/>
          <w:szCs w:val="20"/>
          <w:color w:val="auto"/>
        </w:rPr>
      </w:pPr>
    </w:p>
    <w:p>
      <w:pPr>
        <w:jc w:val="both"/>
        <w:ind w:right="100" w:firstLine="605"/>
        <w:spacing w:after="0" w:line="280" w:lineRule="auto"/>
        <w:rPr>
          <w:sz w:val="20"/>
          <w:szCs w:val="20"/>
          <w:color w:val="auto"/>
        </w:rPr>
      </w:pPr>
      <w:r>
        <w:rPr>
          <w:rFonts w:ascii="Arial" w:cs="Arial" w:eastAsia="Arial" w:hAnsi="Arial"/>
          <w:sz w:val="18"/>
          <w:szCs w:val="18"/>
          <w:color w:val="231F20"/>
        </w:rPr>
        <w:t>We do not have any holdings in variable interest entities. With the acquisition of Voxbone, we have off-balance sheet agreements for short-term office and automobile leases in the amount of $417 and $6, respectively, ending prior to June 30, 2022</w:t>
      </w:r>
      <w:r>
        <w:rPr>
          <w:rFonts w:ascii="Arial" w:cs="Arial" w:eastAsia="Arial" w:hAnsi="Arial"/>
          <w:sz w:val="18"/>
          <w:szCs w:val="18"/>
          <w:color w:val="000000"/>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Significant Judgments and Estimates</w:t>
      </w:r>
    </w:p>
    <w:p>
      <w:pPr>
        <w:spacing w:after="0" w:line="163" w:lineRule="exact"/>
        <w:rPr>
          <w:sz w:val="20"/>
          <w:szCs w:val="20"/>
          <w:color w:val="auto"/>
        </w:rPr>
      </w:pPr>
    </w:p>
    <w:p>
      <w:pPr>
        <w:jc w:val="both"/>
        <w:ind w:right="100" w:firstLine="605"/>
        <w:spacing w:after="0" w:line="254"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23" w:lineRule="exact"/>
        <w:rPr>
          <w:sz w:val="20"/>
          <w:szCs w:val="20"/>
          <w:color w:val="auto"/>
        </w:rPr>
      </w:pPr>
    </w:p>
    <w:p>
      <w:pPr>
        <w:jc w:val="both"/>
        <w:ind w:right="100" w:firstLine="605"/>
        <w:spacing w:after="0" w:line="312" w:lineRule="auto"/>
        <w:rPr>
          <w:sz w:val="20"/>
          <w:szCs w:val="20"/>
          <w:color w:val="auto"/>
        </w:rPr>
      </w:pPr>
      <w:r>
        <w:rPr>
          <w:rFonts w:ascii="Arial" w:cs="Arial" w:eastAsia="Arial" w:hAnsi="Arial"/>
          <w:sz w:val="16"/>
          <w:szCs w:val="16"/>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77" w:lineRule="exact"/>
        <w:rPr>
          <w:sz w:val="20"/>
          <w:szCs w:val="20"/>
          <w:color w:val="auto"/>
        </w:rPr>
      </w:pPr>
    </w:p>
    <w:p>
      <w:pPr>
        <w:jc w:val="both"/>
        <w:ind w:right="100" w:firstLine="605"/>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63" w:lineRule="exact"/>
        <w:rPr>
          <w:sz w:val="20"/>
          <w:szCs w:val="20"/>
          <w:color w:val="auto"/>
        </w:rPr>
      </w:pPr>
    </w:p>
    <w:p>
      <w:pPr>
        <w:ind w:firstLine="605"/>
        <w:spacing w:after="0" w:line="311" w:lineRule="auto"/>
        <w:rPr>
          <w:sz w:val="20"/>
          <w:szCs w:val="20"/>
          <w:color w:val="auto"/>
        </w:rPr>
      </w:pPr>
      <w:r>
        <w:rPr>
          <w:rFonts w:ascii="Arial" w:cs="Arial" w:eastAsia="Arial" w:hAnsi="Arial"/>
          <w:sz w:val="17"/>
          <w:szCs w:val="17"/>
          <w:color w:val="auto"/>
        </w:rPr>
        <w:t>See Note 2, “Summary of Significant Accounting Policies” to the condensed consolidated financial statements included elsewhere in this Quarterly Report on Form 10-Q,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rates and inflation.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Our primary exposure to market risk relates to interest rate changes. We had cash and cash equivalents of $309.6 million as of June 30, 2021, which were held for working capital purposes. Our cash and cash equivalents are comprised primarily of interest bearing checking accounts, money market accounts and time deposits.</w:t>
      </w:r>
    </w:p>
    <w:p>
      <w:pPr>
        <w:spacing w:after="0" w:line="111"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19"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In February 2020 and March 2021, we issued $400.0 million and $250 million aggregate principal amount of the 2026 Convertible Notes and the 2028 Convertible Notes, respectively. As the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Convertible Notes at face value less unamortized discount on our balance sheet, and we present the fair value for required disclosure purposes only.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59" w:lineRule="exact"/>
        <w:rPr>
          <w:sz w:val="20"/>
          <w:szCs w:val="20"/>
          <w:color w:val="auto"/>
        </w:rPr>
      </w:pPr>
    </w:p>
    <w:p>
      <w:pPr>
        <w:jc w:val="both"/>
        <w:ind w:firstLine="605"/>
        <w:spacing w:after="0" w:line="286" w:lineRule="auto"/>
        <w:rPr>
          <w:sz w:val="20"/>
          <w:szCs w:val="20"/>
          <w:color w:val="auto"/>
        </w:rPr>
      </w:pPr>
      <w:r>
        <w:rPr>
          <w:rFonts w:ascii="Arial" w:cs="Arial" w:eastAsia="Arial" w:hAnsi="Arial"/>
          <w:sz w:val="16"/>
          <w:szCs w:val="16"/>
          <w:color w:val="auto"/>
        </w:rPr>
        <w:t>The functional currencies of our foreign subsidiaries are the respective local currencies of the jurisdictions in which they operate, which are primarily the Euro and the British Pound. Approximately 11% of our total revenue for the year ended June 30, 2021 was generated outside the United States. The majority of our revenues and operating expenses are denominated in U.S. dollars, and therefore are not currently subject to significant foreign currency risk.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expense, net in our condensed consolidated statements of operations. We do not currently engage in any hedging activity to reduce our potential exposure to currency fluctuations, although we may choose to do so in the future. To the extent the U.S. dollar weakens against foreign currencies, the translation of these foreign currencies result in increased revenue and operating expenses for our non-U.S. operations. Similarly, our revenue and operating expenses for our non-U.S. operations decrease if the U.S. dollar strengthens against foreign currencies.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Inflation</w:t>
      </w:r>
    </w:p>
    <w:p>
      <w:pPr>
        <w:spacing w:after="0" w:line="15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59"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 xml:space="preserve">Our management, with the participation of our Chief Executive Officer and our Chief Financial Officer, have evaluated our disclosure controls and procedures (as defined in Rules 13a-15(e) and 15d-15(e) under the Exchange Act) as of the end of the period covered by this </w:t>
      </w:r>
      <w:r>
        <w:rPr>
          <w:rFonts w:ascii="Arial" w:cs="Arial" w:eastAsia="Arial" w:hAnsi="Arial"/>
          <w:sz w:val="18"/>
          <w:szCs w:val="18"/>
          <w:color w:val="231F20"/>
        </w:rPr>
        <w:t>Quarterly</w:t>
      </w:r>
      <w:r>
        <w:rPr>
          <w:rFonts w:ascii="Arial" w:cs="Arial" w:eastAsia="Arial" w:hAnsi="Arial"/>
          <w:sz w:val="18"/>
          <w:szCs w:val="18"/>
          <w:color w:val="auto"/>
        </w:rPr>
        <w:t xml:space="preserve"> Report on Form </w:t>
      </w:r>
      <w:r>
        <w:rPr>
          <w:rFonts w:ascii="Arial" w:cs="Arial" w:eastAsia="Arial" w:hAnsi="Arial"/>
          <w:sz w:val="18"/>
          <w:szCs w:val="18"/>
          <w:color w:val="231F20"/>
        </w:rPr>
        <w:t>10-Q</w:t>
      </w:r>
      <w:r>
        <w:rPr>
          <w:rFonts w:ascii="Arial" w:cs="Arial" w:eastAsia="Arial" w:hAnsi="Arial"/>
          <w:sz w:val="18"/>
          <w:szCs w:val="18"/>
          <w:color w:val="auto"/>
        </w:rPr>
        <w:t xml:space="preserve">. Based on that evaluation, our Chief Executive Officer and our Chief Financial Officer have concluded that, as of the end of the period covered by this </w:t>
      </w:r>
      <w:r>
        <w:rPr>
          <w:rFonts w:ascii="Arial" w:cs="Arial" w:eastAsia="Arial" w:hAnsi="Arial"/>
          <w:sz w:val="18"/>
          <w:szCs w:val="18"/>
          <w:color w:val="231F20"/>
        </w:rPr>
        <w:t>Quarterly</w:t>
      </w:r>
      <w:r>
        <w:rPr>
          <w:rFonts w:ascii="Arial" w:cs="Arial" w:eastAsia="Arial" w:hAnsi="Arial"/>
          <w:sz w:val="18"/>
          <w:szCs w:val="18"/>
          <w:color w:val="auto"/>
        </w:rPr>
        <w:t xml:space="preserve"> Report on Form </w:t>
      </w:r>
      <w:r>
        <w:rPr>
          <w:rFonts w:ascii="Arial" w:cs="Arial" w:eastAsia="Arial" w:hAnsi="Arial"/>
          <w:sz w:val="18"/>
          <w:szCs w:val="18"/>
          <w:color w:val="231F20"/>
        </w:rPr>
        <w:t>10-Q</w:t>
      </w:r>
      <w:r>
        <w:rPr>
          <w:rFonts w:ascii="Arial" w:cs="Arial" w:eastAsia="Arial" w:hAnsi="Arial"/>
          <w:sz w:val="18"/>
          <w:szCs w:val="18"/>
          <w:color w:val="auto"/>
        </w:rPr>
        <w: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231F20"/>
        </w:rPr>
        <w:t xml:space="preserve">There were no changes in our internal control over financial reporting identified in connection with the evaluation required by Rule 13a-15(d) and 15d-15(d) of the Exchange Act during the quarter ended </w:t>
      </w:r>
      <w:r>
        <w:rPr>
          <w:rFonts w:ascii="Arial" w:cs="Arial" w:eastAsia="Arial" w:hAnsi="Arial"/>
          <w:sz w:val="18"/>
          <w:szCs w:val="18"/>
          <w:color w:val="000000"/>
        </w:rPr>
        <w:t>June 30, 2021</w:t>
      </w:r>
      <w:r>
        <w:rPr>
          <w:rFonts w:ascii="Arial" w:cs="Arial" w:eastAsia="Arial" w:hAnsi="Arial"/>
          <w:sz w:val="18"/>
          <w:szCs w:val="18"/>
          <w:color w:val="231F20"/>
        </w:rPr>
        <w:t>, that have materially affected, or are reasonably likely to materially affect, our internal control over financial reporting.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59" w:lineRule="exact"/>
        <w:rPr>
          <w:sz w:val="20"/>
          <w:szCs w:val="20"/>
          <w:color w:val="auto"/>
        </w:rPr>
      </w:pPr>
    </w:p>
    <w:p>
      <w:pPr>
        <w:jc w:val="both"/>
        <w:ind w:firstLine="605"/>
        <w:spacing w:after="0" w:line="271"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3"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Phone Recovery Services, LLC (“Phone Recovery Services”) and Phone Administrative Services, Inc. (“Phone Administrative Services”) acting or purporting to act on behalf of applicable jurisdictions, or the applicable county or city itself, have filed multiple lawsuits against us and/or one of our subsidiaries alleging that we failed to bill, collect and remit certain taxes and surcharges associated with the provision of 911 services.</w:t>
      </w:r>
    </w:p>
    <w:p>
      <w:pPr>
        <w:spacing w:after="0" w:line="93"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7"/>
          <w:szCs w:val="17"/>
          <w:color w:val="auto"/>
        </w:rPr>
        <w:t>The following county or municipal governments have named us in lawsuits associated with the collection and remittance of 911 taxes and surcharges that remain unresolved: the City and County of San Francisco, California (the “California Case”); Cook County and Kane County Illinois; City of Chicago, Illinois; the State of Illinois (collectively, the “Illinois Case”); the State of New York (the “New York Case”); Allegheny County, Pennsylvania (the “Pennsylvania Case”); and the State of Rhode Island (the “Rhode Island Case”). The complaints allege that we failed to bill, collect and remit certain taxes and surcharges associated with 911 service pursuant to applicable laws. The California Case was originally filed under seal in January 2020 and was served on Bandwidth in February 2021. We filed a motion to dismiss the California Case on May 5, 2021. The Illinois Case was dismissed by the trial court in December 2016, but returned to the trial court following an appeal. The plaintiffs’ amended complaint in the Illinois Case was filed on August 12, 2019. We filed a motion to dismiss the Illinois Case on September 26, 2019. The New York Case originally was filed under seal in 2014, amended and filed under seal in 2018, and made available publicly on October 25, 2019. On May 19, 2021, the plaintiff filed a Fourth Amended Complaint in the New York Case. We filed a motion to dismiss the New York Case on June 17, 2021. The Rhode Island Case originally was filed under seal in 2014 and was made available publicly in 2015. Our response to the complaint in the Rhode Island Case has been on hold since 2015, pending the filing of an amended complaint. The Pennsylvania Case is stayed pending the outcome of a related proceeding before the Federal Communications Commission (“FCC”) that is currently the subject of an appeal.</w:t>
      </w:r>
    </w:p>
    <w:p>
      <w:pPr>
        <w:spacing w:after="0" w:line="111"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On November 30, 2020, we were named as a defendant in a Second Amended Class Action Complaint in a putative class action captioned Diana Mey v. All Access Telecom, Inc., et al. pending in the United States District Court, Northern District of West Virginia relating to the alleged failure to block unsolicited phone calls to the plaintiff and putative class members. We filed a motion to dismiss the action on February 3, 2021. On April 23, 2021, that motion was denied. On May 21, 2021, the plaintiff filed a Third Amended Complaint. We filed a motion to dismiss the Third Amended Complaint on June 4, 2021. On July 26, 2021, we filed a motion seeking primary jurisdiction referral of a key issue to the FCC.</w:t>
      </w:r>
    </w:p>
    <w:p>
      <w:pPr>
        <w:spacing w:after="0" w:line="10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11"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In addition to the litigation discussed above, from time to time, we may be subject to legal actions and claims in the ordinary course of business. We have received, and may in the future continue to receive, claims from third parties relating to number management,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3"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principal risks that could adversely affect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57" w:lineRule="exact"/>
        <w:rPr>
          <w:sz w:val="20"/>
          <w:szCs w:val="20"/>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success of our growth and expansion plans depends on a number of factors that are beyond our control.</w:t>
      </w:r>
    </w:p>
    <w:p>
      <w:pPr>
        <w:spacing w:after="0" w:line="18"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recent COVID-19 pandemic and the global attempt to contain it may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market in which we participate is highly competitive, and we may not compete effectively.</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attract new customers in a cost-effective manner.</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market for some of our services is new and unproven.</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must increase the network traffic and revenue to meet our growth targets.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business depends on customers increasing their use of our services.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increase the revenue that we derive from enterprises.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develop service enhancements or new services that achieve market acceptance.</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grown rapidly, expect our growth to continue, and may not be able to manage the growth effectively.</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pricing and billing systems are complex, and errors could adversely affect our revenue and profits.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must continue to develop effective systems to execute customer orders and to provide and bill for services.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maintain and enhance our brand and increase market awareness.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deliver high-quality support may adversely affect our customer relationships.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operate internationally, which exposes us to significant risks.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revenue is concentrated in a limited number of enterprise customers.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Breaches of our networks or systems, or those of third parties upon which we rely, could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currently subject to litigation related to taxes and charges associated with our provision of 911 services.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Customer misuse of our services and software could result in litigation and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communications industry faces significant regulatory uncertainties.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effects of increased regulation of IP-based service providers are unknown.</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must obtain and maintain permits and licenses to operate our network.</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violate regulatory requirements that apply to our operations, we may not be able to conduct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FCC’s repeal of its Network Neutrality Rules could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failure to comply with privacy and data security obligations may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business is subject to complex and evolving foreign laws regarding privacy and data protection.</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business may be harmed if we cannot obtain, retain and distribute local or toll-free numbers.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Foreign currency exchange rate fluctuations may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exposed to liabilities under anti-corruption, export control and economic sanction regulations.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Third party intellectual property rights could prevent us from using technologies needed to provide our services.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use of open source software could negatively affect our ability to sell our services and subject us to litigation.</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Indemnity provisions in various agreements potentially expose us to substantial liability.</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use of personal information subjects us to evolving governmental laws and other legal obligations.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fail to protect our internally developed systems, technology and software and our intellectual property.</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subject to litigation in the ordinary course of business, which may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liable for the information that content owners or distributors distribute over our network.</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Third parties may use our services to commit fraud or steal our services.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lose customers if our platform or network fails or is disrupted.</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Defects or errors in our services could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our emergency services do not function properly, we may be exposed to significant liability.</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Termination of relationships with key suppliers could cause delay and additional costs.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customer churn rate may increase.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prices for some of our services have decreased in the past and may do so again in the future.</w:t>
      </w:r>
    </w:p>
    <w:p>
      <w:pPr>
        <w:spacing w:after="0" w:line="18"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need to obtain additional IP circuits or interconnect with other networks could increases our costs.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loss of any member of our senior management team or key employees could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are unable to hire, retain and motivate qualified personnel, our business will suffer.</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management team has limited experience managing a public company.</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could be subject to liability for historic and future sales, use and similar taxes.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subject to significant tax-related liabilities and indemnity obligations if the Spin-Off (as defined below) is taxable.</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estimates or judgments relating to our critical accounting policies may prove to be incorrect.</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unable to maintain an effective system of disclosure controls and internal control over financial reporting.</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our goodwill or intangible assets become impaired, we may be required to record a significant charge.</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Natural disasters, pandemics, power outages, terrorist attacks and similar events could harm our business.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acquire other businesses, which may divert our management’s attention and impact our stock price.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the Acquisition of Voxbone</w:t>
      </w:r>
    </w:p>
    <w:p>
      <w:pPr>
        <w:spacing w:after="0" w:line="57" w:lineRule="exact"/>
        <w:rPr>
          <w:sz w:val="20"/>
          <w:szCs w:val="20"/>
          <w:color w:val="auto"/>
        </w:rPr>
      </w:pPr>
    </w:p>
    <w:p>
      <w:pPr>
        <w:ind w:left="1200" w:hanging="594"/>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Voxbone acquisition may not yield the synergies and other benefits that we anticipated.</w:t>
      </w:r>
    </w:p>
    <w:p>
      <w:pPr>
        <w:spacing w:after="0" w:line="18" w:lineRule="exact"/>
        <w:rPr>
          <w:rFonts w:ascii="Arial" w:cs="Arial" w:eastAsia="Arial" w:hAnsi="Arial"/>
          <w:sz w:val="17"/>
          <w:szCs w:val="17"/>
          <w:color w:val="auto"/>
        </w:rPr>
      </w:pPr>
    </w:p>
    <w:p>
      <w:pPr>
        <w:ind w:left="1200" w:hanging="594"/>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Purchase price accounting for the Voxbone acquisition requires estimates that could change.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the Convertible Notes and Our Indebtedness</w:t>
      </w:r>
    </w:p>
    <w:p>
      <w:pPr>
        <w:spacing w:after="0" w:line="57" w:lineRule="exact"/>
        <w:rPr>
          <w:sz w:val="20"/>
          <w:szCs w:val="20"/>
          <w:color w:val="auto"/>
        </w:rPr>
      </w:pPr>
    </w:p>
    <w:p>
      <w:pPr>
        <w:ind w:left="1200" w:hanging="594"/>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Servicing our future indebtedness may require a significant amount of cash, which we may not have.</w:t>
      </w:r>
    </w:p>
    <w:p>
      <w:pPr>
        <w:spacing w:after="0" w:line="18" w:lineRule="exact"/>
        <w:rPr>
          <w:rFonts w:ascii="Arial" w:cs="Arial" w:eastAsia="Arial" w:hAnsi="Arial"/>
          <w:sz w:val="17"/>
          <w:szCs w:val="17"/>
          <w:color w:val="auto"/>
        </w:rPr>
      </w:pPr>
    </w:p>
    <w:p>
      <w:pPr>
        <w:ind w:left="1200" w:hanging="594"/>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for cash settlement of the Convertible Notes.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accounting method for our Convertible Notes could have a material effect on our financial results.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capped call transactions may affect the value of the Convertible Notes and our Class A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Ownership of Our Class A Common Stock</w:t>
      </w:r>
    </w:p>
    <w:p>
      <w:pPr>
        <w:spacing w:after="0" w:line="57" w:lineRule="exact"/>
        <w:rPr>
          <w:sz w:val="20"/>
          <w:szCs w:val="20"/>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trading price of our Class A common stock may be volatile and you could lose all or part of your investment.</w:t>
      </w:r>
    </w:p>
    <w:p>
      <w:pPr>
        <w:spacing w:after="0" w:line="18"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Substantial future sales of shares of our Class A common stock could cause the price of our Class A to decline.</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dual class capital structure concentrates voting control.</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cannot predict the impact our capital structure may have on our stock price.</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stock price and trading volume could decline if securities or industry analysts stop covering our Class A Common Stock.</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Anti-takeover provisions in our organizational documents and Delaware law, could impair a takeover attempt.</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certificate of incorporation and bylaws include super-majority voting provisions.</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bylaws provide that Delaware will be the sole and exclusive forum for certain stockholder litigation.</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need additional capital in the future and such capital may be limited or unavailable.</w:t>
      </w:r>
    </w:p>
    <w:p>
      <w:pPr>
        <w:spacing w:after="0" w:line="6" w:lineRule="exact"/>
        <w:rPr>
          <w:rFonts w:ascii="Arial" w:cs="Arial" w:eastAsia="Arial" w:hAnsi="Arial"/>
          <w:sz w:val="17"/>
          <w:szCs w:val="17"/>
          <w:color w:val="auto"/>
        </w:rPr>
      </w:pPr>
    </w:p>
    <w:p>
      <w:pPr>
        <w:ind w:left="1200" w:hanging="594"/>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do not intend to pay dividends for the foreseeable future.</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more complete discussion of the material risks facing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growth and expansion plans depends on a number of factors that are beyond our control.</w:t>
      </w:r>
    </w:p>
    <w:p>
      <w:pPr>
        <w:spacing w:after="0" w:line="159" w:lineRule="exact"/>
        <w:rPr>
          <w:sz w:val="20"/>
          <w:szCs w:val="20"/>
          <w:color w:val="auto"/>
        </w:rPr>
      </w:pPr>
    </w:p>
    <w:p>
      <w:pPr>
        <w:ind w:firstLine="605"/>
        <w:spacing w:after="0" w:line="345" w:lineRule="auto"/>
        <w:rPr>
          <w:sz w:val="20"/>
          <w:szCs w:val="20"/>
          <w:color w:val="auto"/>
        </w:rPr>
      </w:pPr>
      <w:r>
        <w:rPr>
          <w:rFonts w:ascii="Arial" w:cs="Arial" w:eastAsia="Arial" w:hAnsi="Arial"/>
          <w:sz w:val="16"/>
          <w:szCs w:val="16"/>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76" w:lineRule="exact"/>
        <w:rPr>
          <w:sz w:val="20"/>
          <w:szCs w:val="20"/>
          <w:color w:val="auto"/>
        </w:rPr>
      </w:pPr>
    </w:p>
    <w:p>
      <w:pPr>
        <w:ind w:firstLine="606"/>
        <w:spacing w:after="0" w:line="253" w:lineRule="auto"/>
        <w:tabs>
          <w:tab w:leader="none" w:pos="1205" w:val="left"/>
        </w:tabs>
        <w:numPr>
          <w:ilvl w:val="0"/>
          <w:numId w:val="24"/>
        </w:numPr>
        <w:rPr>
          <w:rFonts w:ascii="Arial" w:cs="Arial" w:eastAsia="Arial" w:hAnsi="Arial"/>
          <w:sz w:val="20"/>
          <w:szCs w:val="20"/>
          <w:color w:val="auto"/>
        </w:rPr>
      </w:pPr>
      <w:r>
        <w:rPr>
          <w:rFonts w:ascii="Arial" w:cs="Arial" w:eastAsia="Arial" w:hAnsi="Arial"/>
          <w:sz w:val="18"/>
          <w:szCs w:val="18"/>
          <w:color w:val="auto"/>
        </w:rPr>
        <w:t>our ability to hire and retain qualified and effective personnel, including but not limited to those with the expertise required to develop and maintain our service offerings, to sell those offerings and to operate our business effectively;</w:t>
      </w:r>
    </w:p>
    <w:p>
      <w:pPr>
        <w:spacing w:after="0" w:line="119" w:lineRule="exact"/>
        <w:rPr>
          <w:rFonts w:ascii="Arial" w:cs="Arial" w:eastAsia="Arial" w:hAnsi="Arial"/>
          <w:sz w:val="20"/>
          <w:szCs w:val="20"/>
          <w:color w:val="auto"/>
        </w:rPr>
      </w:pPr>
    </w:p>
    <w:p>
      <w:pPr>
        <w:ind w:left="1200" w:hanging="594"/>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overall economic health of new and existing markets;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effectiveness of competitors;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pricing structure under which we will be able to purchase services required to serve our customers;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to us of technologies needed to remain competitive;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06"/>
        <w:spacing w:after="0" w:line="264" w:lineRule="auto"/>
        <w:tabs>
          <w:tab w:leader="none" w:pos="11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state and international regulatory conditions, including the maintenance of regulation that protects us from unfair business practices by traditional network service providers or others with greater market power who have relationships with us as both competitors and suppliers; and</w:t>
      </w:r>
    </w:p>
    <w:p>
      <w:pPr>
        <w:spacing w:after="0" w:line="111" w:lineRule="exact"/>
        <w:rPr>
          <w:rFonts w:ascii="Arial" w:cs="Arial" w:eastAsia="Arial" w:hAnsi="Arial"/>
          <w:sz w:val="18"/>
          <w:szCs w:val="18"/>
          <w:color w:val="auto"/>
        </w:rPr>
      </w:pPr>
    </w:p>
    <w:p>
      <w:pPr>
        <w:ind w:left="1200" w:hanging="594"/>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industry standards, laws, regulations, or regulatory enforcement in the United States and internationally.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COVID-19 pandemic and the global attempt to contain it may harm our business and results of operations.</w:t>
      </w:r>
    </w:p>
    <w:p>
      <w:pPr>
        <w:spacing w:after="0" w:line="159"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The global spread of novel coronavirus disease (“COVID-19”) and the various measures to contain its effects have created significant volatility, uncertainty, and economic disruption worldwide. The pandemic has severely curtailed travel, and in certain locations many of our employees currently work from home, which disrupts how we typically operate. We are currently experiencing voluntary attrition at a rate that exceeds our historical average. We may also experience slowdowns in customer payments, increased customer churn, and reduced usage of our communications platform by some customers.</w:t>
      </w:r>
    </w:p>
    <w:p>
      <w:pPr>
        <w:spacing w:after="0" w:line="119"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The extent to which the COVID-19 pandemic impacts our business, operations and financial results will depend on numerous evolving factors that we may not be able to accurately predict. These include: the duration and scope of the pandemic; governmental, business and individual actions that have been and continue to be taken in response to the pandemic; the effect on our customers, customer demand for our services, and our customers’ ability to pay for our services; disruptions to or restrictions on our employees’ ability to work and travel; and any effects of the pandemic on our customers, suppliers and vendors. If we need to access the capital markets and other sources of liquidity, there can be no assurance that financing may be available on attractive terms, if at all.</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market in which we participate is highly competitive, and if we do not compete effectively, our business, results of operations and financial condition could be harmed.</w:t>
      </w:r>
    </w:p>
    <w:p>
      <w:pPr>
        <w:spacing w:after="0" w:line="97"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44" w:lineRule="exact"/>
        <w:rPr>
          <w:sz w:val="20"/>
          <w:szCs w:val="20"/>
          <w:color w:val="auto"/>
        </w:rPr>
      </w:pPr>
    </w:p>
    <w:p>
      <w:pPr>
        <w:ind w:firstLine="606"/>
        <w:spacing w:after="0" w:line="253" w:lineRule="auto"/>
        <w:tabs>
          <w:tab w:leader="none" w:pos="1205" w:val="left"/>
        </w:tabs>
        <w:numPr>
          <w:ilvl w:val="0"/>
          <w:numId w:val="26"/>
        </w:numPr>
        <w:rPr>
          <w:rFonts w:ascii="Arial" w:cs="Arial" w:eastAsia="Arial" w:hAnsi="Arial"/>
          <w:sz w:val="20"/>
          <w:szCs w:val="20"/>
          <w:color w:val="auto"/>
        </w:rPr>
      </w:pPr>
      <w:r>
        <w:rPr>
          <w:rFonts w:ascii="Arial" w:cs="Arial" w:eastAsia="Arial" w:hAnsi="Arial"/>
          <w:sz w:val="18"/>
          <w:szCs w:val="18"/>
          <w:color w:val="auto"/>
        </w:rPr>
        <w:t>CPaaS companies that offer a narrower set of software APIs, less robust customer support and fewer other features, while relying on third-party networks and physical infrastructure; and</w:t>
      </w:r>
    </w:p>
    <w:p>
      <w:pPr>
        <w:spacing w:after="0" w:line="119" w:lineRule="exact"/>
        <w:rPr>
          <w:rFonts w:ascii="Arial" w:cs="Arial" w:eastAsia="Arial" w:hAnsi="Arial"/>
          <w:sz w:val="20"/>
          <w:szCs w:val="20"/>
          <w:color w:val="auto"/>
        </w:rPr>
      </w:pPr>
    </w:p>
    <w:p>
      <w:pPr>
        <w:ind w:left="1200" w:hanging="594"/>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network service providers that offer limited developer functionality on top of their own networks and physical infrastructure.</w:t>
      </w:r>
    </w:p>
    <w:p>
      <w:pPr>
        <w:spacing w:after="0" w:line="159" w:lineRule="exact"/>
        <w:rPr>
          <w:sz w:val="20"/>
          <w:szCs w:val="20"/>
          <w:color w:val="auto"/>
        </w:rPr>
      </w:pPr>
    </w:p>
    <w:p>
      <w:pPr>
        <w:jc w:val="both"/>
        <w:ind w:firstLine="605"/>
        <w:spacing w:after="0" w:line="251" w:lineRule="auto"/>
        <w:rPr>
          <w:sz w:val="20"/>
          <w:szCs w:val="20"/>
          <w:color w:val="auto"/>
        </w:rPr>
      </w:pPr>
      <w:r>
        <w:rPr>
          <w:rFonts w:ascii="Arial" w:cs="Arial" w:eastAsia="Arial" w:hAnsi="Arial"/>
          <w:sz w:val="18"/>
          <w:szCs w:val="18"/>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services, while customers that use only limited functionality may be able to more easily replace our services with competitive offerings.</w:t>
      </w:r>
    </w:p>
    <w:p>
      <w:pPr>
        <w:spacing w:after="0" w:line="15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15"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Furthermore, if our competitors were to merge such that the combined entity would be able to compete fully with our service offering, then our business, results of operations and financial condition may be adversely affected.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03"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and integrate our international offerings. Each of these factors could lead to reduced revenue, slower growth and lower brand name recognition amongst our industry competitors, any or all of which could harm our business, results of operations and financial condition.</w:t>
      </w:r>
    </w:p>
    <w:p>
      <w:pPr>
        <w:spacing w:after="0" w:line="1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we are unable to attract new customers in a cost-effective manner, then our business, results of operations and financial condition would be adversely affected.</w:t>
      </w:r>
    </w:p>
    <w:p>
      <w:pPr>
        <w:spacing w:after="0" w:line="97"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7"/>
          <w:szCs w:val="17"/>
          <w:color w:val="auto"/>
        </w:rPr>
        <w:t>In order to grow our business, we must continue to attract new customers in a cost-effective manner. We use a variety of marketing channels to promote our services and our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also cannot predict the extent to which COVID-19 may cause us to adjust how we promote our services, including adjustments to our use of marketing channels.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97"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geopolitical developments, global pandemics, regulatory actions or other causes. If our market does not experience significant growth or demand for our services and platform decreases, then our business, results of operations and financial condition could be adversely affected.</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97"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We must increase the network traffic and resulting revenue from our inbound and outbound voice calling, messaging, emergency voice functions, telephone numbers and related services at acceptable margins to realize our targets for anticipated revenue growth, cash flow and operating performance. If:</w:t>
      </w:r>
    </w:p>
    <w:p>
      <w:pPr>
        <w:spacing w:after="0" w:line="136" w:lineRule="exact"/>
        <w:rPr>
          <w:sz w:val="20"/>
          <w:szCs w:val="20"/>
          <w:color w:val="auto"/>
        </w:rPr>
      </w:pPr>
    </w:p>
    <w:p>
      <w:pPr>
        <w:ind w:left="1200" w:hanging="594"/>
        <w:spacing w:after="0"/>
        <w:tabs>
          <w:tab w:leader="none" w:pos="1200" w:val="left"/>
        </w:tabs>
        <w:numPr>
          <w:ilvl w:val="0"/>
          <w:numId w:val="27"/>
        </w:numPr>
        <w:rPr>
          <w:rFonts w:ascii="Arial" w:cs="Arial" w:eastAsia="Arial" w:hAnsi="Arial"/>
          <w:sz w:val="20"/>
          <w:szCs w:val="20"/>
          <w:color w:val="auto"/>
        </w:rPr>
      </w:pPr>
      <w:r>
        <w:rPr>
          <w:rFonts w:ascii="Arial" w:cs="Arial" w:eastAsia="Arial" w:hAnsi="Arial"/>
          <w:sz w:val="18"/>
          <w:szCs w:val="18"/>
          <w:color w:val="auto"/>
        </w:rPr>
        <w:t>we do not maintain or improve our current relationships with existing key customers;</w:t>
      </w:r>
    </w:p>
    <w:p>
      <w:pPr>
        <w:spacing w:after="0" w:line="135" w:lineRule="exact"/>
        <w:rPr>
          <w:rFonts w:ascii="Arial" w:cs="Arial" w:eastAsia="Arial" w:hAnsi="Arial"/>
          <w:sz w:val="20"/>
          <w:szCs w:val="20"/>
          <w:color w:val="auto"/>
        </w:rPr>
      </w:pPr>
    </w:p>
    <w:p>
      <w:pPr>
        <w:ind w:left="1200" w:hanging="594"/>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not able to expand the available capacity on our network to meet our customers’ demands in a timely manner;</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do not develop new large enterprise customers; or</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customers determine to obtain these services from either their own network or from one of our competitors,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then we may be unable to increase or maintain our revenue at acceptable margins.</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97"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7"/>
          <w:szCs w:val="17"/>
          <w:color w:val="auto"/>
        </w:rPr>
        <w:t>Our ability to grow and generate incremental revenue depends, in part, on our ability to maintain and grow our relationships with existing customers and to have them increase their usage of our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we are unable to increase the revenue that we derive from enterprises, our business, results of operations and financial condition may be adversely affected.</w:t>
      </w:r>
    </w:p>
    <w:p>
      <w:pPr>
        <w:spacing w:after="0" w:line="97"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hires may not become as productive as quickly as we expect and we may be unable to hire or retain sufficient numbers of qualified individuals in the future in the markets where we do business.</w:t>
      </w:r>
    </w:p>
    <w:p>
      <w:pPr>
        <w:spacing w:after="0" w:line="97"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7"/>
          <w:szCs w:val="17"/>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97" w:lineRule="exact"/>
        <w:rPr>
          <w:sz w:val="20"/>
          <w:szCs w:val="20"/>
          <w:color w:val="auto"/>
        </w:rPr>
      </w:pPr>
    </w:p>
    <w:p>
      <w:pPr>
        <w:jc w:val="both"/>
        <w:ind w:firstLine="605"/>
        <w:spacing w:after="0" w:line="284" w:lineRule="auto"/>
        <w:rPr>
          <w:sz w:val="20"/>
          <w:szCs w:val="20"/>
          <w:color w:val="auto"/>
        </w:rPr>
      </w:pPr>
      <w:r>
        <w:rPr>
          <w:rFonts w:ascii="Arial" w:cs="Arial" w:eastAsia="Arial" w:hAnsi="Arial"/>
          <w:sz w:val="16"/>
          <w:szCs w:val="16"/>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communications platform to adapt to changes and innovation in these technologies. Wireline and wireless telephone providers or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 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101"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10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97"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grow internationally and mature as a public company, we may find it difficult to maintain our corporate culture while managing this growth, particularly if governmental responses to COVID-19 require that many of our employees work remotely for a prolonged period of time.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11"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pricing and billing systems are complex and errors could adversely affect our revenue and profits.</w:t>
      </w:r>
    </w:p>
    <w:p>
      <w:pPr>
        <w:spacing w:after="0" w:line="159" w:lineRule="exact"/>
        <w:rPr>
          <w:sz w:val="20"/>
          <w:szCs w:val="20"/>
          <w:color w:val="auto"/>
        </w:rPr>
      </w:pPr>
    </w:p>
    <w:p>
      <w:pPr>
        <w:jc w:val="both"/>
        <w:ind w:firstLine="605"/>
        <w:spacing w:after="0" w:line="271" w:lineRule="auto"/>
        <w:rPr>
          <w:sz w:val="20"/>
          <w:szCs w:val="20"/>
          <w:color w:val="auto"/>
        </w:rPr>
      </w:pPr>
      <w:r>
        <w:rPr>
          <w:rFonts w:ascii="Arial" w:cs="Arial" w:eastAsia="Arial" w:hAnsi="Arial"/>
          <w:sz w:val="17"/>
          <w:szCs w:val="17"/>
          <w:color w:val="auto"/>
        </w:rPr>
        <w:t>Our pricing and billing efforts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07" w:lineRule="exact"/>
        <w:rPr>
          <w:sz w:val="20"/>
          <w:szCs w:val="20"/>
          <w:color w:val="auto"/>
        </w:rPr>
      </w:pPr>
    </w:p>
    <w:p>
      <w:pPr>
        <w:jc w:val="both"/>
        <w:ind w:firstLine="605"/>
        <w:spacing w:after="0" w:line="279" w:lineRule="auto"/>
        <w:rPr>
          <w:sz w:val="20"/>
          <w:szCs w:val="20"/>
          <w:color w:val="auto"/>
        </w:rPr>
      </w:pPr>
      <w:r>
        <w:rPr>
          <w:rFonts w:ascii="Arial" w:cs="Arial" w:eastAsia="Arial" w:hAnsi="Arial"/>
          <w:sz w:val="17"/>
          <w:szCs w:val="17"/>
          <w:color w:val="auto"/>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continue to develop effective business support systems to implement customer orders and to provide and bill for services.</w:t>
      </w:r>
    </w:p>
    <w:p>
      <w:pPr>
        <w:spacing w:after="0" w:line="170"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36" w:lineRule="exact"/>
        <w:rPr>
          <w:sz w:val="20"/>
          <w:szCs w:val="20"/>
          <w:color w:val="auto"/>
        </w:rPr>
      </w:pPr>
    </w:p>
    <w:p>
      <w:pPr>
        <w:ind w:left="1200" w:hanging="594"/>
        <w:spacing w:after="0"/>
        <w:tabs>
          <w:tab w:leader="none" w:pos="1200" w:val="left"/>
        </w:tabs>
        <w:numPr>
          <w:ilvl w:val="0"/>
          <w:numId w:val="28"/>
        </w:numPr>
        <w:rPr>
          <w:rFonts w:ascii="Arial" w:cs="Arial" w:eastAsia="Arial" w:hAnsi="Arial"/>
          <w:sz w:val="20"/>
          <w:szCs w:val="20"/>
          <w:color w:val="auto"/>
        </w:rPr>
      </w:pPr>
      <w:r>
        <w:rPr>
          <w:rFonts w:ascii="Arial" w:cs="Arial" w:eastAsia="Arial" w:hAnsi="Arial"/>
          <w:sz w:val="18"/>
          <w:szCs w:val="18"/>
          <w:color w:val="auto"/>
        </w:rPr>
        <w:t>quoting, accepting and inputting customer orders for services;</w:t>
      </w:r>
    </w:p>
    <w:p>
      <w:pPr>
        <w:spacing w:after="0" w:line="135" w:lineRule="exact"/>
        <w:rPr>
          <w:rFonts w:ascii="Arial" w:cs="Arial" w:eastAsia="Arial" w:hAnsi="Arial"/>
          <w:sz w:val="20"/>
          <w:szCs w:val="20"/>
          <w:color w:val="auto"/>
        </w:rPr>
      </w:pPr>
    </w:p>
    <w:p>
      <w:pPr>
        <w:ind w:left="1200" w:hanging="594"/>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provisioning, installing and delivering services;</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customers with direct access to the information systems included in our communications platform so that they can manage the services they purchase from us, generally through web-based customer portals; and</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billing for services.</w:t>
      </w:r>
    </w:p>
    <w:p>
      <w:pPr>
        <w:spacing w:after="0" w:line="159"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Because our business provides for continued rapid growth in the number of customers that we serve, the volume of services offered, as well as the integration of any acquired companies’ business support systems,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97" w:lineRule="exact"/>
        <w:rPr>
          <w:sz w:val="20"/>
          <w:szCs w:val="20"/>
          <w:color w:val="auto"/>
        </w:rPr>
      </w:pPr>
    </w:p>
    <w:p>
      <w:pPr>
        <w:jc w:val="both"/>
        <w:ind w:firstLine="605"/>
        <w:spacing w:after="0" w:line="271" w:lineRule="auto"/>
        <w:rPr>
          <w:sz w:val="20"/>
          <w:szCs w:val="20"/>
          <w:color w:val="auto"/>
        </w:rPr>
      </w:pPr>
      <w:r>
        <w:rPr>
          <w:rFonts w:ascii="Arial" w:cs="Arial" w:eastAsia="Arial" w:hAnsi="Arial"/>
          <w:sz w:val="17"/>
          <w:szCs w:val="17"/>
          <w:color w:val="auto"/>
        </w:rPr>
        <w:t>We believe that maintaining and enhancing our brand identity and increasing market awareness of our company and services are critical to achieving widespread acceptance of our company and our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07"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communications platform upset these customers, then their online commentary could negatively affect our brand and reputation. Complaints or negative publicity about us, our services or our communications platform could materially and adversely affect our ability to attract and retain customers, our business, results of operations and financial condition.</w:t>
      </w:r>
    </w:p>
    <w:p>
      <w:pPr>
        <w:spacing w:after="0" w:line="120" w:lineRule="exact"/>
        <w:rPr>
          <w:sz w:val="20"/>
          <w:szCs w:val="20"/>
          <w:color w:val="auto"/>
        </w:rPr>
      </w:pPr>
    </w:p>
    <w:p>
      <w:pPr>
        <w:jc w:val="both"/>
        <w:ind w:firstLine="605"/>
        <w:spacing w:after="0" w:line="271" w:lineRule="auto"/>
        <w:rPr>
          <w:sz w:val="20"/>
          <w:szCs w:val="20"/>
          <w:color w:val="auto"/>
        </w:rPr>
      </w:pPr>
      <w:r>
        <w:rPr>
          <w:rFonts w:ascii="Arial" w:cs="Arial" w:eastAsia="Arial" w:hAnsi="Arial"/>
          <w:sz w:val="17"/>
          <w:szCs w:val="17"/>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 addition, due to restrictions on travel and in-person meetings resulting from COVID-19, we have attended planned customer and industry events as virtual-only experiences and cancelled others. We may alter, postpone or cancel other events in the future. Virtual meetings, events and interactions may not be as successful and may constrain our marketing, promotional and sales activity.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97" w:lineRule="exact"/>
        <w:rPr>
          <w:sz w:val="20"/>
          <w:szCs w:val="20"/>
          <w:color w:val="auto"/>
        </w:rPr>
      </w:pPr>
    </w:p>
    <w:p>
      <w:pPr>
        <w:jc w:val="both"/>
        <w:ind w:firstLine="605"/>
        <w:spacing w:after="0" w:line="269" w:lineRule="auto"/>
        <w:rPr>
          <w:sz w:val="20"/>
          <w:szCs w:val="20"/>
          <w:color w:val="auto"/>
        </w:rPr>
      </w:pPr>
      <w:r>
        <w:rPr>
          <w:rFonts w:ascii="Arial" w:cs="Arial" w:eastAsia="Arial" w:hAnsi="Arial"/>
          <w:sz w:val="17"/>
          <w:szCs w:val="17"/>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internationally, which exposes us to significant risks.</w:t>
      </w:r>
    </w:p>
    <w:p>
      <w:pPr>
        <w:spacing w:after="0" w:line="159"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We have expanded our international operations, including the deployment of two data centers in Frankfurt and London, the establishment of a limited presence in each of Frankfurt and Madrid primarily for regulatory purposes,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acquisition of Voxbone as further described below under “—Risks Related to the Acquisition of Voxbone.” As part of our growth strategy, we will continue to evaluate potential opportunities for further international expansion.</w:t>
      </w:r>
    </w:p>
    <w:p>
      <w:pPr>
        <w:spacing w:after="0" w:line="97"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Operating in international markets requires significant resources and management attention and will subject us to regulatory, economic and political risks in addition to those we face in the United States. We have limited experience with international operations, and our further international expansion efforts may not be successful.</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we face risks in doing business internationally that could adversely affect our business, including:</w:t>
      </w:r>
    </w:p>
    <w:p>
      <w:pPr>
        <w:spacing w:after="0" w:line="184" w:lineRule="exact"/>
        <w:rPr>
          <w:sz w:val="20"/>
          <w:szCs w:val="20"/>
          <w:color w:val="auto"/>
        </w:rPr>
      </w:pPr>
    </w:p>
    <w:p>
      <w:pPr>
        <w:jc w:val="both"/>
        <w:ind w:firstLine="606"/>
        <w:spacing w:after="0" w:line="249" w:lineRule="auto"/>
        <w:tabs>
          <w:tab w:leader="none" w:pos="1205" w:val="left"/>
        </w:tabs>
        <w:numPr>
          <w:ilvl w:val="0"/>
          <w:numId w:val="29"/>
        </w:numPr>
        <w:rPr>
          <w:rFonts w:ascii="Arial" w:cs="Arial" w:eastAsia="Arial" w:hAnsi="Arial"/>
          <w:sz w:val="20"/>
          <w:szCs w:val="20"/>
          <w:color w:val="auto"/>
        </w:rPr>
      </w:pPr>
      <w:r>
        <w:rPr>
          <w:rFonts w:ascii="Arial" w:cs="Arial" w:eastAsia="Arial" w:hAnsi="Arial"/>
          <w:sz w:val="18"/>
          <w:szCs w:val="18"/>
          <w:color w:val="auto"/>
        </w:rPr>
        <w:t>exposure to political developments in the United Kingdom (“U.K.”), including the January 2020 departure of the U.K. from the European Union (“EU”), which has created an uncertain political and economic environment, instability for businesses and volatility in global financial markets and the value of foreign currencies, all of which could disrupt trade, the sale of our services and the mobility of our employees and contractors between the U.K., EU and other jurisdictions;</w:t>
      </w:r>
    </w:p>
    <w:p>
      <w:pPr>
        <w:spacing w:after="0" w:line="125" w:lineRule="exact"/>
        <w:rPr>
          <w:rFonts w:ascii="Arial" w:cs="Arial" w:eastAsia="Arial" w:hAnsi="Arial"/>
          <w:sz w:val="20"/>
          <w:szCs w:val="20"/>
          <w:color w:val="auto"/>
        </w:rPr>
      </w:pPr>
    </w:p>
    <w:p>
      <w:pPr>
        <w:ind w:firstLine="606"/>
        <w:spacing w:after="0" w:line="280" w:lineRule="auto"/>
        <w:tabs>
          <w:tab w:leader="none" w:pos="11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including difficulties related to the increased operations, travel, infrastructure, employee attrition and legal compliance costs associated with numerous international locations;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network service providers outside of the United States;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foreign jurisdictions, particularly in the areas of telecommunications, data privacy and security;</w:t>
      </w:r>
    </w:p>
    <w:p>
      <w:pPr>
        <w:spacing w:after="0" w:line="97" w:lineRule="exact"/>
        <w:rPr>
          <w:rFonts w:ascii="Arial" w:cs="Arial" w:eastAsia="Arial" w:hAnsi="Arial"/>
          <w:sz w:val="18"/>
          <w:szCs w:val="18"/>
          <w:color w:val="auto"/>
        </w:rPr>
      </w:pPr>
    </w:p>
    <w:p>
      <w:pPr>
        <w:ind w:firstLine="606"/>
        <w:spacing w:after="0" w:line="280" w:lineRule="auto"/>
        <w:tabs>
          <w:tab w:leader="none" w:pos="11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97" w:lineRule="exact"/>
        <w:rPr>
          <w:rFonts w:ascii="Arial" w:cs="Arial" w:eastAsia="Arial" w:hAnsi="Arial"/>
          <w:sz w:val="18"/>
          <w:szCs w:val="18"/>
          <w:color w:val="auto"/>
        </w:rPr>
      </w:pPr>
    </w:p>
    <w:p>
      <w:pPr>
        <w:ind w:firstLine="606"/>
        <w:spacing w:after="0" w:line="280" w:lineRule="auto"/>
        <w:tabs>
          <w:tab w:leader="none" w:pos="11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export controls and economic sanctions administered by the Bureau of Industry and Security of the U.S. Department of Commerce and the Office of Foreign Assets Control of the U.S. Department of the Treasury;</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various anti-bribery and anti-corruption laws, such as the U.S. Foreign Corrupt Practices Act and U.K. Bribery Act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2010;</w:t>
      </w:r>
    </w:p>
    <w:p>
      <w:pPr>
        <w:spacing w:after="0" w:line="142" w:lineRule="exact"/>
        <w:rPr>
          <w:rFonts w:ascii="Arial" w:cs="Arial" w:eastAsia="Arial" w:hAnsi="Arial"/>
          <w:sz w:val="17"/>
          <w:szCs w:val="17"/>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trade policies, tariffs and other non-tariff barriers, such as quotas;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U.S. dollars;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deterioration of political relations between the United States and other countries;</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 health epidemics, such as COVID-19, or natural disasters, which could have an adverse impact on our employees, contractors, customers, partners, travel and the global economy;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606"/>
        <w:spacing w:after="0" w:line="280" w:lineRule="auto"/>
        <w:tabs>
          <w:tab w:leader="none" w:pos="11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 which could have an adverse impact on our operations in that location.</w:t>
      </w:r>
    </w:p>
    <w:p>
      <w:pPr>
        <w:spacing w:after="0" w:line="97"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further expand our operations and customer base internationally.</w:t>
      </w:r>
    </w:p>
    <w:p>
      <w:pPr>
        <w:spacing w:after="0" w:line="111"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results of operations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concentrated in a limited number of enterprise customers.</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Breaches of our networks or systems, or those of third parties upon which we rely, could degrade our ability to conduct our business, compromise the integrity of our services and our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15" w:lineRule="exact"/>
        <w:rPr>
          <w:sz w:val="20"/>
          <w:szCs w:val="20"/>
          <w:color w:val="auto"/>
        </w:rPr>
      </w:pPr>
    </w:p>
    <w:p>
      <w:pPr>
        <w:jc w:val="both"/>
        <w:ind w:firstLine="605"/>
        <w:spacing w:after="0" w:line="265" w:lineRule="auto"/>
        <w:rPr>
          <w:sz w:val="20"/>
          <w:szCs w:val="20"/>
          <w:color w:val="auto"/>
        </w:rPr>
      </w:pPr>
      <w:r>
        <w:rPr>
          <w:rFonts w:ascii="Arial" w:cs="Arial" w:eastAsia="Arial" w:hAnsi="Arial"/>
          <w:sz w:val="17"/>
          <w:szCs w:val="17"/>
          <w:color w:val="auto"/>
        </w:rPr>
        <w:t>We depend upon our IT systems to conduct virtually all of our business operations, ranging from our internal operations and R&amp;D activities to our marketing and sales efforts and communications with our customers and business partners. Cyber-attacks,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communications platform. Cyber-attacks may cause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cyber-attacks which, individually or in the aggregate, have been material to our operations or financial condition, the preventive actions we take to reduce the risks associated with cyber-attacks, including protection of our systems and networks, may be insufficient to repel or mitigate the effects of a major cyber-attack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20"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include sophisticated cyber-attacks) and the mishandling of data by our employees and contractors, then our reputation, business, results of operations and financial condition could be adversely affected.</w:t>
      </w:r>
    </w:p>
    <w:p>
      <w:pPr>
        <w:spacing w:after="0" w:line="9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97"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We, along with many other telecommunications companies and similar service providers, currently are subject to litigation regarding our billing, collection and remittance of non-income-based taxes and other similar charges regarding 911 services alleged to apply in certain states, counties, and municipalities located in California, Illinois, New York, Pennsylvania, and Rhode Island.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a risk of litigation resulting from customer misuse of our services and software to make or send unauthorized calls and/or messages, including those in violation of the Telephone Consumer Protection Act. Customer misuse of our services and software also could damage our reputation.</w:t>
      </w:r>
    </w:p>
    <w:p>
      <w:pPr>
        <w:spacing w:after="0" w:line="111" w:lineRule="exact"/>
        <w:rPr>
          <w:sz w:val="20"/>
          <w:szCs w:val="20"/>
          <w:color w:val="auto"/>
        </w:rPr>
      </w:pPr>
    </w:p>
    <w:p>
      <w:pPr>
        <w:jc w:val="both"/>
        <w:ind w:firstLine="605"/>
        <w:spacing w:after="0" w:line="285" w:lineRule="auto"/>
        <w:rPr>
          <w:sz w:val="20"/>
          <w:szCs w:val="20"/>
          <w:color w:val="auto"/>
        </w:rPr>
      </w:pPr>
      <w:r>
        <w:rPr>
          <w:rFonts w:ascii="Arial" w:cs="Arial" w:eastAsia="Arial" w:hAnsi="Arial"/>
          <w:sz w:val="16"/>
          <w:szCs w:val="16"/>
          <w:color w:val="auto"/>
        </w:rPr>
        <w:t>Calls and/or text messages originated by our customers may subject us to potential risks, including litigation, regulatory enforcement, fines, and reputational damage. For example, the Telephone Consumer Protection Act of 1991 (the “TCPA”) restricts telemarketing and the use of technologies that enable automatic calling and/or messaging without proper customer consent. This may result in civil claims against us, including those arising due to our customers’ use of our platform, and requests for information through third-party subpoenas or regulatory investigations. For example, we, along with other telecommunications companies, have been named as a defendant in a TCPA action relating to our alleged failure to block unsolicited phone calls to the plaintiff and putative class members. See the section titled “Item 3. Legal Proceedings” in our Annual Report on Form 10-K for the year</w:t>
      </w:r>
    </w:p>
    <w:p>
      <w:pPr>
        <w:jc w:val="both"/>
        <w:spacing w:after="0" w:line="272" w:lineRule="auto"/>
        <w:rPr>
          <w:sz w:val="20"/>
          <w:szCs w:val="20"/>
          <w:color w:val="auto"/>
        </w:rPr>
      </w:pPr>
      <w:r>
        <w:rPr>
          <w:rFonts w:ascii="Arial" w:cs="Arial" w:eastAsia="Arial" w:hAnsi="Arial"/>
          <w:sz w:val="17"/>
          <w:szCs w:val="17"/>
          <w:color w:val="auto"/>
        </w:rPr>
        <w:t>ended December 31, 2020. Internationally, we also may become subject to similar laws imposing limitations on marketing calls to wireline and wireless numbers. The scope and interpretation of the laws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taking mandatory actions such as obtaining proper customer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08" w:lineRule="exact"/>
        <w:rPr>
          <w:sz w:val="20"/>
          <w:szCs w:val="20"/>
          <w:color w:val="auto"/>
        </w:rPr>
      </w:pPr>
    </w:p>
    <w:p>
      <w:pPr>
        <w:jc w:val="both"/>
        <w:ind w:firstLine="605"/>
        <w:spacing w:after="0" w:line="284" w:lineRule="auto"/>
        <w:rPr>
          <w:sz w:val="20"/>
          <w:szCs w:val="20"/>
          <w:color w:val="auto"/>
        </w:rPr>
      </w:pPr>
      <w:r>
        <w:rPr>
          <w:rFonts w:ascii="Arial" w:cs="Arial" w:eastAsia="Arial" w:hAnsi="Arial"/>
          <w:sz w:val="16"/>
          <w:szCs w:val="16"/>
          <w:color w:val="auto"/>
        </w:rPr>
        <w:t>Some of our customers may use our platform to transmit illegal, offensive 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and in certain jurisdictions an end user, can use our platform, although we cannot always conduct proactive audits of our customers thereafter to confirm compliance with our practices and policies, including our Acceptable Use Policy. We generally rely on our customers’ contractual representations to us that their use of our platform will comply with applicable law and our practices and policies. In cases where our customers are reselling our services, we are relying on a contractual pass-through by our customers of similar</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contractual representations from their end users.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liable for our customers’ activities, we could be required to pay fines or penalties, redesign our business methods, limit our ability to provide certain services or otherwise expend resources to remedy any damages caused by such actions and avoid future liability.</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If current or future regulations change, the Federal Communications Commission (the “FCC”), state or international regulators may not grant us required regulatory authorizations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19" w:lineRule="exact"/>
        <w:rPr>
          <w:sz w:val="20"/>
          <w:szCs w:val="20"/>
          <w:color w:val="auto"/>
        </w:rPr>
      </w:pPr>
    </w:p>
    <w:p>
      <w:pPr>
        <w:jc w:val="both"/>
        <w:ind w:firstLine="605"/>
        <w:spacing w:after="0" w:line="265" w:lineRule="auto"/>
        <w:rPr>
          <w:sz w:val="20"/>
          <w:szCs w:val="20"/>
          <w:color w:val="auto"/>
        </w:rPr>
      </w:pPr>
      <w:r>
        <w:rPr>
          <w:rFonts w:ascii="Arial" w:cs="Arial" w:eastAsia="Arial" w:hAnsi="Arial"/>
          <w:sz w:val="17"/>
          <w:szCs w:val="17"/>
          <w:color w:val="auto"/>
        </w:rPr>
        <w:t>Proceedings before the FCC or international regulators could limit our access to various network services or further increase the rates we must pay for such services. For example, the availability and price of special access facilities could be affected by proceedings before the FCC, changes to applicable FCC rules and FCC forbearance from the enforcement of obligations on incumbent local exchange carriers (“LECs”). Other proceedings before the FCC could result in an increase in the amount we pay to other carriers or a reduction in the revenue we derive from other carriers in, or retroactive liability for, access charges and reciprocal compensation. For example, on December 17, 2019, the FCC issued an order that revised its interpretation of the Voice-over Internet Protocol (“VoIP”) symmetry rule. The FCC now concludes that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The FCC also decided to give its order retroactive effect. We cannot predict the impact this FCC order may have on our business, including whether other carriers will agree with our legal interpretations and treatments, at this time. Other proceedings before the FCC could also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23"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While we believe we are currently in compliance with all federal, state, local and international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local or international regulators if they believe a provider has breached applicable rules and regulations.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increased regulation of IP-based service providers are unknown.</w:t>
      </w:r>
    </w:p>
    <w:p>
      <w:pPr>
        <w:spacing w:after="0" w:line="159"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While the FCC has to date generally subjected IP-based service providers in the United States to less stringent regulatory oversight than traditional common carriers,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recently enacted TRACED Act aims to mitigate illegal robocalls by directing the FCC to conduct certain rulemaking proceedings that include adopting rules that require participation in the technical standard known as the Secure Telephone Identity Revisited (“STIR”) and Signature-based Handling of Asserted Information Using toKENs (“SHAKEN”) (together, “STIR/SHAKEN”), among other requirements. The TRACED Act applies to both IP-based and non-IP-based service providers. Further, some states have imposed taxes, fees and/or surcharges on interconnected VoIP telephony services. The imposition of additional regulations could have a material adverse effect on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obtain and maintain permits and licenses to operate our network.</w:t>
      </w:r>
    </w:p>
    <w:p>
      <w:pPr>
        <w:spacing w:after="0" w:line="159"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If we are unable, on acceptable terms and on a timely basis, to obtain and maintain the permits and licenses needed to expand and operate our network, our business could be materially adversely affected. In addition,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115"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19"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6"/>
          <w:szCs w:val="16"/>
          <w:color w:val="auto"/>
        </w:rPr>
        <w:t>Our operations are subject to regulation at the national level and, often, at the state and local levels. Our operations are also subject to additional regulation by other countries in international markets. Changes to existing regulations or rules, or the failure to regulate going forward in areas historically regulated on matters such as network neutrality, licensing fees, environmental, health and safety, privacy, intercarrier compensation, emergency services, interconnection, illegal robocalling, extra-territorial use of telephone numbers, and other areas, in general or particular to our industry, may increase costs, restrict operations or decrease revenue. For example, the TRACED Act aims to mitigate illegal robocalls by directing the FCC to develop rules requiring participation in the technical standard known as STIR/SHAKEN among other things. We are also subject to telecommunications laws and regulations in the non-U.S. countries where we offer our products. Our international operations are subject to country-specific laws and governmental regulation that may increase our costs or impact our products and communications platform or prevent us from offering or providing our products in certain countries. Many existing non-US laws and regulations may not fully contemplate CPaaS solutions and the interpretation and enforcement of non-US laws and regulations may involve significant uncertainties. For example, several European countries have adopted “know your customer” requirements regarding end users and have mandated the real-time provisioning of the data to national law enforcement authorities. Future legislative, regulatory or judicial actions impacting CPaaS solutions also could increase the cost and complexity of compliance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expose us to liability. Our inability or failure to comply with telecommunications and other laws and regulations could cause the temporary or</w:t>
      </w:r>
    </w:p>
    <w:p>
      <w:pPr>
        <w:spacing w:after="0" w:line="3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permanent suspension of our operations. In addition, if we cannot provide emergency calling functionality through our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January 2018, the FCC repealed its Network Neutrality Rules. Our business could suffer with respect to the quality of the services we offer, our ability to maintain our internet-based services and our services offered through our communications platform, decrease our profitability or increase the price of our services making our offerings less competitive in the marketplace.</w:t>
      </w:r>
    </w:p>
    <w:p>
      <w:pPr>
        <w:spacing w:after="0" w:line="111"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6"/>
          <w:szCs w:val="16"/>
          <w:color w:val="auto"/>
        </w:rPr>
        <w:t>In January 2018, the FCC adopted an order largely repealing its network neutrality rules. Among other things, the pre-existing network neutrality rules prevented providers of broadband internet access services—like cable and telephone companies—from blocking, impairing and degrading service offerings from non-affiliated third parties like us. The FCC’s order repealing the pre-existing network neutrality rules was appealed by a number of parties. In October 2019, a three judge panel of the U.S. Court of Appeals for the District of Columbia Circuit issued a decision that largely affirmed the FCC’s order, including the reclassification of broadband Internet access as an information service. The court, however, vacated the FCC’s decision that would have prospectively barred states from imposing any rule or requirement that was inconsistent with the FCC’s order. The appellate court’s decision is subject to rehearing by the full court or parties may seek to appeal the decision to the U.S. Supreme Court. Various companies appealed the federal court of appeals decision in December 2019. We cannot predict whether the FCC will reverse its January 2018 order, whether the appeal will be successful or whether any states will adopt legislation that results in restoring the pre-existing network neutrality rules that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prevent broadband internet access service providers from blocking, impairing and degrading offerings from third parties like us. If broadband providers were to block, impair or degrade our internet-based services or services we offer through our communications platform, or if broadband internet access providers were to charge us or our customers to access and use our internet-based services or services offered through our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subject to privacy and data security obligations in the United States. Any failure to comply with applicable laws, regulations or contractual obligations may harm our business, results of operations and financial condition. The FCC, other federal agencies and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100" w:lineRule="exact"/>
        <w:rPr>
          <w:sz w:val="20"/>
          <w:szCs w:val="20"/>
          <w:color w:val="auto"/>
        </w:rPr>
      </w:pPr>
    </w:p>
    <w:p>
      <w:pPr>
        <w:jc w:val="both"/>
        <w:ind w:firstLine="605"/>
        <w:spacing w:after="0" w:line="250" w:lineRule="auto"/>
        <w:rPr>
          <w:sz w:val="20"/>
          <w:szCs w:val="20"/>
          <w:color w:val="auto"/>
        </w:rPr>
      </w:pPr>
      <w:r>
        <w:rPr>
          <w:rFonts w:ascii="Arial" w:cs="Arial" w:eastAsia="Arial" w:hAnsi="Arial"/>
          <w:sz w:val="18"/>
          <w:szCs w:val="18"/>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w:t>
      </w:r>
    </w:p>
    <w:p>
      <w:pPr>
        <w:spacing w:after="0" w:line="13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111"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03"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Any failure or perceived failure by us, our products or the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Our business is subject to complex and evolving foreign laws and regulations regarding privacy, data protection and other matters relating to information collection.</w:t>
      </w:r>
    </w:p>
    <w:p>
      <w:pPr>
        <w:spacing w:after="0" w:line="97"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There are numerous foreign laws, regulations and directives regarding privacy and the collection, retention, storage, transmission, use, processing, disclosure and protection of PII and other personal or customer data, the scope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which is continually evolving and subject to differing interpretations. We must comply with applicable laws, regulations and directives and we may be subject to significant consequences, including penalties and fines, for our failure to comply.</w:t>
      </w:r>
    </w:p>
    <w:p>
      <w:pPr>
        <w:spacing w:after="0" w:line="97"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93" w:lineRule="exact"/>
        <w:rPr>
          <w:sz w:val="20"/>
          <w:szCs w:val="20"/>
          <w:color w:val="auto"/>
        </w:rPr>
      </w:pPr>
    </w:p>
    <w:p>
      <w:pPr>
        <w:jc w:val="both"/>
        <w:ind w:firstLine="605"/>
        <w:spacing w:after="0" w:line="252" w:lineRule="auto"/>
        <w:rPr>
          <w:sz w:val="20"/>
          <w:szCs w:val="20"/>
          <w:color w:val="auto"/>
        </w:rPr>
      </w:pPr>
      <w:r>
        <w:rPr>
          <w:rFonts w:ascii="Arial" w:cs="Arial" w:eastAsia="Arial" w:hAnsi="Arial"/>
          <w:sz w:val="18"/>
          <w:szCs w:val="18"/>
          <w:color w:val="auto"/>
        </w:rPr>
        <w:t>For example, as of May 25, 2018, the General Data Protection Regulation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124" w:lineRule="exact"/>
        <w:rPr>
          <w:sz w:val="20"/>
          <w:szCs w:val="20"/>
          <w:color w:val="auto"/>
        </w:rPr>
      </w:pPr>
    </w:p>
    <w:p>
      <w:pPr>
        <w:jc w:val="both"/>
        <w:ind w:firstLine="605"/>
        <w:spacing w:after="0" w:line="289" w:lineRule="auto"/>
        <w:rPr>
          <w:sz w:val="20"/>
          <w:szCs w:val="20"/>
          <w:color w:val="auto"/>
        </w:rPr>
      </w:pPr>
      <w:r>
        <w:rPr>
          <w:rFonts w:ascii="Arial" w:cs="Arial" w:eastAsia="Arial" w:hAnsi="Arial"/>
          <w:sz w:val="16"/>
          <w:szCs w:val="16"/>
          <w:color w:val="auto"/>
        </w:rPr>
        <w:t>In addition, recent legal developments in Europe have created complexity and compliance uncertainty regarding certain transfers of information from the EU to the United States. On July 16, 2020, the Court of Justice of the European Union (the “CJEU”) invalidated the Privacy Shield Framework. The CJEU also imposed substantial requirements upon the continued use of standard contractual clauses for data transfers from the EU to the United States, which may make the use of standard contractual clauses difficult or impossible to use under some circumstances. We and our customers are at risk of enforcement actions taken by European regulators until such point in time that we are able to ensure that all data transfers to the United States from the EU are legitimized. We also may encounter additional complexity with respect to data privacy and data transfers from the U.K. resulting from the U.K.’s transition out of the EU. If we are unable to transfer PII between and among countries and regions in which we operate or may operate in the future, it could affect the manner in which we provide our services or could adversely affect our financial results.</w:t>
      </w:r>
    </w:p>
    <w:p>
      <w:pPr>
        <w:spacing w:after="0" w:line="94" w:lineRule="exact"/>
        <w:rPr>
          <w:sz w:val="20"/>
          <w:szCs w:val="20"/>
          <w:color w:val="auto"/>
        </w:rPr>
      </w:pPr>
    </w:p>
    <w:p>
      <w:pPr>
        <w:jc w:val="both"/>
        <w:ind w:firstLine="605"/>
        <w:spacing w:after="0" w:line="252" w:lineRule="auto"/>
        <w:rPr>
          <w:sz w:val="20"/>
          <w:szCs w:val="20"/>
          <w:color w:val="auto"/>
        </w:rPr>
      </w:pPr>
      <w:r>
        <w:rPr>
          <w:rFonts w:ascii="Arial" w:cs="Arial" w:eastAsia="Arial" w:hAnsi="Arial"/>
          <w:sz w:val="18"/>
          <w:szCs w:val="18"/>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97"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Our future success depends on our ability to procure large quantities of local and toll-free numbers to meet customer demands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11"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7"/>
          <w:szCs w:val="17"/>
          <w:color w:val="auto"/>
        </w:rPr>
        <w:t>In addition, in order to procure, distribute and retain telephone numbers in certain foreign jurisdictions,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registered or obtained licenses, or are in the process of registering or obtaining licenses,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1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97"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We face exposure to the effects of fluctuations in currency exchange rates. While historically we have primarily transacted in U.S. dollars, we generally have transacted with customers and partners in Europe in British Pounds and Euros. We expect to expand the number of transactions with customers and partners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23" w:lineRule="exact"/>
        <w:rPr>
          <w:sz w:val="20"/>
          <w:szCs w:val="20"/>
          <w:color w:val="auto"/>
        </w:rPr>
      </w:pPr>
    </w:p>
    <w:p>
      <w:pPr>
        <w:jc w:val="both"/>
        <w:ind w:firstLine="605"/>
        <w:spacing w:after="0" w:line="292" w:lineRule="auto"/>
        <w:rPr>
          <w:sz w:val="20"/>
          <w:szCs w:val="20"/>
          <w:color w:val="auto"/>
        </w:rPr>
      </w:pPr>
      <w:r>
        <w:rPr>
          <w:rFonts w:ascii="Arial" w:cs="Arial" w:eastAsia="Arial" w:hAnsi="Arial"/>
          <w:sz w:val="16"/>
          <w:szCs w:val="16"/>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94"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7"/>
          <w:szCs w:val="17"/>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7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We are subject to the Foreign Corrupt Practices Act (“FCPA”), the U.K. Bribery Act and other laws that prohibit improper payments or offers of payments to foreign governments and their officials, political parties, and/or private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123"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97" w:lineRule="exact"/>
        <w:rPr>
          <w:sz w:val="20"/>
          <w:szCs w:val="20"/>
          <w:color w:val="auto"/>
        </w:rPr>
      </w:pPr>
    </w:p>
    <w:p>
      <w:pPr>
        <w:jc w:val="both"/>
        <w:ind w:firstLine="605"/>
        <w:spacing w:after="0" w:line="271" w:lineRule="auto"/>
        <w:rPr>
          <w:sz w:val="20"/>
          <w:szCs w:val="20"/>
          <w:color w:val="auto"/>
        </w:rPr>
      </w:pPr>
      <w:r>
        <w:rPr>
          <w:rFonts w:ascii="Arial" w:cs="Arial" w:eastAsia="Arial" w:hAnsi="Arial"/>
          <w:sz w:val="17"/>
          <w:szCs w:val="17"/>
          <w:color w:val="auto"/>
        </w:rPr>
        <w:t>If technology that we require to provide our services, including our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07"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services and subject us to possible litigation.</w:t>
      </w:r>
    </w:p>
    <w:p>
      <w:pPr>
        <w:spacing w:after="0" w:line="159" w:lineRule="exact"/>
        <w:rPr>
          <w:sz w:val="20"/>
          <w:szCs w:val="20"/>
          <w:color w:val="auto"/>
        </w:rPr>
      </w:pPr>
    </w:p>
    <w:p>
      <w:pPr>
        <w:jc w:val="both"/>
        <w:ind w:firstLine="605"/>
        <w:spacing w:after="0" w:line="251" w:lineRule="auto"/>
        <w:rPr>
          <w:sz w:val="20"/>
          <w:szCs w:val="20"/>
          <w:color w:val="auto"/>
        </w:rPr>
      </w:pPr>
      <w:r>
        <w:rPr>
          <w:rFonts w:ascii="Arial" w:cs="Arial" w:eastAsia="Arial" w:hAnsi="Arial"/>
          <w:sz w:val="18"/>
          <w:szCs w:val="18"/>
          <w:color w:val="auto"/>
        </w:rPr>
        <w:t>Our services, including our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82"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11"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1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15" w:lineRule="exact"/>
        <w:rPr>
          <w:sz w:val="20"/>
          <w:szCs w:val="20"/>
          <w:color w:val="auto"/>
        </w:rPr>
      </w:pPr>
    </w:p>
    <w:p>
      <w:pPr>
        <w:jc w:val="both"/>
        <w:ind w:firstLine="605"/>
        <w:spacing w:after="0" w:line="271" w:lineRule="auto"/>
        <w:rPr>
          <w:sz w:val="20"/>
          <w:szCs w:val="20"/>
          <w:color w:val="auto"/>
        </w:rPr>
      </w:pPr>
      <w:r>
        <w:rPr>
          <w:rFonts w:ascii="Arial" w:cs="Arial" w:eastAsia="Arial" w:hAnsi="Arial"/>
          <w:sz w:val="17"/>
          <w:szCs w:val="17"/>
          <w:color w:val="auto"/>
        </w:rPr>
        <w:t>Failure to comply with obligations and restrictions related to applicable data protection laws, regulations, standards, and codes of conduct, as well as our own posted privacy policies, privacy notices,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97"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24" w:lineRule="exact"/>
        <w:rPr>
          <w:sz w:val="20"/>
          <w:szCs w:val="20"/>
          <w:color w:val="auto"/>
        </w:rPr>
      </w:pPr>
    </w:p>
    <w:p>
      <w:pPr>
        <w:jc w:val="both"/>
        <w:ind w:firstLine="605"/>
        <w:spacing w:after="0" w:line="266" w:lineRule="auto"/>
        <w:rPr>
          <w:sz w:val="20"/>
          <w:szCs w:val="20"/>
          <w:color w:val="auto"/>
        </w:rPr>
      </w:pPr>
      <w:r>
        <w:rPr>
          <w:rFonts w:ascii="Arial" w:cs="Arial" w:eastAsia="Arial" w:hAnsi="Arial"/>
          <w:sz w:val="17"/>
          <w:szCs w:val="17"/>
          <w:color w:val="auto"/>
        </w:rPr>
        <w:t>The unlicensed use of our brands by third parties could harm our reputation, cause confusion among our customers or impair our ability to market our services. Accordingly, we have registered trademarks and service marks and have applied for registration of our trademarks and service marks in the United States and certain jurisdictions outside the United States to establish and protect our brand names as part of our intellectual property strategy. The laws of some countries do not protect intellectual property and other proprietary rights to the same extent as the laws of the United States. Our exposure to unauthorized copying, transfer and use of our proprietary technology or information may increase as we expand our international operations. We cannot assure you that our pending or future trademark applications will be approved. Although we anticipate that we would be given an opportunity to respond to any such rejections, we may be unable to overcome any such rejections. In addition, in proceedings before the U.S.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are subject to litigation in the ordinary course of business, and uninsured judgments or a rise in insurance premiums may adversely affect our results of operations.</w:t>
      </w:r>
    </w:p>
    <w:p>
      <w:pPr>
        <w:spacing w:after="0" w:line="97"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the information that content owners or distributors distribute over our network.</w:t>
      </w:r>
    </w:p>
    <w:p>
      <w:pPr>
        <w:spacing w:after="0" w:line="159"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7"/>
          <w:szCs w:val="17"/>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73" w:lineRule="exact"/>
        <w:rPr>
          <w:sz w:val="20"/>
          <w:szCs w:val="20"/>
          <w:color w:val="auto"/>
        </w:rPr>
      </w:pPr>
    </w:p>
    <w:p>
      <w:pPr>
        <w:jc w:val="both"/>
        <w:ind w:firstLine="605"/>
        <w:spacing w:after="0" w:line="289" w:lineRule="auto"/>
        <w:rPr>
          <w:sz w:val="20"/>
          <w:szCs w:val="20"/>
          <w:color w:val="auto"/>
        </w:rPr>
      </w:pPr>
      <w:r>
        <w:rPr>
          <w:rFonts w:ascii="Arial" w:cs="Arial" w:eastAsia="Arial" w:hAnsi="Arial"/>
          <w:sz w:val="16"/>
          <w:szCs w:val="16"/>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94" w:lineRule="exact"/>
        <w:rPr>
          <w:sz w:val="20"/>
          <w:szCs w:val="20"/>
          <w:color w:val="auto"/>
        </w:rPr>
      </w:pPr>
    </w:p>
    <w:p>
      <w:pPr>
        <w:jc w:val="both"/>
        <w:ind w:firstLine="605"/>
        <w:spacing w:after="0" w:line="301" w:lineRule="auto"/>
        <w:rPr>
          <w:sz w:val="20"/>
          <w:szCs w:val="20"/>
          <w:color w:val="auto"/>
        </w:rPr>
      </w:pPr>
      <w:r>
        <w:rPr>
          <w:rFonts w:ascii="Arial" w:cs="Arial" w:eastAsia="Arial" w:hAnsi="Arial"/>
          <w:sz w:val="16"/>
          <w:szCs w:val="16"/>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86" w:lineRule="exact"/>
        <w:rPr>
          <w:sz w:val="20"/>
          <w:szCs w:val="20"/>
          <w:color w:val="auto"/>
        </w:rPr>
      </w:pPr>
    </w:p>
    <w:p>
      <w:pPr>
        <w:jc w:val="both"/>
        <w:spacing w:after="0" w:line="345" w:lineRule="auto"/>
        <w:rPr>
          <w:sz w:val="20"/>
          <w:szCs w:val="20"/>
          <w:color w:val="auto"/>
        </w:rPr>
      </w:pPr>
      <w:r>
        <w:rPr>
          <w:rFonts w:ascii="Arial" w:cs="Arial" w:eastAsia="Arial" w:hAnsi="Arial"/>
          <w:sz w:val="16"/>
          <w:szCs w:val="16"/>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51"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Aspects of our services based on VoIP, including our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6" w:lineRule="exact"/>
        <w:rPr>
          <w:sz w:val="20"/>
          <w:szCs w:val="20"/>
          <w:color w:val="auto"/>
        </w:rPr>
      </w:pPr>
    </w:p>
    <w:p>
      <w:pPr>
        <w:ind w:firstLine="606"/>
        <w:spacing w:after="0" w:line="253" w:lineRule="auto"/>
        <w:tabs>
          <w:tab w:leader="none" w:pos="1205" w:val="left"/>
        </w:tabs>
        <w:numPr>
          <w:ilvl w:val="0"/>
          <w:numId w:val="31"/>
        </w:numPr>
        <w:rPr>
          <w:rFonts w:ascii="Arial" w:cs="Arial" w:eastAsia="Arial" w:hAnsi="Arial"/>
          <w:sz w:val="20"/>
          <w:szCs w:val="20"/>
          <w:color w:val="auto"/>
        </w:rPr>
      </w:pPr>
      <w:r>
        <w:rPr>
          <w:rFonts w:ascii="Arial" w:cs="Arial" w:eastAsia="Arial" w:hAnsi="Arial"/>
          <w:sz w:val="18"/>
          <w:szCs w:val="18"/>
          <w:color w:val="auto"/>
        </w:rPr>
        <w:t>Our 911 calling and other emergency calling services are different, in significant respects, from the 911 and other emergency calling services associated with traditional wireline and wireless telephone providers and, in certain cases, with other VoIP providers.</w:t>
      </w:r>
    </w:p>
    <w:p>
      <w:pPr>
        <w:spacing w:after="0" w:line="119" w:lineRule="exact"/>
        <w:rPr>
          <w:rFonts w:ascii="Arial" w:cs="Arial" w:eastAsia="Arial" w:hAnsi="Arial"/>
          <w:sz w:val="20"/>
          <w:szCs w:val="20"/>
          <w:color w:val="auto"/>
        </w:rPr>
      </w:pPr>
    </w:p>
    <w:p>
      <w:pPr>
        <w:ind w:left="1200" w:hanging="594"/>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a power loss or Internet access interruption experienced by a customer, our service may be interrupted.</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customers’ end users may experience lower call quality than they are used to from traditional wireline or wireless telephone companies, including static, echoes and delays in transmissions.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customers’ end users may not be able to call premium-rate telephone numbers such as 1-900 numbers and 976 numbers.</w:t>
      </w:r>
    </w:p>
    <w:p>
      <w:pPr>
        <w:spacing w:after="0" w:line="170" w:lineRule="exact"/>
        <w:rPr>
          <w:sz w:val="20"/>
          <w:szCs w:val="20"/>
          <w:color w:val="auto"/>
        </w:rPr>
      </w:pPr>
    </w:p>
    <w:p>
      <w:pPr>
        <w:spacing w:after="0" w:line="345" w:lineRule="auto"/>
        <w:rPr>
          <w:sz w:val="20"/>
          <w:szCs w:val="20"/>
          <w:color w:val="auto"/>
        </w:rPr>
      </w:pPr>
      <w:r>
        <w:rPr>
          <w:rFonts w:ascii="Arial" w:cs="Arial" w:eastAsia="Arial" w:hAnsi="Arial"/>
          <w:sz w:val="16"/>
          <w:szCs w:val="16"/>
          <w:b w:val="1"/>
          <w:bCs w:val="1"/>
          <w:i w:val="1"/>
          <w:iCs w:val="1"/>
          <w:color w:val="auto"/>
        </w:rPr>
        <w:t>We may lose customers if we experience failures of our system or communications platform that significantly disrupt the availability and quality of the services that we provide. Such failures may also cause interruptions to service delivery and the completion of other corporate functions.</w:t>
      </w:r>
    </w:p>
    <w:p>
      <w:pPr>
        <w:spacing w:after="0" w:line="51" w:lineRule="exact"/>
        <w:rPr>
          <w:sz w:val="20"/>
          <w:szCs w:val="20"/>
          <w:color w:val="auto"/>
        </w:rPr>
      </w:pPr>
    </w:p>
    <w:p>
      <w:pPr>
        <w:ind w:firstLine="605"/>
        <w:spacing w:after="0" w:line="280"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08"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pandemics such as COVID-19, disease, accidents, terrorist acts, power losses, security breaches, vandalism or other illegal acts, computer viruses or other causes. These delays, errors or failures could significantly impair our business due to:</w:t>
      </w:r>
    </w:p>
    <w:p>
      <w:pPr>
        <w:spacing w:after="0" w:line="128" w:lineRule="exact"/>
        <w:rPr>
          <w:sz w:val="20"/>
          <w:szCs w:val="20"/>
          <w:color w:val="auto"/>
        </w:rPr>
      </w:pPr>
    </w:p>
    <w:p>
      <w:pPr>
        <w:ind w:left="1200" w:hanging="594"/>
        <w:spacing w:after="0"/>
        <w:tabs>
          <w:tab w:leader="none" w:pos="1200" w:val="left"/>
        </w:tabs>
        <w:numPr>
          <w:ilvl w:val="0"/>
          <w:numId w:val="32"/>
        </w:numPr>
        <w:rPr>
          <w:rFonts w:ascii="Arial" w:cs="Arial" w:eastAsia="Arial" w:hAnsi="Arial"/>
          <w:sz w:val="20"/>
          <w:szCs w:val="20"/>
          <w:color w:val="auto"/>
        </w:rPr>
      </w:pPr>
      <w:r>
        <w:rPr>
          <w:rFonts w:ascii="Arial" w:cs="Arial" w:eastAsia="Arial" w:hAnsi="Arial"/>
          <w:sz w:val="18"/>
          <w:szCs w:val="18"/>
          <w:color w:val="auto"/>
        </w:rPr>
        <w:t>service interruptions;</w:t>
      </w:r>
    </w:p>
    <w:p>
      <w:pPr>
        <w:spacing w:after="0" w:line="135" w:lineRule="exact"/>
        <w:rPr>
          <w:rFonts w:ascii="Arial" w:cs="Arial" w:eastAsia="Arial" w:hAnsi="Arial"/>
          <w:sz w:val="20"/>
          <w:szCs w:val="20"/>
          <w:color w:val="auto"/>
        </w:rPr>
      </w:pPr>
    </w:p>
    <w:p>
      <w:pPr>
        <w:ind w:left="1200" w:hanging="594"/>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malfunction of our communications platform on which our enterprise users rely for voice, messaging or emergency service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functionality;</w:t>
      </w:r>
    </w:p>
    <w:p>
      <w:pPr>
        <w:spacing w:after="0" w:line="142" w:lineRule="exact"/>
        <w:rPr>
          <w:rFonts w:ascii="Arial" w:cs="Arial" w:eastAsia="Arial" w:hAnsi="Arial"/>
          <w:sz w:val="18"/>
          <w:szCs w:val="18"/>
          <w:color w:val="auto"/>
        </w:rPr>
      </w:pPr>
    </w:p>
    <w:p>
      <w:pPr>
        <w:ind w:left="1200" w:hanging="594"/>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customer liability;</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install new service;</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unavailability of employees necessary to provide services;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delay in the completion of other corporate functions such as issuing bills and the preparation of financial statements; or</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for expensive modifications to our systems and infrastructure.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errors in our services could diminish demand for our services, harm our business and results of operations and subject us to liability.</w:t>
      </w:r>
    </w:p>
    <w:p>
      <w:pPr>
        <w:spacing w:after="0" w:line="182" w:lineRule="exact"/>
        <w:rPr>
          <w:sz w:val="20"/>
          <w:szCs w:val="20"/>
          <w:color w:val="auto"/>
        </w:rPr>
      </w:pPr>
    </w:p>
    <w:p>
      <w:pPr>
        <w:jc w:val="both"/>
        <w:ind w:firstLine="605"/>
        <w:spacing w:after="0" w:line="289" w:lineRule="auto"/>
        <w:rPr>
          <w:sz w:val="20"/>
          <w:szCs w:val="20"/>
          <w:color w:val="auto"/>
        </w:rPr>
      </w:pPr>
      <w:r>
        <w:rPr>
          <w:rFonts w:ascii="Arial" w:cs="Arial" w:eastAsia="Arial" w:hAnsi="Arial"/>
          <w:sz w:val="16"/>
          <w:szCs w:val="16"/>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emergency services do not function properly, we may be exposed to significant liability from our users.</w:t>
      </w:r>
    </w:p>
    <w:p>
      <w:pPr>
        <w:spacing w:after="0" w:line="159"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Certain of our IP telephony offerings, as well as the 911 and other emergency services solutions that we offer are subject to FCC and other rules governing the delivery of emergency calling services. Similar to other providers of IP telephony services, our 911 and other emergency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in the United States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Similar requirements and delays applicable to relevant databases also apply to local emergency services provided outside the United States.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Similar obligations apply to local emergency services provided outside the United States. Failure to comply with these requirements, or failure of our communications platform such that 911 and other emergency calls did not complete or were misrouted, may result in FCC, foreign regulatory or other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24"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National regulations, including the FCC’s rules, also require that we timely report certain 911 and other emergency service outages. The FCC or other applicable regulatory authorities may make inquiries regarding matters related to any reported 911 or other emergency service outage. Any inquiry could result in regulatory enforcement action, potential monetary penalties and other adverse consequences.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relationships with key suppliers could cause delay and additional costs.</w:t>
      </w:r>
    </w:p>
    <w:p>
      <w:pPr>
        <w:spacing w:after="0" w:line="159"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7"/>
          <w:szCs w:val="17"/>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08"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24"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One of our third-party suppliers, Level 3, provides us with certain 911 call routing and termination services. Level 3 is our preferred provider for these services pursuant to an agreement that automatically renews for consecutive one-year periods, unless terminated by either Level 3 or us.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Additionally, Level 3 has a right of first refusal to provide these 911 call routing and termination services to us in additional geographic areas.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and financial health are subject to a number of economic risks.</w:t>
      </w:r>
    </w:p>
    <w:p>
      <w:pPr>
        <w:spacing w:after="0" w:line="159" w:lineRule="exact"/>
        <w:rPr>
          <w:sz w:val="20"/>
          <w:szCs w:val="20"/>
          <w:color w:val="auto"/>
        </w:rPr>
      </w:pPr>
    </w:p>
    <w:p>
      <w:pPr>
        <w:jc w:val="both"/>
        <w:ind w:firstLine="605"/>
        <w:spacing w:after="0" w:line="251" w:lineRule="auto"/>
        <w:rPr>
          <w:sz w:val="20"/>
          <w:szCs w:val="20"/>
          <w:color w:val="auto"/>
        </w:rPr>
      </w:pPr>
      <w:r>
        <w:rPr>
          <w:rFonts w:ascii="Arial" w:cs="Arial" w:eastAsia="Arial" w:hAnsi="Arial"/>
          <w:sz w:val="18"/>
          <w:szCs w:val="18"/>
          <w:color w:val="auto"/>
        </w:rPr>
        <w:t>The financial markets in the United States have experienced substantial uncertainty during recent years, particularly following the COVID-19 outbreak.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offering memorandum.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24" w:lineRule="exact"/>
        <w:rPr>
          <w:sz w:val="20"/>
          <w:szCs w:val="20"/>
          <w:color w:val="auto"/>
        </w:rPr>
      </w:pPr>
    </w:p>
    <w:p>
      <w:pPr>
        <w:jc w:val="both"/>
        <w:ind w:firstLine="605"/>
        <w:spacing w:after="0" w:line="275" w:lineRule="auto"/>
        <w:rPr>
          <w:sz w:val="20"/>
          <w:szCs w:val="20"/>
          <w:color w:val="auto"/>
        </w:rPr>
      </w:pPr>
      <w:r>
        <w:rPr>
          <w:rFonts w:ascii="Arial" w:cs="Arial" w:eastAsia="Arial" w:hAnsi="Arial"/>
          <w:sz w:val="17"/>
          <w:szCs w:val="17"/>
          <w:color w:val="auto"/>
        </w:rPr>
        <w:t>Key vendors upon which we rely also could be unwilling or unable to provide us with the materials or services that we need to operate our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 churn rate may increase.</w:t>
      </w:r>
    </w:p>
    <w:p>
      <w:pPr>
        <w:spacing w:after="0" w:line="159"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market prices for certain of our services have decreased in the past and may decrease in the future, resulting in lower revenue than we anticipate.</w:t>
      </w:r>
    </w:p>
    <w:p>
      <w:pPr>
        <w:spacing w:after="0" w:line="97"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Market prices for certain of our services have decreased over recent years. These decreases resulted from downward market pressure and other factors including:</w:t>
      </w:r>
    </w:p>
    <w:p>
      <w:pPr>
        <w:spacing w:after="0" w:line="97" w:lineRule="exact"/>
        <w:rPr>
          <w:sz w:val="20"/>
          <w:szCs w:val="20"/>
          <w:color w:val="auto"/>
        </w:rPr>
      </w:pPr>
    </w:p>
    <w:p>
      <w:pPr>
        <w:ind w:firstLine="606"/>
        <w:spacing w:after="0" w:line="280" w:lineRule="auto"/>
        <w:tabs>
          <w:tab w:leader="none" w:pos="11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technological changes and network expansions, which have resulted in increased transmission capacity available for sale by us and by our competitors; and</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some of our competitors have been willing to accept smaller operating margins in the short term in an attempt to increase long-term</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revenue.</w:t>
      </w:r>
    </w:p>
    <w:p>
      <w:pPr>
        <w:spacing w:after="0" w:line="143"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potential competitors. As our prices for some of our services decrease, our operating results may suffer unless we are able to either reduce our operating expenses or increase traffic volume from which we can derive additional revenue.</w:t>
      </w:r>
    </w:p>
    <w:p>
      <w:pPr>
        <w:spacing w:after="0" w:line="9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97"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We lease all of our IP circuits from third parties.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19"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7"/>
          <w:szCs w:val="17"/>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In some jurisdictions, we rely on third party access and networks for local connectivity. We are not always able to secure this access and local connectivity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12"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6"/>
          <w:szCs w:val="16"/>
          <w:color w:val="auto"/>
        </w:rPr>
        <w:t>Network providers also may institute additional fees due to regulatory, competitive or other industry-related changes that increase our costs. For example, in February 2020, a major U.S. cellular carrier introduced a new service offering for Application to Person (“A2P”) messages that adds a new fee for A2P messages delivered to its subscribers. Other cellular carriers may introduce similar fees. While we may be able to negotiate with network providers, absorb the increased costs, or charge these costs to our customers, we cannot assure you that we will be able to do so. In the case of new A2P fees, we currently pass, and expect to continue to pass, these fees on to our customers who send A2P messages to the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97"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such as those who develop and maintain our service offerings,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or other key employees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05"/>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We are currently experiencing voluntary attrition at a rate that exceeds our historical average.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07"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Employees may be more likely to terminate their employment with us if the shares they own or the shares underlying any vested options or restricted stock units have significantly appreciated in value, or, conversely, if the exercise prices of any options that they hold are significantly above the trading price of our Class A common stock or the value of any restricted stock units they hold has depreciated significantly. If we are unable to retain our employees, our business, results of operations and financial condition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59" w:lineRule="exact"/>
        <w:rPr>
          <w:sz w:val="20"/>
          <w:szCs w:val="20"/>
          <w:color w:val="auto"/>
        </w:rPr>
      </w:pPr>
    </w:p>
    <w:p>
      <w:pPr>
        <w:jc w:val="both"/>
        <w:ind w:firstLine="605"/>
        <w:spacing w:after="0" w:line="272" w:lineRule="auto"/>
        <w:rPr>
          <w:sz w:val="20"/>
          <w:szCs w:val="20"/>
          <w:color w:val="auto"/>
        </w:rPr>
      </w:pPr>
      <w:r>
        <w:rPr>
          <w:rFonts w:ascii="Arial" w:cs="Arial" w:eastAsia="Arial" w:hAnsi="Arial"/>
          <w:sz w:val="17"/>
          <w:szCs w:val="17"/>
          <w:color w:val="auto"/>
        </w:rPr>
        <w:t>Other than experience gained at our company, 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liability for historic and future sales, use and similar taxes, which could adversely affect our results of operations.</w:t>
      </w:r>
    </w:p>
    <w:p>
      <w:pPr>
        <w:spacing w:after="0" w:line="170"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7"/>
          <w:szCs w:val="17"/>
          <w:color w:val="auto"/>
        </w:rPr>
        <w:t>We conduct operations in many tax jurisdictions throughout the United States and internationally. In many of these jurisdictions, non-income-based taxes such as sales, use and telecommunications taxes, including those associated with (or potentially associated with) VoIP telephony services or 911 services, are or may be assessed on our operations. We also face exposure to other non-income-based international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17"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Taxing authorities also may periodically perform audits to verify compliance and include all periods that remain open under applicable law,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11" w:lineRule="exact"/>
        <w:rPr>
          <w:sz w:val="20"/>
          <w:szCs w:val="20"/>
          <w:color w:val="auto"/>
        </w:rPr>
      </w:pPr>
    </w:p>
    <w:p>
      <w:pPr>
        <w:jc w:val="both"/>
        <w:ind w:firstLine="605"/>
        <w:spacing w:after="0" w:line="271" w:lineRule="auto"/>
        <w:rPr>
          <w:sz w:val="20"/>
          <w:szCs w:val="20"/>
          <w:color w:val="auto"/>
        </w:rPr>
      </w:pPr>
      <w:r>
        <w:rPr>
          <w:rFonts w:ascii="Arial" w:cs="Arial" w:eastAsia="Arial" w:hAnsi="Arial"/>
          <w:sz w:val="17"/>
          <w:szCs w:val="17"/>
          <w:color w:val="auto"/>
        </w:rPr>
        <w:t>We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Also, our tax expense could be affected depending on the applicability of withholding and other taxes under the tax laws of certain jurisdictions in which we have business operations. The relevant revenue and taxing authorities may disagree with positions we have taken generally, or our determinations as to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may be subject to significant U.S. federal income tax-related liabilities and indemnity obligations if there is a determination that the Spin-Off is taxable for U.S. federal income tax purposes.</w:t>
      </w:r>
    </w:p>
    <w:p>
      <w:pPr>
        <w:spacing w:after="0" w:line="97"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7"/>
          <w:szCs w:val="17"/>
          <w:color w:val="auto"/>
        </w:rPr>
        <w:t>We may be subject to significant U.S. federal income tax-related liabilities with respect to our prior distribution of all of the issued and outstanding shares of the common stock of Relay, Inc. (f/k/a Republic Wireless, Inc.) (“Relay”),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Relay’s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Relay’s stock, in each case, that occurred within two years after the Spin-Off are generally presumed to be part of a plan or series of related transactions with respect to the Spin-Off.</w:t>
      </w:r>
    </w:p>
    <w:p>
      <w:pPr>
        <w:spacing w:after="0" w:line="112" w:lineRule="exact"/>
        <w:rPr>
          <w:sz w:val="20"/>
          <w:szCs w:val="20"/>
          <w:color w:val="auto"/>
        </w:rPr>
      </w:pPr>
    </w:p>
    <w:p>
      <w:pPr>
        <w:jc w:val="both"/>
        <w:ind w:firstLine="605"/>
        <w:spacing w:after="0" w:line="290" w:lineRule="auto"/>
        <w:rPr>
          <w:sz w:val="20"/>
          <w:szCs w:val="20"/>
          <w:color w:val="auto"/>
        </w:rPr>
      </w:pPr>
      <w:r>
        <w:rPr>
          <w:rFonts w:ascii="Arial" w:cs="Arial" w:eastAsia="Arial" w:hAnsi="Arial"/>
          <w:sz w:val="16"/>
          <w:szCs w:val="16"/>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w:t>
      </w:r>
    </w:p>
    <w:p>
      <w:pPr>
        <w:jc w:val="both"/>
        <w:ind w:firstLine="1"/>
        <w:spacing w:after="0" w:line="266" w:lineRule="auto"/>
        <w:tabs>
          <w:tab w:leader="none" w:pos="309" w:val="left"/>
        </w:tabs>
        <w:numPr>
          <w:ilvl w:val="0"/>
          <w:numId w:val="34"/>
        </w:numPr>
        <w:rPr>
          <w:rFonts w:ascii="Arial" w:cs="Arial" w:eastAsia="Arial" w:hAnsi="Arial"/>
          <w:sz w:val="17"/>
          <w:szCs w:val="17"/>
          <w:color w:val="auto"/>
        </w:rPr>
      </w:pPr>
      <w:r>
        <w:rPr>
          <w:rFonts w:ascii="Arial" w:cs="Arial" w:eastAsia="Arial" w:hAnsi="Arial"/>
          <w:sz w:val="17"/>
          <w:szCs w:val="17"/>
          <w:color w:val="auto"/>
        </w:rPr>
        <w:t>of the Code. In addition, in light of the implications that would arise for us if Section 355(e) applied to the Spin-Off, we received an opinion from Kilpatrick Townsend &amp; Stockton LLP in connection with our initial public offering substantially to the effect that (i) as of the date of the initial public offering, we would not be required to recognize gain with respect to the Spin-Off pursuant to Section 355(e), and (ii) 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112"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Relay (the “Tax Sharing Agreement”), we must generally indemnify Relay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05"/>
        <w:spacing w:after="0" w:line="269" w:lineRule="auto"/>
        <w:rPr>
          <w:sz w:val="20"/>
          <w:szCs w:val="20"/>
          <w:color w:val="auto"/>
        </w:rPr>
      </w:pPr>
      <w:r>
        <w:rPr>
          <w:rFonts w:ascii="Arial" w:cs="Arial" w:eastAsia="Arial" w:hAnsi="Arial"/>
          <w:sz w:val="17"/>
          <w:szCs w:val="17"/>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Notwithstanding the foregoing, it is possible that we, Relay or the holders of our respective stock might inadvertently cause, permit or otherwise not prevent a change in the ownership of our stock or Relay’s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93" w:lineRule="exact"/>
        <w:rPr>
          <w:sz w:val="20"/>
          <w:szCs w:val="20"/>
          <w:color w:val="auto"/>
        </w:rPr>
      </w:pPr>
    </w:p>
    <w:p>
      <w:pPr>
        <w:jc w:val="both"/>
        <w:ind w:firstLine="605"/>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97"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15"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0"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11"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Our independent registered public accounting firm is required to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5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Earthquakes, hurricanes, fires, floods, pandemics, power outages, terrorist attacks and other significant events could disrupt our business and ability to serve our clients.</w:t>
      </w:r>
    </w:p>
    <w:p>
      <w:pPr>
        <w:spacing w:after="0" w:line="97"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7"/>
          <w:szCs w:val="17"/>
          <w:color w:val="auto"/>
        </w:rPr>
        <w:t>A significant event, such as an earthquake, hurricane, a fire, a flood, a pandemic or a power outage, could have a material adverse effect on our business, results of operations or financial condition. For example, the rapid and global spread of COVID-19 has disrupted businesses and increased travel restrictions. Health concerns or governmental, legal, political or regulatory developments in the United States or other countries in which we or our customers, partners and service providers operate could cause economic, labor or social instability and could materially adversely affect our business and our results of operations and financial condition. Future developments, which are very uncertain, include changing information about the extent and severity of COVID-19 and evolving responses by governments and businesses. These future developments could materially adversely affect our business and our results of operations and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acquire or invest in companies, which may divert our management’s attention and result in debt or dilution to our stockholders. We may not be able to efficiently and effectively integrate acquired operations, and thus may not fully realize the anticipated benefits from such acquisitions.</w:t>
      </w:r>
    </w:p>
    <w:p>
      <w:pPr>
        <w:spacing w:after="0" w:line="111"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We may evaluate and consider potential strategic transactions, including acquisitions of, or investments in, businesses, technologies, services, products and other assets in the future. We may also enter into relationships with other businesses to expand our products and platform, which could involve preferred or exclusive licenses, additional channels of distribution, discount pricing or investments in other companies.</w:t>
      </w:r>
    </w:p>
    <w:p>
      <w:pPr>
        <w:spacing w:after="0" w:line="93"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122" w:lineRule="exact"/>
        <w:rPr>
          <w:sz w:val="20"/>
          <w:szCs w:val="20"/>
          <w:color w:val="auto"/>
        </w:rPr>
      </w:pPr>
    </w:p>
    <w:p>
      <w:pPr>
        <w:ind w:left="1200" w:hanging="594"/>
        <w:spacing w:after="0"/>
        <w:tabs>
          <w:tab w:leader="none" w:pos="1200" w:val="left"/>
        </w:tabs>
        <w:numPr>
          <w:ilvl w:val="0"/>
          <w:numId w:val="35"/>
        </w:numPr>
        <w:rPr>
          <w:rFonts w:ascii="Arial" w:cs="Arial" w:eastAsia="Arial" w:hAnsi="Arial"/>
          <w:sz w:val="20"/>
          <w:szCs w:val="20"/>
          <w:color w:val="auto"/>
        </w:rPr>
      </w:pPr>
      <w:r>
        <w:rPr>
          <w:rFonts w:ascii="Arial" w:cs="Arial" w:eastAsia="Arial" w:hAnsi="Arial"/>
          <w:sz w:val="18"/>
          <w:szCs w:val="18"/>
          <w:color w:val="auto"/>
        </w:rPr>
        <w:t>demands on management related to any significant increase in size after the acquisition;</w:t>
      </w:r>
    </w:p>
    <w:p>
      <w:pPr>
        <w:spacing w:after="0" w:line="135" w:lineRule="exact"/>
        <w:rPr>
          <w:rFonts w:ascii="Arial" w:cs="Arial" w:eastAsia="Arial" w:hAnsi="Arial"/>
          <w:sz w:val="20"/>
          <w:szCs w:val="20"/>
          <w:color w:val="auto"/>
        </w:rPr>
      </w:pPr>
    </w:p>
    <w:p>
      <w:pPr>
        <w:ind w:firstLine="606"/>
        <w:spacing w:after="0" w:line="280" w:lineRule="auto"/>
        <w:tabs>
          <w:tab w:leader="none" w:pos="119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disruption of ongoing business and the diversion of management’s attention from the management of daily operations to management of integration activities;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fully achieve expected synergies and costs savings;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06"/>
        <w:spacing w:after="0" w:line="264" w:lineRule="auto"/>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11" w:lineRule="exact"/>
        <w:rPr>
          <w:rFonts w:ascii="Arial" w:cs="Arial" w:eastAsia="Arial" w:hAnsi="Arial"/>
          <w:sz w:val="18"/>
          <w:szCs w:val="18"/>
          <w:color w:val="auto"/>
        </w:rPr>
      </w:pPr>
    </w:p>
    <w:p>
      <w:pPr>
        <w:ind w:firstLine="606"/>
        <w:spacing w:after="0" w:line="280" w:lineRule="auto"/>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97" w:lineRule="exact"/>
        <w:rPr>
          <w:rFonts w:ascii="Arial" w:cs="Arial" w:eastAsia="Arial" w:hAnsi="Arial"/>
          <w:sz w:val="18"/>
          <w:szCs w:val="18"/>
          <w:color w:val="auto"/>
        </w:rPr>
      </w:pPr>
    </w:p>
    <w:p>
      <w:pPr>
        <w:ind w:firstLine="606"/>
        <w:spacing w:after="0" w:line="280" w:lineRule="auto"/>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customers or the failure of customers to order incremental services that we expect them to order;</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provision services that are ordered by customers during the integration period;</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integration costs than anticipated;</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highly qualified, experienced employees, many of whom may be geographically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dispersed;</w:t>
      </w:r>
    </w:p>
    <w:p>
      <w:pPr>
        <w:spacing w:after="0" w:line="142" w:lineRule="exact"/>
        <w:rPr>
          <w:rFonts w:ascii="Arial" w:cs="Arial" w:eastAsia="Arial" w:hAnsi="Arial"/>
          <w:sz w:val="18"/>
          <w:szCs w:val="18"/>
          <w:color w:val="auto"/>
        </w:rPr>
      </w:pPr>
    </w:p>
    <w:p>
      <w:pPr>
        <w:ind w:firstLine="606"/>
        <w:spacing w:after="0" w:line="280" w:lineRule="auto"/>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investigations, proceedings, fines, or penalties arising from or relating to the transaction or the acquired business, and any resulting liabilities may exceed our forecasts;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acquisition of businesses with different revenue models, different contractual relationships, and increased customer concentration risks;</w:t>
      </w:r>
    </w:p>
    <w:p>
      <w:pPr>
        <w:spacing w:after="0" w:line="181" w:lineRule="exact"/>
        <w:rPr>
          <w:rFonts w:ascii="Arial" w:cs="Arial" w:eastAsia="Arial" w:hAnsi="Arial"/>
          <w:sz w:val="16"/>
          <w:szCs w:val="16"/>
          <w:color w:val="auto"/>
        </w:rPr>
      </w:pPr>
    </w:p>
    <w:p>
      <w:pPr>
        <w:ind w:firstLine="606"/>
        <w:spacing w:after="0" w:line="280" w:lineRule="auto"/>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97" w:lineRule="exact"/>
        <w:rPr>
          <w:rFonts w:ascii="Arial" w:cs="Arial" w:eastAsia="Arial" w:hAnsi="Arial"/>
          <w:sz w:val="18"/>
          <w:szCs w:val="18"/>
          <w:color w:val="auto"/>
        </w:rPr>
      </w:pPr>
    </w:p>
    <w:p>
      <w:pPr>
        <w:ind w:firstLine="606"/>
        <w:spacing w:after="0" w:line="280" w:lineRule="auto"/>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successfully evaluate or utilize the acquired business’ technology and accurately forecast the financial impact of an acquisition, including accounting charges; and</w:t>
      </w:r>
    </w:p>
    <w:p>
      <w:pPr>
        <w:spacing w:after="0" w:line="97" w:lineRule="exact"/>
        <w:rPr>
          <w:rFonts w:ascii="Arial" w:cs="Arial" w:eastAsia="Arial" w:hAnsi="Arial"/>
          <w:sz w:val="18"/>
          <w:szCs w:val="18"/>
          <w:color w:val="auto"/>
        </w:rPr>
      </w:pPr>
    </w:p>
    <w:p>
      <w:pPr>
        <w:ind w:firstLine="606"/>
        <w:spacing w:after="0" w:line="280" w:lineRule="auto"/>
        <w:tabs>
          <w:tab w:leader="none" w:pos="1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drag on our overall revenue growth rate or an increase of our net loss, which could cause analysts and investors to reduce their valuation of our company.</w:t>
      </w:r>
    </w:p>
    <w:p>
      <w:pPr>
        <w:spacing w:after="0" w:line="97"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19"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93"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 of Voxbone</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Although we expect that the acquisition of Voxbone will result in synergies and other benefits to us, we may not realize those benefits because of difficulties related to integration, the achievement of synergies and other challenges.</w:t>
      </w:r>
    </w:p>
    <w:p>
      <w:pPr>
        <w:spacing w:after="0" w:line="97" w:lineRule="exact"/>
        <w:rPr>
          <w:sz w:val="20"/>
          <w:szCs w:val="20"/>
          <w:color w:val="auto"/>
        </w:rPr>
      </w:pPr>
    </w:p>
    <w:p>
      <w:pPr>
        <w:jc w:val="both"/>
        <w:ind w:firstLine="605"/>
        <w:spacing w:after="0" w:line="217" w:lineRule="exact"/>
        <w:rPr>
          <w:sz w:val="20"/>
          <w:szCs w:val="20"/>
          <w:color w:val="auto"/>
        </w:rPr>
      </w:pPr>
      <w:r>
        <w:rPr>
          <w:rFonts w:ascii="Arial" w:cs="Arial" w:eastAsia="Arial" w:hAnsi="Arial"/>
          <w:sz w:val="16"/>
          <w:szCs w:val="16"/>
          <w:color w:val="auto"/>
        </w:rPr>
        <w:t>On November 2, 2020, we acquired Voice Topco Limited, a private limited liability company incorporated under the laws of England and Wales (together with its subsidiaries, “Voxbone”), which directly or indirectly holds all of the issued and outstanding shares of Voxbone, S.A. a private limited liability company registered under the laws of Belgium. Prior to the completion of the Acquisition, we and Voxbone operated independently, and there can be no assurances that our businesses can be combined in a manner that allows for the achievement of substantial benefits. The integration process will require significant time and resources, and we may not be able to manage the process successfully as our ability to acquire and integrate larger or more complex companies, products, or technology in a successful manner is unproven. If we are not able to successfully integrate Voxbone’s business with ours or pursue our customer and product strategy successfully, the anticipated benefits of the Acquisition may not be realized fully or may take longer than expected to be realized. Further, it is possible that there could be a loss of our and/or Voxbone’s key employees and customers, disruption of either company’s or both companies’ ongoing businesses or unexpected issues, higher than expected costs and an overall post</w:t>
      </w:r>
      <w:r>
        <w:rPr>
          <w:rFonts w:ascii="MS PGothic" w:cs="MS PGothic" w:eastAsia="MS PGothic" w:hAnsi="MS PGothic"/>
          <w:sz w:val="16"/>
          <w:szCs w:val="16"/>
          <w:color w:val="auto"/>
        </w:rPr>
        <w:t>‑</w:t>
      </w:r>
      <w:r>
        <w:rPr>
          <w:rFonts w:ascii="Arial" w:cs="Arial" w:eastAsia="Arial" w:hAnsi="Arial"/>
          <w:sz w:val="16"/>
          <w:szCs w:val="16"/>
          <w:color w:val="auto"/>
        </w:rPr>
        <w:t>completion process that takes longer than originally anticipated. Specifically, the following issues, among others, must be addressed in combining Voxbone’s operations with ours in order to realize the anticipated benefits of the Acquisition so the combined company performs as the parties hope:</w:t>
      </w:r>
    </w:p>
    <w:p>
      <w:pPr>
        <w:spacing w:after="0" w:line="156" w:lineRule="exact"/>
        <w:rPr>
          <w:sz w:val="20"/>
          <w:szCs w:val="20"/>
          <w:color w:val="auto"/>
        </w:rPr>
      </w:pPr>
    </w:p>
    <w:p>
      <w:pPr>
        <w:ind w:left="1200" w:hanging="594"/>
        <w:spacing w:after="0"/>
        <w:tabs>
          <w:tab w:leader="none" w:pos="1200" w:val="left"/>
        </w:tabs>
        <w:numPr>
          <w:ilvl w:val="0"/>
          <w:numId w:val="37"/>
        </w:numPr>
        <w:rPr>
          <w:rFonts w:ascii="Arial" w:cs="Arial" w:eastAsia="Arial" w:hAnsi="Arial"/>
          <w:sz w:val="20"/>
          <w:szCs w:val="20"/>
          <w:color w:val="auto"/>
        </w:rPr>
      </w:pPr>
      <w:r>
        <w:rPr>
          <w:rFonts w:ascii="Arial" w:cs="Arial" w:eastAsia="Arial" w:hAnsi="Arial"/>
          <w:sz w:val="18"/>
          <w:szCs w:val="18"/>
          <w:color w:val="auto"/>
        </w:rPr>
        <w:t>combining the companies’ corporate functions;</w:t>
      </w:r>
    </w:p>
    <w:p>
      <w:pPr>
        <w:spacing w:after="0" w:line="135" w:lineRule="exact"/>
        <w:rPr>
          <w:rFonts w:ascii="Arial" w:cs="Arial" w:eastAsia="Arial" w:hAnsi="Arial"/>
          <w:sz w:val="20"/>
          <w:szCs w:val="20"/>
          <w:color w:val="auto"/>
        </w:rPr>
      </w:pPr>
    </w:p>
    <w:p>
      <w:pPr>
        <w:jc w:val="both"/>
        <w:ind w:firstLine="606"/>
        <w:spacing w:after="0" w:line="264" w:lineRule="auto"/>
        <w:tabs>
          <w:tab w:leader="none" w:pos="11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combining Voxbone’s business with our business in a manner that permits us to achieve the synergies anticipated to result from the Acquisition, the failure of which would result in the anticipated benefits of the Acquisition not being realized in the time frame currently anticipated or at all;</w:t>
      </w:r>
    </w:p>
    <w:p>
      <w:pPr>
        <w:spacing w:after="0" w:line="111" w:lineRule="exact"/>
        <w:rPr>
          <w:rFonts w:ascii="Arial" w:cs="Arial" w:eastAsia="Arial" w:hAnsi="Arial"/>
          <w:sz w:val="18"/>
          <w:szCs w:val="18"/>
          <w:color w:val="auto"/>
        </w:rPr>
      </w:pPr>
    </w:p>
    <w:p>
      <w:pPr>
        <w:ind w:firstLine="606"/>
        <w:spacing w:after="0" w:line="280" w:lineRule="auto"/>
        <w:tabs>
          <w:tab w:leader="none" w:pos="11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determining whether and how to address possible differences in corporate cultures and management philosophies;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integrating the companies’ administrative and information technology infrastructure;</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products and technology that allow value to be unlocked in the future;</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evaluating and forecasting the financial impact of the Acquisition transaction, including accounting charges; and</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effecting potential actions that may be required in connection with obtaining regulatory approvals.</w:t>
      </w:r>
    </w:p>
    <w:p>
      <w:pPr>
        <w:spacing w:after="0" w:line="159" w:lineRule="exact"/>
        <w:rPr>
          <w:sz w:val="20"/>
          <w:szCs w:val="20"/>
          <w:color w:val="auto"/>
        </w:rPr>
      </w:pPr>
    </w:p>
    <w:p>
      <w:pPr>
        <w:jc w:val="both"/>
        <w:ind w:firstLine="605"/>
        <w:spacing w:after="0" w:line="224" w:lineRule="exact"/>
        <w:rPr>
          <w:sz w:val="20"/>
          <w:szCs w:val="20"/>
          <w:color w:val="auto"/>
        </w:rPr>
      </w:pPr>
      <w:r>
        <w:rPr>
          <w:rFonts w:ascii="Arial" w:cs="Arial" w:eastAsia="Arial" w:hAnsi="Arial"/>
          <w:sz w:val="17"/>
          <w:szCs w:val="17"/>
          <w:color w:val="auto"/>
        </w:rPr>
        <w:t>At times the attention of certain members of our management and resources may be focused on integration of the businesses of the two companies and diverted from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business operations, which may disrupt our ongoing business and the business of the combined company.</w:t>
      </w:r>
    </w:p>
    <w:p>
      <w:pPr>
        <w:spacing w:after="0" w:line="132" w:lineRule="exact"/>
        <w:rPr>
          <w:sz w:val="20"/>
          <w:szCs w:val="20"/>
          <w:color w:val="auto"/>
        </w:rPr>
      </w:pPr>
    </w:p>
    <w:p>
      <w:pPr>
        <w:jc w:val="both"/>
        <w:ind w:firstLine="605"/>
        <w:spacing w:after="0" w:line="221" w:lineRule="exact"/>
        <w:rPr>
          <w:sz w:val="20"/>
          <w:szCs w:val="20"/>
          <w:color w:val="auto"/>
        </w:rPr>
      </w:pPr>
      <w:r>
        <w:rPr>
          <w:rFonts w:ascii="Arial" w:cs="Arial" w:eastAsia="Arial" w:hAnsi="Arial"/>
          <w:sz w:val="17"/>
          <w:szCs w:val="17"/>
          <w:color w:val="auto"/>
        </w:rPr>
        <w:t>We have incurred, and may continue to incur, significant, non</w:t>
      </w:r>
      <w:r>
        <w:rPr>
          <w:rFonts w:ascii="MS PGothic" w:cs="MS PGothic" w:eastAsia="MS PGothic" w:hAnsi="MS PGothic"/>
          <w:sz w:val="17"/>
          <w:szCs w:val="17"/>
          <w:color w:val="auto"/>
        </w:rPr>
        <w:t>‑</w:t>
      </w:r>
      <w:r>
        <w:rPr>
          <w:rFonts w:ascii="Arial" w:cs="Arial" w:eastAsia="Arial" w:hAnsi="Arial"/>
          <w:sz w:val="17"/>
          <w:szCs w:val="17"/>
          <w:color w:val="auto"/>
        </w:rPr>
        <w:t>recurring costs in connection with the Acquisition and integrating our operations with those of Voxbone,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Purchase price accounting in connection with the Acquisition requires estimates that may be subject to change and could impact our condensed consolidated financial statements and future results of operations and financial position.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05"/>
        <w:spacing w:after="0" w:line="217" w:lineRule="exact"/>
        <w:rPr>
          <w:sz w:val="20"/>
          <w:szCs w:val="20"/>
          <w:color w:val="auto"/>
        </w:rPr>
      </w:pPr>
      <w:r>
        <w:rPr>
          <w:rFonts w:ascii="Arial" w:cs="Arial" w:eastAsia="Arial" w:hAnsi="Arial"/>
          <w:sz w:val="16"/>
          <w:szCs w:val="16"/>
          <w:color w:val="auto"/>
        </w:rPr>
        <w:t>Pursuant to the acquisition method of accounting, the purchase price we paid for Voxbone will be allocated to the underlying Voxbone tangible and intangible assets acquired and liabilities assumed based on their respective fair market values with any excess purchase price allocated to goodwill. The acquisition method of accounting is dependent upon certain valuations and other studies that are preliminary. Accordingly, the purchase price allocation as of the Acquisition date is preliminary. We currently anticipate that all the information needed to identify and measure values assigned to the assets acquired and liabilities assumed will be obtained and finalized during the one</w:t>
      </w:r>
      <w:r>
        <w:rPr>
          <w:rFonts w:ascii="MS PGothic" w:cs="MS PGothic" w:eastAsia="MS PGothic" w:hAnsi="MS PGothic"/>
          <w:sz w:val="16"/>
          <w:szCs w:val="16"/>
          <w:color w:val="auto"/>
        </w:rPr>
        <w:t>‑</w:t>
      </w:r>
      <w:r>
        <w:rPr>
          <w:rFonts w:ascii="Arial" w:cs="Arial" w:eastAsia="Arial" w:hAnsi="Arial"/>
          <w:sz w:val="16"/>
          <w:szCs w:val="16"/>
          <w:color w:val="auto"/>
        </w:rPr>
        <w:t>year measurement period following the date of completion of the Acquisition. Differences between these preliminary estimates and the final acquisition accounting may occur, and these differences could have a material impact on the condensed consolidated financial statements and the combined company’s future results of operations and financial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Convertible Notes and Our Indebtedness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indebtedness.</w:t>
      </w:r>
    </w:p>
    <w:p>
      <w:pPr>
        <w:spacing w:after="0" w:line="182" w:lineRule="exact"/>
        <w:rPr>
          <w:sz w:val="20"/>
          <w:szCs w:val="20"/>
          <w:color w:val="auto"/>
        </w:rPr>
      </w:pPr>
    </w:p>
    <w:p>
      <w:pPr>
        <w:jc w:val="both"/>
        <w:ind w:firstLine="605"/>
        <w:spacing w:after="0" w:line="269"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substantially more debt or take other actions which would intensify the risks discussed above.</w:t>
      </w:r>
    </w:p>
    <w:p>
      <w:pPr>
        <w:spacing w:after="0" w:line="159"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We and our subsidiaries may be able to incur substantial additional debt in the future, subject to the restrictions contained in our debt instruments, some of which may be secured debt. We will not be restricted under the terms of the indentures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have the ability to raise the funds necessary for cash settlement upon conversion of the Convertible Notes or to repurchase the Convertible Notes for cash following a fundamental change, and our future debt may contain limitations on our ability to pay cash upon conversion of the Convertible Notes or to repurchase the Convertible Notes.</w:t>
      </w:r>
    </w:p>
    <w:p>
      <w:pPr>
        <w:spacing w:after="0" w:line="111" w:lineRule="exact"/>
        <w:rPr>
          <w:sz w:val="20"/>
          <w:szCs w:val="20"/>
          <w:color w:val="auto"/>
        </w:rPr>
      </w:pPr>
    </w:p>
    <w:p>
      <w:pPr>
        <w:jc w:val="both"/>
        <w:ind w:firstLine="605"/>
        <w:spacing w:after="0" w:line="285" w:lineRule="auto"/>
        <w:rPr>
          <w:sz w:val="20"/>
          <w:szCs w:val="20"/>
          <w:color w:val="auto"/>
        </w:rPr>
      </w:pPr>
      <w:r>
        <w:rPr>
          <w:rFonts w:ascii="Arial" w:cs="Arial" w:eastAsia="Arial" w:hAnsi="Arial"/>
          <w:sz w:val="16"/>
          <w:szCs w:val="16"/>
          <w:color w:val="auto"/>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indentures governing the Convertible Notes or to pay the cash amounts due upon future conversions of the Convertible Notes as required by such indentures would constitute a default under such indentures. A default under the indentures governing the Convertible Notes or the fundamental change itself may also lead to a default under agreements governing our existing or future indebtedness, which may result in such existing or future indebtedness becoming immediately payable in full. We may not have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sufficient funds to satisfy all amounts due under such existing or future indebtedness and repurchase the Convertible Notes or make cash payments upon conversions thereof.</w:t>
      </w:r>
    </w:p>
    <w:p>
      <w:pPr>
        <w:spacing w:after="0" w:line="9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Notes, could have a material effect on our reported financial results.</w:t>
      </w:r>
    </w:p>
    <w:p>
      <w:pPr>
        <w:spacing w:after="0" w:line="97"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7"/>
          <w:szCs w:val="17"/>
          <w:color w:val="auto"/>
        </w:rPr>
        <w:t>In May 2008, the Financial Accounting Standards Board, which we refer to as FASB, issued FASB Staff Position No. APB 14-1, Accounting for Convertible Debt Instruments That May Be Settled in Cash Upon Conversion (Including Partial Cash Settlement), which has subsequently been codified as Accounting Standards Codification 470-20, Debt with Conversion and Other Options, which we refer to as ASC 470-20. Under ASC 470-20, an entity must separately account for the liability and equity components of the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condensed consolidated balance sheet, and the value attributed to the equity component would be treated as original issue discount for purposes of accounting for the debt component 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in our financial results because ASC 470-20 will require interest to include both the current period’s amortization of the debt discount and the instrument’s coupon interest, which could adversely affect our reported or future financial results, the trading price of our Class A common stock and the trading price of the Convertible Notes.</w:t>
      </w:r>
    </w:p>
    <w:p>
      <w:pPr>
        <w:spacing w:after="0" w:line="114" w:lineRule="exact"/>
        <w:rPr>
          <w:sz w:val="20"/>
          <w:szCs w:val="20"/>
          <w:color w:val="auto"/>
        </w:rPr>
      </w:pPr>
    </w:p>
    <w:p>
      <w:pPr>
        <w:jc w:val="both"/>
        <w:ind w:firstLine="605"/>
        <w:spacing w:after="0" w:line="290" w:lineRule="auto"/>
        <w:rPr>
          <w:sz w:val="20"/>
          <w:szCs w:val="20"/>
          <w:color w:val="auto"/>
        </w:rPr>
      </w:pPr>
      <w:r>
        <w:rPr>
          <w:rFonts w:ascii="Arial" w:cs="Arial" w:eastAsia="Arial" w:hAnsi="Arial"/>
          <w:sz w:val="16"/>
          <w:szCs w:val="16"/>
          <w:color w:val="auto"/>
        </w:rPr>
        <w:t>In addition, under certain circumstances, convertible debt instruments (such as the Convertible Notes) that may be settled entirely or partly in cash are currently accounted for utilizing the treasury stock method, the effect of which is that the shares of Class A common stock issuable upon conversion of the Convertible Notes are not included in the calculation of diluted earnings per share except to the extent that the conversion value of the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Convertible Notes exceeds their principal amount. Under the treasury stock method, for diluted earnings per share purposes, the transaction is accounted for as if the number of shares of Class A common stock that would be necessary to settle such excess, if we elected to settle such excess in shares, are issued.</w:t>
      </w:r>
    </w:p>
    <w:p>
      <w:pPr>
        <w:spacing w:after="0" w:line="111"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7"/>
          <w:szCs w:val="17"/>
          <w:color w:val="auto"/>
        </w:rPr>
        <w:t>However, in August 2020, the FASB published an accounting standards update 2020-06 (“ASU 2020-06”), which amends these accounting standards by reducing the number of accounting models for convertible instruments and limiting instances of separate accounting for the debt and equity or a derivative component of the convertible debt instruments. ASU 2020-06 also will no longer allow the use of the treasury stock method for convertible instruments for purposes of calculating diluted earnings per share and instead require application of the “if-converted” method. Under that method, diluted earnings per share will generally be calculated assuming that all the Convertible Notes were converted solely into shares of Class A common stock at the beginning of the reporting period, unless the result would be anti-dilutive, which could adversely affect our diluted earnings per share. However, if the principal amount of the convertible debt instrument being converted is required to be paid in cash and only the excess is permitted to be settled in shares, the if-converted method will produce a similar result as the treasury stock method prior to the adoption of ASU 2020-06 for such convertible debt instrument. These amendments will be effective for public companies for fiscal years beginning after December 15, 2021, with early adoption permitted, but no earlier than fiscal years beginning after December 15, 2020.</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conversion feature of the Convertible Notes, if triggered, may adversely affect our financial condition and operating results.</w:t>
      </w:r>
    </w:p>
    <w:p>
      <w:pPr>
        <w:spacing w:after="0" w:line="182" w:lineRule="exact"/>
        <w:rPr>
          <w:sz w:val="20"/>
          <w:szCs w:val="20"/>
          <w:color w:val="auto"/>
        </w:rPr>
      </w:pPr>
    </w:p>
    <w:p>
      <w:pPr>
        <w:jc w:val="both"/>
        <w:ind w:firstLine="605"/>
        <w:spacing w:after="0" w:line="271" w:lineRule="auto"/>
        <w:rPr>
          <w:sz w:val="20"/>
          <w:szCs w:val="20"/>
          <w:color w:val="auto"/>
        </w:rPr>
      </w:pPr>
      <w:r>
        <w:rPr>
          <w:rFonts w:ascii="Arial" w:cs="Arial" w:eastAsia="Arial" w:hAnsi="Arial"/>
          <w:sz w:val="17"/>
          <w:szCs w:val="17"/>
          <w:color w:val="auto"/>
        </w:rPr>
        <w:t>In the event the conditional conversion feature of the Convertible Notes is triggered, holders of Convertible Notes will be entitled to convert the Convertible Notes at any time during specified periods at their option. See “Description of Notes—Conversion Rights.”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Calls may affect the value of the Convertible Notes and our Class A common stock.</w:t>
      </w:r>
    </w:p>
    <w:p>
      <w:pPr>
        <w:spacing w:after="0" w:line="159"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In connection with the pricing of the 2026 Convertible Notes and the 2028 Convertible Notes, we entered into privately negotiated Capped Calls with certain financial institutions (the “option counterparties”). The Capped Calls are expected generally to reduce the potential dilution upon any conversion of the Convertible Notes and/or offset any cash payments we are required to make in excess of the principal amount of converted Convertible Notes, as the case may be, with such reduction and/or offset subject to a cap.</w:t>
      </w:r>
    </w:p>
    <w:p>
      <w:pPr>
        <w:spacing w:after="0" w:line="115"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We have been advised that, in connection with establishing their initial hedges of the Capped Calls, the option counterparties or their respective affiliates entered into various derivative transactions with respect to our Class A common stock concurrently with or shortly after the pricing of the Convertible Notes.</w:t>
      </w:r>
    </w:p>
    <w:p>
      <w:pPr>
        <w:spacing w:after="0" w:line="111"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from time to time prior to the maturity of the Convertible Notes (and are likely to do so during any observation period related to a conversion of Convertible Notes). This activity could also cause or avoid an increase or a decrease in the market price of our Class A common stock or the Convertible Notes, which could affect your ability to convert the Convertible Notes and, to the extent the activity occurs during any observation period related to a conversion of Convertible Notes, it could affect the number of shares and value of the consideration that you will receive upon conversion of such Convertible Notes.</w:t>
      </w:r>
    </w:p>
    <w:p>
      <w:pPr>
        <w:spacing w:after="0" w:line="124"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Calls.</w:t>
      </w:r>
    </w:p>
    <w:p>
      <w:pPr>
        <w:spacing w:after="0" w:line="159"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59"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June 30, 2021, the trading price of our Class A common stock has ranged from $18.05 per share to $198.61 per share. The trading price of our Class A common stock may continue to be volatile and could fluctuate significantly in response to numerous factors, many of which are beyond our control, including:</w:t>
      </w:r>
    </w:p>
    <w:p>
      <w:pPr>
        <w:spacing w:after="0" w:line="144" w:lineRule="exact"/>
        <w:rPr>
          <w:sz w:val="20"/>
          <w:szCs w:val="20"/>
          <w:color w:val="auto"/>
        </w:rPr>
      </w:pPr>
    </w:p>
    <w:p>
      <w:pPr>
        <w:ind w:left="1200" w:hanging="594"/>
        <w:spacing w:after="0"/>
        <w:tabs>
          <w:tab w:leader="none" w:pos="1200" w:val="left"/>
        </w:tabs>
        <w:numPr>
          <w:ilvl w:val="0"/>
          <w:numId w:val="38"/>
        </w:numPr>
        <w:rPr>
          <w:rFonts w:ascii="Arial" w:cs="Arial" w:eastAsia="Arial" w:hAnsi="Arial"/>
          <w:sz w:val="20"/>
          <w:szCs w:val="20"/>
          <w:color w:val="auto"/>
        </w:rPr>
      </w:pPr>
      <w:r>
        <w:rPr>
          <w:rFonts w:ascii="Arial" w:cs="Arial" w:eastAsia="Arial" w:hAnsi="Arial"/>
          <w:sz w:val="18"/>
          <w:szCs w:val="18"/>
          <w:color w:val="auto"/>
        </w:rPr>
        <w:t>general market volatility caused by COVID-19;</w:t>
      </w:r>
    </w:p>
    <w:p>
      <w:pPr>
        <w:spacing w:after="0" w:line="135" w:lineRule="exact"/>
        <w:rPr>
          <w:rFonts w:ascii="Arial" w:cs="Arial" w:eastAsia="Arial" w:hAnsi="Arial"/>
          <w:sz w:val="20"/>
          <w:szCs w:val="20"/>
          <w:color w:val="auto"/>
        </w:rPr>
      </w:pPr>
    </w:p>
    <w:p>
      <w:pPr>
        <w:ind w:left="1200" w:hanging="594"/>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volatility in the trading volumes of our Class A common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0" w:hanging="594"/>
        <w:spacing w:after="0"/>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technology companies generally, or those in our industry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particular;</w:t>
      </w:r>
    </w:p>
    <w:p>
      <w:pPr>
        <w:spacing w:after="0" w:line="142" w:lineRule="exact"/>
        <w:rPr>
          <w:rFonts w:ascii="Arial" w:cs="Arial" w:eastAsia="Arial" w:hAnsi="Arial"/>
          <w:sz w:val="17"/>
          <w:szCs w:val="17"/>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70" w:lineRule="exact"/>
        <w:rPr>
          <w:rFonts w:ascii="Arial" w:cs="Arial" w:eastAsia="Arial" w:hAnsi="Arial"/>
          <w:sz w:val="17"/>
          <w:szCs w:val="17"/>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actions or developments affecting our operations, those of our competitors or our industry more broadly;</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58" w:lineRule="exact"/>
        <w:rPr>
          <w:rFonts w:ascii="Arial" w:cs="Arial" w:eastAsia="Arial" w:hAnsi="Arial"/>
          <w:sz w:val="18"/>
          <w:szCs w:val="18"/>
          <w:color w:val="auto"/>
        </w:rPr>
      </w:pPr>
    </w:p>
    <w:p>
      <w:pPr>
        <w:ind w:firstLine="606"/>
        <w:spacing w:after="0" w:line="280" w:lineRule="auto"/>
        <w:tabs>
          <w:tab w:leader="none" w:pos="11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rules adopted by certain index providers, such as S&amp;P Dow Jones, that limit or preclude inclusion of companies with multi-class capital structures in certain of their indices;</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59"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of shares of our Class A common stock could cause the market price of our Class A common stock to decline.</w:t>
      </w:r>
    </w:p>
    <w:p>
      <w:pPr>
        <w:spacing w:after="0" w:line="170"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11"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our initial public offering. This may limit or preclude stockholders’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115"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Our Class A common stock has one vote per share, and our Class B common stock has ten votes per share.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stockholders’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feel are in their best interest as one of our stockholders.</w:t>
      </w:r>
    </w:p>
    <w:p>
      <w:pPr>
        <w:spacing w:after="0" w:line="124"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capital structure may have on our stock price.</w:t>
      </w:r>
    </w:p>
    <w:p>
      <w:pPr>
        <w:spacing w:after="0" w:line="159"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in the future. Exclusion from indices could make our Class A common stock less attractive to investors and, as a result, the market price of our Class A common stock could be adversely affected.</w:t>
      </w:r>
    </w:p>
    <w:p>
      <w:pPr>
        <w:spacing w:after="0" w:line="123" w:lineRule="exact"/>
        <w:rPr>
          <w:sz w:val="20"/>
          <w:szCs w:val="20"/>
          <w:color w:val="auto"/>
        </w:rPr>
      </w:pPr>
    </w:p>
    <w:p>
      <w:pPr>
        <w:jc w:val="both"/>
        <w:ind w:firstLine="605"/>
        <w:spacing w:after="0" w:line="259" w:lineRule="auto"/>
        <w:rPr>
          <w:sz w:val="20"/>
          <w:szCs w:val="20"/>
          <w:color w:val="auto"/>
        </w:rPr>
      </w:pPr>
      <w:r>
        <w:rPr>
          <w:rFonts w:ascii="Arial" w:cs="Arial" w:eastAsia="Arial" w:hAnsi="Arial"/>
          <w:sz w:val="18"/>
          <w:szCs w:val="18"/>
          <w:color w:val="auto"/>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may become effectively controlled by David A. Morken, our Co-Founder and Chief Executive Officer, whose interests may differ from other stockholders.</w:t>
      </w:r>
    </w:p>
    <w:p>
      <w:pPr>
        <w:spacing w:after="0" w:line="97"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If all or substantially all of the holders of our Class B common stock except for Mr. Morken and his affiliates convert their shares into Class A common stock voluntarily or otherwise, Mr. Morken may control more than 25% of the combined voting power of our outstanding capital stock. As a result, Mr. Morken may have the ability to effectively control the appointment of our management, the entering into of mergers, sales of substantially all or all of our assets and other extraordinary transactions and influence amendments to our certificate of incorporation and bylaws.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stockholder.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11"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18"/>
          <w:szCs w:val="18"/>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1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97"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18" w:lineRule="exact"/>
        <w:rPr>
          <w:sz w:val="20"/>
          <w:szCs w:val="20"/>
          <w:color w:val="auto"/>
        </w:rPr>
      </w:pPr>
    </w:p>
    <w:p>
      <w:pPr>
        <w:ind w:firstLine="606"/>
        <w:spacing w:after="0" w:line="253" w:lineRule="auto"/>
        <w:tabs>
          <w:tab w:leader="none" w:pos="1205" w:val="left"/>
        </w:tabs>
        <w:numPr>
          <w:ilvl w:val="0"/>
          <w:numId w:val="40"/>
        </w:numPr>
        <w:rPr>
          <w:rFonts w:ascii="Arial" w:cs="Arial" w:eastAsia="Arial" w:hAnsi="Arial"/>
          <w:sz w:val="20"/>
          <w:szCs w:val="20"/>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19" w:lineRule="exact"/>
        <w:rPr>
          <w:rFonts w:ascii="Arial" w:cs="Arial" w:eastAsia="Arial" w:hAnsi="Arial"/>
          <w:sz w:val="20"/>
          <w:szCs w:val="20"/>
          <w:color w:val="auto"/>
        </w:rPr>
      </w:pPr>
    </w:p>
    <w:p>
      <w:pPr>
        <w:ind w:left="1200" w:hanging="594"/>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58" w:lineRule="exact"/>
        <w:rPr>
          <w:rFonts w:ascii="Arial" w:cs="Arial" w:eastAsia="Arial" w:hAnsi="Arial"/>
          <w:sz w:val="18"/>
          <w:szCs w:val="18"/>
          <w:color w:val="auto"/>
        </w:rPr>
      </w:pPr>
    </w:p>
    <w:p>
      <w:pPr>
        <w:jc w:val="both"/>
        <w:ind w:firstLine="606"/>
        <w:spacing w:after="0" w:line="259" w:lineRule="auto"/>
        <w:tabs>
          <w:tab w:leader="none" w:pos="11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15" w:lineRule="exact"/>
        <w:rPr>
          <w:rFonts w:ascii="Arial" w:cs="Arial" w:eastAsia="Arial" w:hAnsi="Arial"/>
          <w:sz w:val="18"/>
          <w:szCs w:val="18"/>
          <w:color w:val="auto"/>
        </w:rPr>
      </w:pPr>
    </w:p>
    <w:p>
      <w:pPr>
        <w:ind w:left="1200" w:hanging="594"/>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that our board of directors is classified into three classes of directors with staggered three-year terms;</w:t>
      </w:r>
    </w:p>
    <w:p>
      <w:pPr>
        <w:spacing w:after="0" w:line="158" w:lineRule="exact"/>
        <w:rPr>
          <w:rFonts w:ascii="Arial" w:cs="Arial" w:eastAsia="Arial" w:hAnsi="Arial"/>
          <w:sz w:val="18"/>
          <w:szCs w:val="18"/>
          <w:color w:val="auto"/>
        </w:rPr>
      </w:pPr>
    </w:p>
    <w:p>
      <w:pPr>
        <w:ind w:left="1200" w:hanging="594"/>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requires all stockholder actions to be taken at a meeting of our stockholders;</w:t>
      </w:r>
    </w:p>
    <w:p>
      <w:pPr>
        <w:spacing w:after="0" w:line="170" w:lineRule="exact"/>
        <w:rPr>
          <w:rFonts w:ascii="Arial" w:cs="Arial" w:eastAsia="Arial" w:hAnsi="Arial"/>
          <w:sz w:val="17"/>
          <w:szCs w:val="17"/>
          <w:color w:val="auto"/>
        </w:rPr>
      </w:pPr>
    </w:p>
    <w:p>
      <w:pPr>
        <w:ind w:firstLine="606"/>
        <w:spacing w:after="0" w:line="280" w:lineRule="auto"/>
        <w:tabs>
          <w:tab w:leader="none" w:pos="11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second amended and restated certificate of incorporation and second amended and restated bylaws;</w:t>
      </w:r>
    </w:p>
    <w:p>
      <w:pPr>
        <w:spacing w:after="0" w:line="97" w:lineRule="exact"/>
        <w:rPr>
          <w:rFonts w:ascii="Arial" w:cs="Arial" w:eastAsia="Arial" w:hAnsi="Arial"/>
          <w:sz w:val="18"/>
          <w:szCs w:val="18"/>
          <w:color w:val="auto"/>
        </w:rPr>
      </w:pPr>
    </w:p>
    <w:p>
      <w:pPr>
        <w:ind w:firstLine="606"/>
        <w:spacing w:after="0" w:line="280" w:lineRule="auto"/>
        <w:tabs>
          <w:tab w:leader="none" w:pos="11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 and</w:t>
      </w:r>
    </w:p>
    <w:p>
      <w:pPr>
        <w:spacing w:after="0" w:line="97" w:lineRule="exact"/>
        <w:rPr>
          <w:rFonts w:ascii="Arial" w:cs="Arial" w:eastAsia="Arial" w:hAnsi="Arial"/>
          <w:sz w:val="18"/>
          <w:szCs w:val="18"/>
          <w:color w:val="auto"/>
        </w:rPr>
      </w:pPr>
    </w:p>
    <w:p>
      <w:pPr>
        <w:ind w:left="1200" w:hanging="594"/>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59"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93"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9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97" w:lineRule="exact"/>
        <w:rPr>
          <w:sz w:val="20"/>
          <w:szCs w:val="20"/>
          <w:color w:val="auto"/>
        </w:rPr>
      </w:pPr>
    </w:p>
    <w:p>
      <w:pPr>
        <w:jc w:val="both"/>
        <w:ind w:firstLine="605"/>
        <w:spacing w:after="0" w:line="280" w:lineRule="auto"/>
        <w:rPr>
          <w:sz w:val="20"/>
          <w:szCs w:val="20"/>
          <w:color w:val="auto"/>
        </w:rPr>
      </w:pPr>
      <w:r>
        <w:rPr>
          <w:rFonts w:ascii="Arial" w:cs="Arial" w:eastAsia="Arial" w:hAnsi="Arial"/>
          <w:sz w:val="18"/>
          <w:szCs w:val="18"/>
          <w:color w:val="auto"/>
        </w:rPr>
        <w:t>Our second amended and restated certificate of incorporation and our second amended and restated bylaws include provisions that require the affirmative vote of two-thirds of all of the outstanding shares of our capital stock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a stockholder’s ability to influence corporate matters.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11" w:lineRule="exact"/>
        <w:rPr>
          <w:sz w:val="20"/>
          <w:szCs w:val="20"/>
          <w:color w:val="auto"/>
        </w:rPr>
      </w:pPr>
    </w:p>
    <w:p>
      <w:pPr>
        <w:jc w:val="both"/>
        <w:ind w:firstLine="605"/>
        <w:spacing w:after="0" w:line="267" w:lineRule="auto"/>
        <w:rPr>
          <w:sz w:val="20"/>
          <w:szCs w:val="20"/>
          <w:color w:val="auto"/>
        </w:rPr>
      </w:pPr>
      <w:r>
        <w:rPr>
          <w:rFonts w:ascii="Arial" w:cs="Arial" w:eastAsia="Arial" w:hAnsi="Arial"/>
          <w:sz w:val="17"/>
          <w:szCs w:val="17"/>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1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97" w:lineRule="exact"/>
        <w:rPr>
          <w:sz w:val="20"/>
          <w:szCs w:val="20"/>
          <w:color w:val="auto"/>
        </w:rPr>
      </w:pPr>
    </w:p>
    <w:p>
      <w:pPr>
        <w:jc w:val="both"/>
        <w:ind w:firstLine="605"/>
        <w:spacing w:after="0" w:line="253" w:lineRule="auto"/>
        <w:rPr>
          <w:sz w:val="20"/>
          <w:szCs w:val="20"/>
          <w:color w:val="auto"/>
        </w:rPr>
      </w:pPr>
      <w:r>
        <w:rPr>
          <w:rFonts w:ascii="Arial" w:cs="Arial" w:eastAsia="Arial" w:hAnsi="Arial"/>
          <w:sz w:val="18"/>
          <w:szCs w:val="18"/>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If we are unable to obtain capital on favorable terms or at all, we may have to reduce our operations or forego opportunities, and this may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59" w:lineRule="exact"/>
        <w:rPr>
          <w:sz w:val="20"/>
          <w:szCs w:val="20"/>
          <w:color w:val="auto"/>
        </w:rPr>
      </w:pPr>
    </w:p>
    <w:p>
      <w:pPr>
        <w:jc w:val="both"/>
        <w:ind w:firstLine="605"/>
        <w:spacing w:after="0" w:line="279" w:lineRule="auto"/>
        <w:rPr>
          <w:sz w:val="20"/>
          <w:szCs w:val="20"/>
          <w:color w:val="auto"/>
        </w:rPr>
      </w:pPr>
      <w:r>
        <w:rPr>
          <w:rFonts w:ascii="Arial" w:cs="Arial" w:eastAsia="Arial" w:hAnsi="Arial"/>
          <w:sz w:val="17"/>
          <w:szCs w:val="17"/>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97" w:lineRule="exact"/>
        <w:rPr>
          <w:sz w:val="20"/>
          <w:szCs w:val="20"/>
          <w:color w:val="auto"/>
        </w:rPr>
      </w:pPr>
    </w:p>
    <w:p>
      <w:pPr>
        <w:jc w:val="both"/>
        <w:ind w:firstLine="605"/>
        <w:spacing w:after="0" w:line="254" w:lineRule="auto"/>
        <w:rPr>
          <w:sz w:val="20"/>
          <w:szCs w:val="20"/>
          <w:color w:val="auto"/>
        </w:rPr>
      </w:pPr>
      <w:r>
        <w:rPr>
          <w:rFonts w:ascii="Arial" w:cs="Arial" w:eastAsia="Arial" w:hAnsi="Arial"/>
          <w:sz w:val="18"/>
          <w:szCs w:val="18"/>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96" w:name="page97"/>
    <w:bookmarkEnd w:id="9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Financial Statement Schedules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20" w:type="dxa"/>
            <w:vAlign w:val="bottom"/>
            <w:gridSpan w:val="5"/>
          </w:tcPr>
          <w:p>
            <w:pPr>
              <w:spacing w:after="0"/>
              <w:rPr>
                <w:sz w:val="20"/>
                <w:szCs w:val="20"/>
                <w:color w:val="auto"/>
              </w:rPr>
            </w:pPr>
            <w:r>
              <w:rPr>
                <w:rFonts w:ascii="Arial" w:cs="Arial" w:eastAsia="Arial" w:hAnsi="Arial"/>
                <w:sz w:val="13"/>
                <w:szCs w:val="13"/>
                <w:b w:val="1"/>
                <w:bCs w:val="1"/>
                <w:color w:val="auto"/>
              </w:rPr>
              <w:t>Exhibit</w:t>
            </w:r>
          </w:p>
        </w:tc>
        <w:tc>
          <w:tcPr>
            <w:tcW w:w="580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Description of Exhibit</w:t>
            </w:r>
          </w:p>
        </w:tc>
        <w:tc>
          <w:tcPr>
            <w:tcW w:w="90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Form</w:t>
            </w:r>
          </w:p>
        </w:tc>
        <w:tc>
          <w:tcPr>
            <w:tcW w:w="136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File No.</w:t>
            </w:r>
          </w:p>
        </w:tc>
        <w:tc>
          <w:tcPr>
            <w:tcW w:w="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Exhibit</w:t>
            </w:r>
          </w:p>
        </w:tc>
        <w:tc>
          <w:tcPr>
            <w:tcW w:w="144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39"/>
        </w:trPr>
        <w:tc>
          <w:tcPr>
            <w:tcW w:w="46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w w:val="92"/>
              </w:rPr>
              <w:t>number</w:t>
            </w:r>
          </w:p>
        </w:tc>
        <w:tc>
          <w:tcPr>
            <w:tcW w:w="360" w:type="dxa"/>
            <w:vAlign w:val="bottom"/>
          </w:tcPr>
          <w:p>
            <w:pPr>
              <w:spacing w:after="0"/>
              <w:rPr>
                <w:sz w:val="12"/>
                <w:szCs w:val="12"/>
                <w:color w:val="auto"/>
              </w:rPr>
            </w:pPr>
          </w:p>
        </w:tc>
        <w:tc>
          <w:tcPr>
            <w:tcW w:w="580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tcBorders>
              <w:bottom w:val="single" w:sz="8" w:color="0000FF"/>
            </w:tcBorders>
          </w:tcPr>
          <w:p>
            <w:pPr>
              <w:spacing w:after="0" w:line="194" w:lineRule="exact"/>
              <w:rPr>
                <w:rFonts w:ascii="Arial" w:cs="Arial" w:eastAsia="Arial" w:hAnsi="Arial"/>
                <w:sz w:val="17"/>
                <w:szCs w:val="17"/>
                <w:color w:val="0000FF"/>
                <w:w w:val="75"/>
              </w:rPr>
            </w:pPr>
            <w:hyperlink r:id="rId111">
              <w:r>
                <w:rPr>
                  <w:rFonts w:ascii="Arial" w:cs="Arial" w:eastAsia="Arial" w:hAnsi="Arial"/>
                  <w:sz w:val="17"/>
                  <w:szCs w:val="17"/>
                  <w:color w:val="0000FF"/>
                  <w:w w:val="75"/>
                </w:rPr>
                <w:t>3.</w:t>
              </w:r>
              <w:r>
                <w:rPr>
                  <w:rFonts w:ascii="Arial" w:cs="Arial" w:eastAsia="Arial" w:hAnsi="Arial"/>
                  <w:sz w:val="17"/>
                  <w:szCs w:val="17"/>
                  <w:u w:val="single" w:color="auto"/>
                  <w:color w:val="0000FF"/>
                  <w:w w:val="75"/>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0" w:type="dxa"/>
            <w:vAlign w:val="bottom"/>
            <w:gridSpan w:val="3"/>
          </w:tcPr>
          <w:p>
            <w:pPr>
              <w:ind w:left="180"/>
              <w:spacing w:after="0" w:line="194" w:lineRule="exact"/>
              <w:rPr>
                <w:sz w:val="20"/>
                <w:szCs w:val="20"/>
                <w:color w:val="auto"/>
              </w:rPr>
            </w:pPr>
            <w:r>
              <w:rPr>
                <w:rFonts w:ascii="Arial" w:cs="Arial" w:eastAsia="Arial" w:hAnsi="Arial"/>
                <w:sz w:val="17"/>
                <w:szCs w:val="17"/>
                <w:color w:val="auto"/>
              </w:rPr>
              <w:t>Second Amended and Restated Certificate of Incorporation.</w:t>
            </w:r>
          </w:p>
        </w:tc>
        <w:tc>
          <w:tcPr>
            <w:tcW w:w="90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Q3 10-Q</w:t>
            </w:r>
          </w:p>
        </w:tc>
        <w:tc>
          <w:tcPr>
            <w:tcW w:w="136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001-38285</w:t>
            </w:r>
          </w:p>
        </w:tc>
        <w:tc>
          <w:tcPr>
            <w:tcW w:w="440" w:type="dxa"/>
            <w:vAlign w:val="bottom"/>
          </w:tcPr>
          <w:p>
            <w:pPr>
              <w:spacing w:after="0" w:line="194" w:lineRule="exact"/>
              <w:rPr>
                <w:sz w:val="20"/>
                <w:szCs w:val="20"/>
                <w:color w:val="auto"/>
              </w:rPr>
            </w:pPr>
            <w:r>
              <w:rPr>
                <w:rFonts w:ascii="Arial" w:cs="Arial" w:eastAsia="Arial" w:hAnsi="Arial"/>
                <w:sz w:val="17"/>
                <w:szCs w:val="17"/>
                <w:color w:val="auto"/>
              </w:rPr>
              <w:t>3.1</w:t>
            </w:r>
          </w:p>
        </w:tc>
        <w:tc>
          <w:tcPr>
            <w:tcW w:w="140" w:type="dxa"/>
            <w:vAlign w:val="bottom"/>
          </w:tcPr>
          <w:p>
            <w:pPr>
              <w:spacing w:after="0"/>
              <w:rPr>
                <w:sz w:val="16"/>
                <w:szCs w:val="16"/>
                <w:color w:val="auto"/>
              </w:rPr>
            </w:pPr>
          </w:p>
        </w:tc>
        <w:tc>
          <w:tcPr>
            <w:tcW w:w="144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12/14/2017</w:t>
            </w:r>
          </w:p>
        </w:tc>
        <w:tc>
          <w:tcPr>
            <w:tcW w:w="0" w:type="dxa"/>
            <w:vAlign w:val="bottom"/>
          </w:tcPr>
          <w:p>
            <w:pPr>
              <w:spacing w:after="0"/>
              <w:rPr>
                <w:sz w:val="1"/>
                <w:szCs w:val="1"/>
                <w:color w:val="auto"/>
              </w:rPr>
            </w:pPr>
          </w:p>
        </w:tc>
      </w:tr>
      <w:tr>
        <w:trPr>
          <w:trHeight w:val="194"/>
        </w:trPr>
        <w:tc>
          <w:tcPr>
            <w:tcW w:w="200" w:type="dxa"/>
            <w:vAlign w:val="bottom"/>
            <w:tcBorders>
              <w:bottom w:val="single" w:sz="8" w:color="0000FF"/>
            </w:tcBorders>
          </w:tcPr>
          <w:p>
            <w:pPr>
              <w:spacing w:after="0" w:line="194" w:lineRule="exact"/>
              <w:rPr>
                <w:rFonts w:ascii="Arial" w:cs="Arial" w:eastAsia="Arial" w:hAnsi="Arial"/>
                <w:sz w:val="17"/>
                <w:szCs w:val="17"/>
                <w:color w:val="0000FF"/>
                <w:w w:val="75"/>
              </w:rPr>
            </w:pPr>
            <w:hyperlink r:id="rId112">
              <w:r>
                <w:rPr>
                  <w:rFonts w:ascii="Arial" w:cs="Arial" w:eastAsia="Arial" w:hAnsi="Arial"/>
                  <w:sz w:val="17"/>
                  <w:szCs w:val="17"/>
                  <w:color w:val="0000FF"/>
                  <w:w w:val="75"/>
                </w:rPr>
                <w:t>3.</w:t>
              </w:r>
              <w:r>
                <w:rPr>
                  <w:rFonts w:ascii="Arial" w:cs="Arial" w:eastAsia="Arial" w:hAnsi="Arial"/>
                  <w:sz w:val="17"/>
                  <w:szCs w:val="17"/>
                  <w:u w:val="single" w:color="auto"/>
                  <w:color w:val="0000FF"/>
                  <w:w w:val="75"/>
                </w:rPr>
                <w:t>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0" w:type="dxa"/>
            <w:vAlign w:val="bottom"/>
            <w:gridSpan w:val="3"/>
          </w:tcPr>
          <w:p>
            <w:pPr>
              <w:ind w:left="180"/>
              <w:spacing w:after="0" w:line="194" w:lineRule="exact"/>
              <w:rPr>
                <w:sz w:val="20"/>
                <w:szCs w:val="20"/>
                <w:color w:val="auto"/>
              </w:rPr>
            </w:pPr>
            <w:r>
              <w:rPr>
                <w:rFonts w:ascii="Arial" w:cs="Arial" w:eastAsia="Arial" w:hAnsi="Arial"/>
                <w:sz w:val="17"/>
                <w:szCs w:val="17"/>
                <w:color w:val="auto"/>
              </w:rPr>
              <w:t>Second Amended and Restated Bylaws.</w:t>
            </w:r>
          </w:p>
        </w:tc>
        <w:tc>
          <w:tcPr>
            <w:tcW w:w="90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Q3 10-Q</w:t>
            </w:r>
          </w:p>
        </w:tc>
        <w:tc>
          <w:tcPr>
            <w:tcW w:w="136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001-38285</w:t>
            </w:r>
          </w:p>
        </w:tc>
        <w:tc>
          <w:tcPr>
            <w:tcW w:w="440" w:type="dxa"/>
            <w:vAlign w:val="bottom"/>
          </w:tcPr>
          <w:p>
            <w:pPr>
              <w:spacing w:after="0" w:line="194" w:lineRule="exact"/>
              <w:rPr>
                <w:sz w:val="20"/>
                <w:szCs w:val="20"/>
                <w:color w:val="auto"/>
              </w:rPr>
            </w:pPr>
            <w:r>
              <w:rPr>
                <w:rFonts w:ascii="Arial" w:cs="Arial" w:eastAsia="Arial" w:hAnsi="Arial"/>
                <w:sz w:val="17"/>
                <w:szCs w:val="17"/>
                <w:color w:val="auto"/>
              </w:rPr>
              <w:t>3.2</w:t>
            </w:r>
          </w:p>
        </w:tc>
        <w:tc>
          <w:tcPr>
            <w:tcW w:w="140" w:type="dxa"/>
            <w:vAlign w:val="bottom"/>
          </w:tcPr>
          <w:p>
            <w:pPr>
              <w:spacing w:after="0"/>
              <w:rPr>
                <w:sz w:val="16"/>
                <w:szCs w:val="16"/>
                <w:color w:val="auto"/>
              </w:rPr>
            </w:pPr>
          </w:p>
        </w:tc>
        <w:tc>
          <w:tcPr>
            <w:tcW w:w="144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12/14/2017</w:t>
            </w:r>
          </w:p>
        </w:tc>
        <w:tc>
          <w:tcPr>
            <w:tcW w:w="0" w:type="dxa"/>
            <w:vAlign w:val="bottom"/>
          </w:tcPr>
          <w:p>
            <w:pPr>
              <w:spacing w:after="0"/>
              <w:rPr>
                <w:sz w:val="1"/>
                <w:szCs w:val="1"/>
                <w:color w:val="auto"/>
              </w:rPr>
            </w:pPr>
          </w:p>
        </w:tc>
      </w:tr>
      <w:tr>
        <w:trPr>
          <w:trHeight w:val="194"/>
        </w:trPr>
        <w:tc>
          <w:tcPr>
            <w:tcW w:w="380" w:type="dxa"/>
            <w:vAlign w:val="bottom"/>
            <w:tcBorders>
              <w:bottom w:val="single" w:sz="8" w:color="0000FF"/>
            </w:tcBorders>
            <w:gridSpan w:val="3"/>
          </w:tcPr>
          <w:p>
            <w:pPr>
              <w:spacing w:after="0" w:line="194" w:lineRule="exact"/>
              <w:rPr>
                <w:rFonts w:ascii="Arial" w:cs="Arial" w:eastAsia="Arial" w:hAnsi="Arial"/>
                <w:sz w:val="17"/>
                <w:szCs w:val="17"/>
                <w:color w:val="0000FF"/>
                <w:w w:val="87"/>
              </w:rPr>
            </w:pPr>
            <w:hyperlink r:id="rId113">
              <w:r>
                <w:rPr>
                  <w:rFonts w:ascii="Arial" w:cs="Arial" w:eastAsia="Arial" w:hAnsi="Arial"/>
                  <w:sz w:val="17"/>
                  <w:szCs w:val="17"/>
                  <w:color w:val="0000FF"/>
                  <w:w w:val="87"/>
                </w:rPr>
                <w:t>10.</w:t>
              </w:r>
              <w:r>
                <w:rPr>
                  <w:rFonts w:ascii="Arial" w:cs="Arial" w:eastAsia="Arial" w:hAnsi="Arial"/>
                  <w:sz w:val="17"/>
                  <w:szCs w:val="17"/>
                  <w:u w:val="single" w:color="auto"/>
                  <w:color w:val="0000FF"/>
                  <w:w w:val="87"/>
                </w:rPr>
                <w:t>1^</w:t>
              </w:r>
            </w:hyperlink>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0" w:type="dxa"/>
            <w:vAlign w:val="bottom"/>
            <w:gridSpan w:val="3"/>
          </w:tcPr>
          <w:p>
            <w:pPr>
              <w:ind w:left="180"/>
              <w:spacing w:after="0" w:line="194" w:lineRule="exact"/>
              <w:rPr>
                <w:sz w:val="20"/>
                <w:szCs w:val="20"/>
                <w:color w:val="auto"/>
              </w:rPr>
            </w:pPr>
            <w:r>
              <w:rPr>
                <w:rFonts w:ascii="Arial" w:cs="Arial" w:eastAsia="Arial" w:hAnsi="Arial"/>
                <w:sz w:val="17"/>
                <w:szCs w:val="17"/>
                <w:color w:val="auto"/>
                <w:w w:val="91"/>
              </w:rPr>
              <w:t>Purchase and Sale Agreement dated May 27, 2021, between Bandwidth Inc. and</w:t>
            </w:r>
          </w:p>
        </w:tc>
        <w:tc>
          <w:tcPr>
            <w:tcW w:w="90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8-K</w:t>
            </w:r>
          </w:p>
        </w:tc>
        <w:tc>
          <w:tcPr>
            <w:tcW w:w="136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001-38285</w:t>
            </w:r>
          </w:p>
        </w:tc>
        <w:tc>
          <w:tcPr>
            <w:tcW w:w="440" w:type="dxa"/>
            <w:vAlign w:val="bottom"/>
          </w:tcPr>
          <w:p>
            <w:pPr>
              <w:spacing w:after="0" w:line="194" w:lineRule="exact"/>
              <w:rPr>
                <w:sz w:val="20"/>
                <w:szCs w:val="20"/>
                <w:color w:val="auto"/>
              </w:rPr>
            </w:pPr>
            <w:r>
              <w:rPr>
                <w:rFonts w:ascii="Arial" w:cs="Arial" w:eastAsia="Arial" w:hAnsi="Arial"/>
                <w:sz w:val="17"/>
                <w:szCs w:val="17"/>
                <w:color w:val="auto"/>
              </w:rPr>
              <w:t>10.1</w:t>
            </w:r>
          </w:p>
        </w:tc>
        <w:tc>
          <w:tcPr>
            <w:tcW w:w="140" w:type="dxa"/>
            <w:vAlign w:val="bottom"/>
          </w:tcPr>
          <w:p>
            <w:pPr>
              <w:spacing w:after="0"/>
              <w:rPr>
                <w:sz w:val="16"/>
                <w:szCs w:val="16"/>
                <w:color w:val="auto"/>
              </w:rPr>
            </w:pPr>
          </w:p>
        </w:tc>
        <w:tc>
          <w:tcPr>
            <w:tcW w:w="144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5/28/2021</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82" w:lineRule="exact"/>
              <w:rPr>
                <w:sz w:val="20"/>
                <w:szCs w:val="20"/>
                <w:color w:val="auto"/>
              </w:rPr>
            </w:pPr>
            <w:r>
              <w:rPr>
                <w:rFonts w:ascii="Arial" w:cs="Arial" w:eastAsia="Arial" w:hAnsi="Arial"/>
                <w:sz w:val="17"/>
                <w:szCs w:val="17"/>
                <w:color w:val="auto"/>
              </w:rPr>
              <w:t>USEF Edwards Mill Owner, LLC.</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0000FF"/>
            </w:tcBorders>
            <w:gridSpan w:val="3"/>
          </w:tcPr>
          <w:p>
            <w:pPr>
              <w:spacing w:after="0" w:line="176" w:lineRule="exact"/>
              <w:rPr>
                <w:rFonts w:ascii="Arial" w:cs="Arial" w:eastAsia="Arial" w:hAnsi="Arial"/>
                <w:sz w:val="17"/>
                <w:szCs w:val="17"/>
                <w:color w:val="0000FF"/>
                <w:w w:val="87"/>
              </w:rPr>
            </w:pPr>
            <w:hyperlink r:id="rId114">
              <w:r>
                <w:rPr>
                  <w:rFonts w:ascii="Arial" w:cs="Arial" w:eastAsia="Arial" w:hAnsi="Arial"/>
                  <w:sz w:val="17"/>
                  <w:szCs w:val="17"/>
                  <w:color w:val="0000FF"/>
                  <w:w w:val="87"/>
                </w:rPr>
                <w:t>10.</w:t>
              </w:r>
              <w:r>
                <w:rPr>
                  <w:rFonts w:ascii="Arial" w:cs="Arial" w:eastAsia="Arial" w:hAnsi="Arial"/>
                  <w:sz w:val="17"/>
                  <w:szCs w:val="17"/>
                  <w:u w:val="single" w:color="auto"/>
                  <w:color w:val="0000FF"/>
                  <w:w w:val="87"/>
                </w:rPr>
                <w:t>2^</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76" w:lineRule="exact"/>
              <w:rPr>
                <w:sz w:val="20"/>
                <w:szCs w:val="20"/>
                <w:color w:val="auto"/>
              </w:rPr>
            </w:pPr>
            <w:r>
              <w:rPr>
                <w:rFonts w:ascii="Arial" w:cs="Arial" w:eastAsia="Arial" w:hAnsi="Arial"/>
                <w:sz w:val="17"/>
                <w:szCs w:val="17"/>
                <w:color w:val="auto"/>
                <w:w w:val="99"/>
              </w:rPr>
              <w:t>Lease Agreement dated May 27, 2021, between Bandwidth Inc. and USEF</w:t>
            </w:r>
          </w:p>
        </w:tc>
        <w:tc>
          <w:tcPr>
            <w:tcW w:w="90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8-K</w:t>
            </w:r>
          </w:p>
        </w:tc>
        <w:tc>
          <w:tcPr>
            <w:tcW w:w="136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001-38285</w:t>
            </w:r>
          </w:p>
        </w:tc>
        <w:tc>
          <w:tcPr>
            <w:tcW w:w="440" w:type="dxa"/>
            <w:vAlign w:val="bottom"/>
          </w:tcPr>
          <w:p>
            <w:pPr>
              <w:spacing w:after="0" w:line="176" w:lineRule="exact"/>
              <w:rPr>
                <w:sz w:val="20"/>
                <w:szCs w:val="20"/>
                <w:color w:val="auto"/>
              </w:rPr>
            </w:pPr>
            <w:r>
              <w:rPr>
                <w:rFonts w:ascii="Arial" w:cs="Arial" w:eastAsia="Arial" w:hAnsi="Arial"/>
                <w:sz w:val="17"/>
                <w:szCs w:val="17"/>
                <w:color w:val="auto"/>
              </w:rPr>
              <w:t>10.2</w:t>
            </w:r>
          </w:p>
        </w:tc>
        <w:tc>
          <w:tcPr>
            <w:tcW w:w="140" w:type="dxa"/>
            <w:vAlign w:val="bottom"/>
          </w:tcPr>
          <w:p>
            <w:pPr>
              <w:spacing w:after="0"/>
              <w:rPr>
                <w:sz w:val="15"/>
                <w:szCs w:val="15"/>
                <w:color w:val="auto"/>
              </w:rPr>
            </w:pPr>
          </w:p>
        </w:tc>
        <w:tc>
          <w:tcPr>
            <w:tcW w:w="144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5/28/2021</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82" w:lineRule="exact"/>
              <w:rPr>
                <w:sz w:val="20"/>
                <w:szCs w:val="20"/>
                <w:color w:val="auto"/>
              </w:rPr>
            </w:pPr>
            <w:r>
              <w:rPr>
                <w:rFonts w:ascii="Arial" w:cs="Arial" w:eastAsia="Arial" w:hAnsi="Arial"/>
                <w:sz w:val="17"/>
                <w:szCs w:val="17"/>
                <w:color w:val="auto"/>
              </w:rPr>
              <w:t>Edwards Mill Owner, LLC.</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gridSpan w:val="3"/>
          </w:tcPr>
          <w:p>
            <w:pPr>
              <w:spacing w:after="0" w:line="176" w:lineRule="exact"/>
              <w:rPr>
                <w:rFonts w:ascii="Arial" w:cs="Arial" w:eastAsia="Arial" w:hAnsi="Arial"/>
                <w:sz w:val="17"/>
                <w:szCs w:val="17"/>
                <w:color w:val="0000FF"/>
              </w:rPr>
            </w:pPr>
            <w:hyperlink r:id="rId115">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76" w:lineRule="exact"/>
              <w:rPr>
                <w:sz w:val="20"/>
                <w:szCs w:val="20"/>
                <w:color w:val="auto"/>
              </w:rPr>
            </w:pPr>
            <w:r>
              <w:rPr>
                <w:rFonts w:ascii="Arial" w:cs="Arial" w:eastAsia="Arial" w:hAnsi="Arial"/>
                <w:sz w:val="17"/>
                <w:szCs w:val="17"/>
                <w:color w:val="auto"/>
              </w:rPr>
              <w:t>Escrow Agreement dated May 27, 2021, between Bandwidth Inc., USEF</w:t>
            </w:r>
          </w:p>
        </w:tc>
        <w:tc>
          <w:tcPr>
            <w:tcW w:w="90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8-K</w:t>
            </w:r>
          </w:p>
        </w:tc>
        <w:tc>
          <w:tcPr>
            <w:tcW w:w="136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001-38285</w:t>
            </w:r>
          </w:p>
        </w:tc>
        <w:tc>
          <w:tcPr>
            <w:tcW w:w="440" w:type="dxa"/>
            <w:vAlign w:val="bottom"/>
          </w:tcPr>
          <w:p>
            <w:pPr>
              <w:spacing w:after="0" w:line="176" w:lineRule="exact"/>
              <w:rPr>
                <w:sz w:val="20"/>
                <w:szCs w:val="20"/>
                <w:color w:val="auto"/>
              </w:rPr>
            </w:pPr>
            <w:r>
              <w:rPr>
                <w:rFonts w:ascii="Arial" w:cs="Arial" w:eastAsia="Arial" w:hAnsi="Arial"/>
                <w:sz w:val="17"/>
                <w:szCs w:val="17"/>
                <w:color w:val="auto"/>
              </w:rPr>
              <w:t>10.3</w:t>
            </w:r>
          </w:p>
        </w:tc>
        <w:tc>
          <w:tcPr>
            <w:tcW w:w="140" w:type="dxa"/>
            <w:vAlign w:val="bottom"/>
          </w:tcPr>
          <w:p>
            <w:pPr>
              <w:spacing w:after="0"/>
              <w:rPr>
                <w:sz w:val="15"/>
                <w:szCs w:val="15"/>
                <w:color w:val="auto"/>
              </w:rPr>
            </w:pPr>
          </w:p>
        </w:tc>
        <w:tc>
          <w:tcPr>
            <w:tcW w:w="144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5/28/2021</w:t>
            </w:r>
          </w:p>
        </w:tc>
        <w:tc>
          <w:tcPr>
            <w:tcW w:w="0" w:type="dxa"/>
            <w:vAlign w:val="bottom"/>
          </w:tcPr>
          <w:p>
            <w:pPr>
              <w:spacing w:after="0"/>
              <w:rPr>
                <w:sz w:val="1"/>
                <w:szCs w:val="1"/>
                <w:color w:val="auto"/>
              </w:rPr>
            </w:pPr>
          </w:p>
        </w:tc>
      </w:tr>
      <w:tr>
        <w:trPr>
          <w:trHeight w:val="182"/>
        </w:trPr>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82" w:lineRule="exact"/>
              <w:rPr>
                <w:sz w:val="20"/>
                <w:szCs w:val="20"/>
                <w:color w:val="auto"/>
              </w:rPr>
            </w:pPr>
            <w:r>
              <w:rPr>
                <w:rFonts w:ascii="Arial" w:cs="Arial" w:eastAsia="Arial" w:hAnsi="Arial"/>
                <w:sz w:val="17"/>
                <w:szCs w:val="17"/>
                <w:color w:val="auto"/>
              </w:rPr>
              <w:t>Edwards Mill Owner, LLC and Chicago Title Insurance Company.</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gridSpan w:val="3"/>
          </w:tcPr>
          <w:p>
            <w:pPr>
              <w:spacing w:after="0" w:line="176" w:lineRule="exact"/>
              <w:rPr>
                <w:rFonts w:ascii="Arial" w:cs="Arial" w:eastAsia="Arial" w:hAnsi="Arial"/>
                <w:sz w:val="17"/>
                <w:szCs w:val="17"/>
                <w:color w:val="0000FF"/>
              </w:rPr>
            </w:pPr>
            <w:hyperlink r:id="rId116">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76" w:lineRule="exact"/>
              <w:rPr>
                <w:sz w:val="20"/>
                <w:szCs w:val="20"/>
                <w:color w:val="auto"/>
              </w:rPr>
            </w:pPr>
            <w:r>
              <w:rPr>
                <w:rFonts w:ascii="Arial" w:cs="Arial" w:eastAsia="Arial" w:hAnsi="Arial"/>
                <w:sz w:val="17"/>
                <w:szCs w:val="17"/>
                <w:color w:val="auto"/>
                <w:w w:val="95"/>
              </w:rPr>
              <w:t>Employment Agreement, dated July 6, 2021, between the Company and Daryl</w:t>
            </w:r>
          </w:p>
        </w:tc>
        <w:tc>
          <w:tcPr>
            <w:tcW w:w="90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8-K</w:t>
            </w:r>
          </w:p>
        </w:tc>
        <w:tc>
          <w:tcPr>
            <w:tcW w:w="136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001-38285</w:t>
            </w:r>
          </w:p>
        </w:tc>
        <w:tc>
          <w:tcPr>
            <w:tcW w:w="440" w:type="dxa"/>
            <w:vAlign w:val="bottom"/>
          </w:tcPr>
          <w:p>
            <w:pPr>
              <w:spacing w:after="0" w:line="176" w:lineRule="exact"/>
              <w:rPr>
                <w:sz w:val="20"/>
                <w:szCs w:val="20"/>
                <w:color w:val="auto"/>
              </w:rPr>
            </w:pPr>
            <w:r>
              <w:rPr>
                <w:rFonts w:ascii="Arial" w:cs="Arial" w:eastAsia="Arial" w:hAnsi="Arial"/>
                <w:sz w:val="17"/>
                <w:szCs w:val="17"/>
                <w:color w:val="auto"/>
              </w:rPr>
              <w:t>10.1</w:t>
            </w:r>
          </w:p>
        </w:tc>
        <w:tc>
          <w:tcPr>
            <w:tcW w:w="140" w:type="dxa"/>
            <w:vAlign w:val="bottom"/>
          </w:tcPr>
          <w:p>
            <w:pPr>
              <w:spacing w:after="0"/>
              <w:rPr>
                <w:sz w:val="15"/>
                <w:szCs w:val="15"/>
                <w:color w:val="auto"/>
              </w:rPr>
            </w:pPr>
          </w:p>
        </w:tc>
        <w:tc>
          <w:tcPr>
            <w:tcW w:w="780" w:type="dxa"/>
            <w:vAlign w:val="bottom"/>
            <w:gridSpan w:val="2"/>
          </w:tcPr>
          <w:p>
            <w:pPr>
              <w:ind w:left="140"/>
              <w:spacing w:after="0" w:line="176" w:lineRule="exact"/>
              <w:rPr>
                <w:sz w:val="20"/>
                <w:szCs w:val="20"/>
                <w:color w:val="auto"/>
              </w:rPr>
            </w:pPr>
            <w:r>
              <w:rPr>
                <w:rFonts w:ascii="Arial" w:cs="Arial" w:eastAsia="Arial" w:hAnsi="Arial"/>
                <w:sz w:val="17"/>
                <w:szCs w:val="17"/>
                <w:color w:val="auto"/>
                <w:w w:val="93"/>
              </w:rPr>
              <w:t>7/8/2021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82" w:lineRule="exact"/>
              <w:rPr>
                <w:sz w:val="20"/>
                <w:szCs w:val="20"/>
                <w:color w:val="auto"/>
              </w:rPr>
            </w:pPr>
            <w:r>
              <w:rPr>
                <w:rFonts w:ascii="Arial" w:cs="Arial" w:eastAsia="Arial" w:hAnsi="Arial"/>
                <w:sz w:val="17"/>
                <w:szCs w:val="17"/>
                <w:color w:val="auto"/>
              </w:rPr>
              <w:t>Raiford.</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gridSpan w:val="3"/>
          </w:tcPr>
          <w:p>
            <w:pPr>
              <w:spacing w:after="0" w:line="176" w:lineRule="exact"/>
              <w:rPr>
                <w:rFonts w:ascii="Arial" w:cs="Arial" w:eastAsia="Arial" w:hAnsi="Arial"/>
                <w:sz w:val="17"/>
                <w:szCs w:val="17"/>
                <w:color w:val="0000FF"/>
              </w:rPr>
            </w:pPr>
            <w:hyperlink w:anchor="page99">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76" w:lineRule="exact"/>
              <w:rPr>
                <w:sz w:val="20"/>
                <w:szCs w:val="20"/>
                <w:color w:val="auto"/>
              </w:rPr>
            </w:pPr>
            <w:r>
              <w:rPr>
                <w:rFonts w:ascii="Arial" w:cs="Arial" w:eastAsia="Arial" w:hAnsi="Arial"/>
                <w:sz w:val="17"/>
                <w:szCs w:val="17"/>
                <w:color w:val="auto"/>
                <w:w w:val="95"/>
              </w:rPr>
              <w:t>Certificate of the Chief Executive Officer pursuant to Exchange Act Rules 13a-</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ind w:left="140"/>
              <w:spacing w:after="0" w:line="176" w:lineRule="exact"/>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131"/>
        </w:trPr>
        <w:tc>
          <w:tcPr>
            <w:tcW w:w="2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0" w:type="dxa"/>
            <w:vAlign w:val="bottom"/>
            <w:gridSpan w:val="3"/>
          </w:tcPr>
          <w:p>
            <w:pPr>
              <w:ind w:left="180"/>
              <w:spacing w:after="0" w:line="131" w:lineRule="exact"/>
              <w:rPr>
                <w:sz w:val="20"/>
                <w:szCs w:val="20"/>
                <w:color w:val="auto"/>
              </w:rPr>
            </w:pPr>
            <w:r>
              <w:rPr>
                <w:rFonts w:ascii="Arial" w:cs="Arial" w:eastAsia="Arial" w:hAnsi="Arial"/>
                <w:sz w:val="15"/>
                <w:szCs w:val="15"/>
                <w:color w:val="auto"/>
              </w:rPr>
              <w:t>14(a) and 15d-14(a), as adopted pursuant to Section 302 of the Sarbanes-Oxley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Act of 2002.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0" w:type="dxa"/>
            <w:vAlign w:val="bottom"/>
            <w:gridSpan w:val="3"/>
          </w:tcPr>
          <w:p>
            <w:pPr>
              <w:spacing w:after="0" w:line="177" w:lineRule="exact"/>
              <w:rPr>
                <w:rFonts w:ascii="Arial" w:cs="Arial" w:eastAsia="Arial" w:hAnsi="Arial"/>
                <w:sz w:val="17"/>
                <w:szCs w:val="17"/>
                <w:color w:val="0000FF"/>
              </w:rPr>
            </w:pPr>
            <w:hyperlink w:anchor="page100">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gridSpan w:val="3"/>
          </w:tcPr>
          <w:p>
            <w:pPr>
              <w:ind w:left="180"/>
              <w:spacing w:after="0" w:line="177" w:lineRule="exact"/>
              <w:rPr>
                <w:sz w:val="20"/>
                <w:szCs w:val="20"/>
                <w:color w:val="auto"/>
              </w:rPr>
            </w:pPr>
            <w:r>
              <w:rPr>
                <w:rFonts w:ascii="Arial" w:cs="Arial" w:eastAsia="Arial" w:hAnsi="Arial"/>
                <w:sz w:val="17"/>
                <w:szCs w:val="17"/>
                <w:color w:val="auto"/>
                <w:w w:val="94"/>
              </w:rPr>
              <w:t>Certification of the Chief Financial Officer pursuant to Exchange Act Rules 13a-</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ind w:left="140"/>
              <w:spacing w:after="0" w:line="177" w:lineRule="exact"/>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131"/>
        </w:trPr>
        <w:tc>
          <w:tcPr>
            <w:tcW w:w="2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0" w:type="dxa"/>
            <w:vAlign w:val="bottom"/>
            <w:gridSpan w:val="3"/>
          </w:tcPr>
          <w:p>
            <w:pPr>
              <w:ind w:left="180"/>
              <w:spacing w:after="0" w:line="131" w:lineRule="exact"/>
              <w:rPr>
                <w:sz w:val="20"/>
                <w:szCs w:val="20"/>
                <w:color w:val="auto"/>
              </w:rPr>
            </w:pPr>
            <w:r>
              <w:rPr>
                <w:rFonts w:ascii="Arial" w:cs="Arial" w:eastAsia="Arial" w:hAnsi="Arial"/>
                <w:sz w:val="15"/>
                <w:szCs w:val="15"/>
                <w:color w:val="auto"/>
              </w:rPr>
              <w:t>14(a) and 15d-14(a), as adopted pursuant to Section 302 of the Sarbanes-Oxley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Act of 2002.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60" w:type="dxa"/>
            <w:vAlign w:val="bottom"/>
            <w:gridSpan w:val="4"/>
          </w:tcPr>
          <w:p>
            <w:pPr>
              <w:spacing w:after="0" w:line="177" w:lineRule="exact"/>
              <w:rPr>
                <w:rFonts w:ascii="Arial" w:cs="Arial" w:eastAsia="Arial" w:hAnsi="Arial"/>
                <w:sz w:val="17"/>
                <w:szCs w:val="17"/>
                <w:color w:val="0000FF"/>
              </w:rPr>
            </w:pPr>
            <w:hyperlink w:anchor="page101">
              <w:r>
                <w:rPr>
                  <w:rFonts w:ascii="Arial" w:cs="Arial" w:eastAsia="Arial" w:hAnsi="Arial"/>
                  <w:sz w:val="17"/>
                  <w:szCs w:val="17"/>
                  <w:color w:val="0000FF"/>
                </w:rPr>
                <w:t>32.</w:t>
              </w:r>
              <w:r>
                <w:rPr>
                  <w:rFonts w:ascii="Arial" w:cs="Arial" w:eastAsia="Arial" w:hAnsi="Arial"/>
                  <w:sz w:val="17"/>
                  <w:szCs w:val="17"/>
                  <w:u w:val="single" w:color="auto"/>
                  <w:color w:val="0000FF"/>
                </w:rPr>
                <w:t>1*</w:t>
              </w:r>
            </w:hyperlink>
          </w:p>
        </w:tc>
        <w:tc>
          <w:tcPr>
            <w:tcW w:w="360" w:type="dxa"/>
            <w:vAlign w:val="bottom"/>
          </w:tcPr>
          <w:p>
            <w:pPr>
              <w:spacing w:after="0"/>
              <w:rPr>
                <w:sz w:val="15"/>
                <w:szCs w:val="15"/>
                <w:color w:val="auto"/>
              </w:rPr>
            </w:pPr>
          </w:p>
        </w:tc>
        <w:tc>
          <w:tcPr>
            <w:tcW w:w="5800" w:type="dxa"/>
            <w:vAlign w:val="bottom"/>
            <w:gridSpan w:val="3"/>
          </w:tcPr>
          <w:p>
            <w:pPr>
              <w:ind w:left="180"/>
              <w:spacing w:after="0" w:line="177" w:lineRule="exact"/>
              <w:rPr>
                <w:sz w:val="20"/>
                <w:szCs w:val="20"/>
                <w:color w:val="auto"/>
              </w:rPr>
            </w:pPr>
            <w:r>
              <w:rPr>
                <w:rFonts w:ascii="Arial" w:cs="Arial" w:eastAsia="Arial" w:hAnsi="Arial"/>
                <w:sz w:val="17"/>
                <w:szCs w:val="17"/>
                <w:color w:val="auto"/>
                <w:w w:val="94"/>
              </w:rPr>
              <w:t>Certification of the Chief Executive Officer and Chief Financial Officer pursuant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ind w:left="140"/>
              <w:spacing w:after="0" w:line="177" w:lineRule="exact"/>
              <w:rPr>
                <w:sz w:val="20"/>
                <w:szCs w:val="20"/>
                <w:color w:val="auto"/>
              </w:rPr>
            </w:pPr>
            <w:r>
              <w:rPr>
                <w:rFonts w:ascii="Arial" w:cs="Arial" w:eastAsia="Arial" w:hAnsi="Arial"/>
                <w:sz w:val="17"/>
                <w:szCs w:val="17"/>
                <w:color w:val="auto"/>
                <w:w w:val="88"/>
              </w:rPr>
              <w:t>Furnished herewith</w:t>
            </w:r>
          </w:p>
        </w:tc>
        <w:tc>
          <w:tcPr>
            <w:tcW w:w="0" w:type="dxa"/>
            <w:vAlign w:val="bottom"/>
          </w:tcPr>
          <w:p>
            <w:pPr>
              <w:spacing w:after="0"/>
              <w:rPr>
                <w:sz w:val="1"/>
                <w:szCs w:val="1"/>
                <w:color w:val="auto"/>
              </w:rPr>
            </w:pPr>
          </w:p>
        </w:tc>
      </w:tr>
      <w:tr>
        <w:trPr>
          <w:trHeight w:val="131"/>
        </w:trPr>
        <w:tc>
          <w:tcPr>
            <w:tcW w:w="2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0" w:type="dxa"/>
            <w:vAlign w:val="bottom"/>
            <w:gridSpan w:val="3"/>
          </w:tcPr>
          <w:p>
            <w:pPr>
              <w:ind w:left="180"/>
              <w:spacing w:after="0" w:line="131" w:lineRule="exact"/>
              <w:rPr>
                <w:sz w:val="20"/>
                <w:szCs w:val="20"/>
                <w:color w:val="auto"/>
              </w:rPr>
            </w:pPr>
            <w:r>
              <w:rPr>
                <w:rFonts w:ascii="Arial" w:cs="Arial" w:eastAsia="Arial" w:hAnsi="Arial"/>
                <w:sz w:val="15"/>
                <w:szCs w:val="15"/>
                <w:color w:val="auto"/>
              </w:rPr>
              <w:t>to 18 U.S.C. Section 1350, as adopted pursuant to Section 906 of the Sarbanes-</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Oxley Act 2002.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0" w:type="dxa"/>
            <w:vAlign w:val="bottom"/>
            <w:gridSpan w:val="5"/>
          </w:tcPr>
          <w:p>
            <w:pPr>
              <w:spacing w:after="0" w:line="164" w:lineRule="exact"/>
              <w:rPr>
                <w:sz w:val="20"/>
                <w:szCs w:val="20"/>
                <w:color w:val="auto"/>
              </w:rPr>
            </w:pPr>
            <w:r>
              <w:rPr>
                <w:rFonts w:ascii="Arial" w:cs="Arial" w:eastAsia="Arial" w:hAnsi="Arial"/>
                <w:sz w:val="17"/>
                <w:szCs w:val="17"/>
                <w:color w:val="auto"/>
              </w:rPr>
              <w:t>101.INS</w:t>
            </w:r>
          </w:p>
        </w:tc>
        <w:tc>
          <w:tcPr>
            <w:tcW w:w="5800" w:type="dxa"/>
            <w:vAlign w:val="bottom"/>
            <w:gridSpan w:val="3"/>
          </w:tcPr>
          <w:p>
            <w:pPr>
              <w:ind w:left="180"/>
              <w:spacing w:after="0" w:line="164" w:lineRule="exact"/>
              <w:rPr>
                <w:sz w:val="20"/>
                <w:szCs w:val="20"/>
                <w:color w:val="auto"/>
              </w:rPr>
            </w:pPr>
            <w:r>
              <w:rPr>
                <w:rFonts w:ascii="Arial" w:cs="Arial" w:eastAsia="Arial" w:hAnsi="Arial"/>
                <w:sz w:val="17"/>
                <w:szCs w:val="17"/>
                <w:color w:val="auto"/>
              </w:rPr>
              <w:t>XBRL Instance Document - the Instance Document does not appear in the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gridSpan w:val="3"/>
          </w:tcPr>
          <w:p>
            <w:pPr>
              <w:ind w:left="180"/>
              <w:spacing w:after="0" w:line="164" w:lineRule="exact"/>
              <w:rPr>
                <w:sz w:val="20"/>
                <w:szCs w:val="20"/>
                <w:color w:val="auto"/>
              </w:rPr>
            </w:pPr>
            <w:r>
              <w:rPr>
                <w:rFonts w:ascii="Arial" w:cs="Arial" w:eastAsia="Arial" w:hAnsi="Arial"/>
                <w:sz w:val="17"/>
                <w:szCs w:val="17"/>
                <w:color w:val="auto"/>
                <w:w w:val="92"/>
              </w:rPr>
              <w:t>interactive data file because its XBRL tags are embedded within the Inline XBRL</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Document.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0" w:type="dxa"/>
            <w:vAlign w:val="bottom"/>
            <w:gridSpan w:val="5"/>
          </w:tcPr>
          <w:p>
            <w:pPr>
              <w:spacing w:after="0"/>
              <w:rPr>
                <w:sz w:val="20"/>
                <w:szCs w:val="20"/>
                <w:color w:val="auto"/>
              </w:rPr>
            </w:pPr>
            <w:r>
              <w:rPr>
                <w:rFonts w:ascii="Arial" w:cs="Arial" w:eastAsia="Arial" w:hAnsi="Arial"/>
                <w:sz w:val="17"/>
                <w:szCs w:val="17"/>
                <w:color w:val="auto"/>
              </w:rPr>
              <w:t>101.SCH</w:t>
            </w: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XBRL Taxonomy Schema Document.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214"/>
        </w:trPr>
        <w:tc>
          <w:tcPr>
            <w:tcW w:w="820" w:type="dxa"/>
            <w:vAlign w:val="bottom"/>
            <w:gridSpan w:val="5"/>
          </w:tcPr>
          <w:p>
            <w:pPr>
              <w:spacing w:after="0"/>
              <w:rPr>
                <w:sz w:val="20"/>
                <w:szCs w:val="20"/>
                <w:color w:val="auto"/>
              </w:rPr>
            </w:pPr>
            <w:r>
              <w:rPr>
                <w:rFonts w:ascii="Arial" w:cs="Arial" w:eastAsia="Arial" w:hAnsi="Arial"/>
                <w:sz w:val="17"/>
                <w:szCs w:val="17"/>
                <w:color w:val="auto"/>
              </w:rPr>
              <w:t>101.CAL</w:t>
            </w: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XBRL Taxonomy Extension Calculation Linkbase Document.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214"/>
        </w:trPr>
        <w:tc>
          <w:tcPr>
            <w:tcW w:w="820" w:type="dxa"/>
            <w:vAlign w:val="bottom"/>
            <w:gridSpan w:val="5"/>
          </w:tcPr>
          <w:p>
            <w:pPr>
              <w:spacing w:after="0"/>
              <w:rPr>
                <w:sz w:val="20"/>
                <w:szCs w:val="20"/>
                <w:color w:val="auto"/>
              </w:rPr>
            </w:pPr>
            <w:r>
              <w:rPr>
                <w:rFonts w:ascii="Arial" w:cs="Arial" w:eastAsia="Arial" w:hAnsi="Arial"/>
                <w:sz w:val="17"/>
                <w:szCs w:val="17"/>
                <w:color w:val="auto"/>
              </w:rPr>
              <w:t>101.DEF</w:t>
            </w: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XBRL Taxonomy Extension Definition Linkbase Document.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214"/>
        </w:trPr>
        <w:tc>
          <w:tcPr>
            <w:tcW w:w="820" w:type="dxa"/>
            <w:vAlign w:val="bottom"/>
            <w:gridSpan w:val="5"/>
          </w:tcPr>
          <w:p>
            <w:pPr>
              <w:spacing w:after="0"/>
              <w:rPr>
                <w:sz w:val="20"/>
                <w:szCs w:val="20"/>
                <w:color w:val="auto"/>
              </w:rPr>
            </w:pPr>
            <w:r>
              <w:rPr>
                <w:rFonts w:ascii="Arial" w:cs="Arial" w:eastAsia="Arial" w:hAnsi="Arial"/>
                <w:sz w:val="17"/>
                <w:szCs w:val="17"/>
                <w:color w:val="auto"/>
              </w:rPr>
              <w:t>101.LAB</w:t>
            </w: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XBRL Taxonomy Extension Label Linkbase Document.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214"/>
        </w:trPr>
        <w:tc>
          <w:tcPr>
            <w:tcW w:w="820" w:type="dxa"/>
            <w:vAlign w:val="bottom"/>
            <w:gridSpan w:val="5"/>
          </w:tcPr>
          <w:p>
            <w:pPr>
              <w:spacing w:after="0"/>
              <w:rPr>
                <w:sz w:val="20"/>
                <w:szCs w:val="20"/>
                <w:color w:val="auto"/>
              </w:rPr>
            </w:pPr>
            <w:r>
              <w:rPr>
                <w:rFonts w:ascii="Arial" w:cs="Arial" w:eastAsia="Arial" w:hAnsi="Arial"/>
                <w:sz w:val="17"/>
                <w:szCs w:val="17"/>
                <w:color w:val="auto"/>
              </w:rPr>
              <w:t>101.PRE</w:t>
            </w:r>
          </w:p>
        </w:tc>
        <w:tc>
          <w:tcPr>
            <w:tcW w:w="5800" w:type="dxa"/>
            <w:vAlign w:val="bottom"/>
            <w:gridSpan w:val="3"/>
          </w:tcPr>
          <w:p>
            <w:pPr>
              <w:ind w:left="180"/>
              <w:spacing w:after="0"/>
              <w:rPr>
                <w:sz w:val="20"/>
                <w:szCs w:val="20"/>
                <w:color w:val="auto"/>
              </w:rPr>
            </w:pPr>
            <w:r>
              <w:rPr>
                <w:rFonts w:ascii="Arial" w:cs="Arial" w:eastAsia="Arial" w:hAnsi="Arial"/>
                <w:sz w:val="17"/>
                <w:szCs w:val="17"/>
                <w:color w:val="auto"/>
              </w:rPr>
              <w:t>XBRL Taxonomy Extension Presentation Linkbase Document.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140"/>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00" w:hanging="299"/>
        <w:spacing w:after="0" w:line="234" w:lineRule="auto"/>
        <w:tabs>
          <w:tab w:leader="none" w:pos="316" w:val="left"/>
        </w:tabs>
        <w:numPr>
          <w:ilvl w:val="0"/>
          <w:numId w:val="41"/>
        </w:numPr>
        <w:rPr>
          <w:rFonts w:ascii="Arial" w:cs="Arial" w:eastAsia="Arial" w:hAnsi="Arial"/>
          <w:sz w:val="20"/>
          <w:szCs w:val="20"/>
          <w:color w:val="auto"/>
        </w:rPr>
      </w:pPr>
      <w:r>
        <w:rPr>
          <w:rFonts w:ascii="Arial" w:cs="Arial" w:eastAsia="Arial" w:hAnsi="Arial"/>
          <w:sz w:val="17"/>
          <w:szCs w:val="17"/>
          <w:color w:val="auto"/>
        </w:rPr>
        <w:t>Certain of the exhibits to this Exhibit 10.1 or 10.2, as applicable, have been omitted in accordance with Regulation S-K Item 601. The Registrant agrees to furnish a copy of all omitted exhibits to the SEC upon its request.</w:t>
      </w:r>
    </w:p>
    <w:p>
      <w:pPr>
        <w:spacing w:after="0" w:line="140" w:lineRule="exact"/>
        <w:rPr>
          <w:sz w:val="20"/>
          <w:szCs w:val="20"/>
          <w:color w:val="auto"/>
        </w:rPr>
      </w:pPr>
    </w:p>
    <w:p>
      <w:pPr>
        <w:ind w:left="300" w:hanging="299"/>
        <w:spacing w:after="0" w:line="338" w:lineRule="auto"/>
        <w:tabs>
          <w:tab w:leader="none" w:pos="296"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The certifications furnished in Exhibit 32.1 hereto are deemed to accompany this </w:t>
      </w:r>
      <w:r>
        <w:rPr>
          <w:rFonts w:ascii="Arial" w:cs="Arial" w:eastAsia="Arial" w:hAnsi="Arial"/>
          <w:sz w:val="15"/>
          <w:szCs w:val="15"/>
          <w:color w:val="231F20"/>
        </w:rPr>
        <w:t>Quarterly Report on Form 10-Q</w:t>
      </w:r>
      <w:r>
        <w:rPr>
          <w:rFonts w:ascii="Arial" w:cs="Arial" w:eastAsia="Arial" w:hAnsi="Arial"/>
          <w:sz w:val="15"/>
          <w:szCs w:val="15"/>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63500</wp:posOffset>
            </wp:positionV>
            <wp:extent cx="716661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3" w:lineRule="exact"/>
        <w:rPr>
          <w:sz w:val="20"/>
          <w:szCs w:val="20"/>
          <w:color w:val="auto"/>
        </w:rPr>
      </w:pPr>
    </w:p>
    <w:p>
      <w:pPr>
        <w:ind w:firstLine="605"/>
        <w:spacing w:after="0" w:line="280" w:lineRule="auto"/>
        <w:rPr>
          <w:sz w:val="20"/>
          <w:szCs w:val="20"/>
          <w:color w:val="auto"/>
        </w:rPr>
      </w:pPr>
      <w:r>
        <w:rPr>
          <w:rFonts w:ascii="Arial" w:cs="Arial" w:eastAsia="Arial" w:hAnsi="Arial"/>
          <w:sz w:val="18"/>
          <w:szCs w:val="18"/>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139" w:lineRule="exact"/>
        <w:rPr>
          <w:sz w:val="20"/>
          <w:szCs w:val="20"/>
          <w:color w:val="auto"/>
        </w:rPr>
      </w:pPr>
    </w:p>
    <w:tbl>
      <w:tblPr>
        <w:tblLayout w:type="fixed"/>
        <w:tblInd w:w="1220" w:type="dxa"/>
        <w:tblCellMar>
          <w:top w:w="0" w:type="dxa"/>
          <w:left w:w="0" w:type="dxa"/>
          <w:bottom w:w="0" w:type="dxa"/>
          <w:right w:w="0" w:type="dxa"/>
        </w:tblCellMar>
      </w:tblPr>
      <w:tr>
        <w:trPr>
          <w:trHeight w:val="214"/>
        </w:trPr>
        <w:tc>
          <w:tcPr>
            <w:tcW w:w="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460" w:type="dxa"/>
            <w:vAlign w:val="bottom"/>
            <w:gridSpan w:val="2"/>
          </w:tcPr>
          <w:p>
            <w:pPr>
              <w:ind w:left="1280"/>
              <w:spacing w:after="0"/>
              <w:rPr>
                <w:sz w:val="20"/>
                <w:szCs w:val="20"/>
                <w:color w:val="auto"/>
              </w:rPr>
            </w:pPr>
            <w:r>
              <w:rPr>
                <w:rFonts w:ascii="Arial" w:cs="Arial" w:eastAsia="Arial" w:hAnsi="Arial"/>
                <w:sz w:val="17"/>
                <w:szCs w:val="17"/>
                <w:color w:val="auto"/>
              </w:rPr>
              <w:t>BANDWIDTH INC.</w:t>
            </w:r>
          </w:p>
        </w:tc>
      </w:tr>
      <w:tr>
        <w:trPr>
          <w:trHeight w:val="467"/>
        </w:trPr>
        <w:tc>
          <w:tcPr>
            <w:tcW w:w="760" w:type="dxa"/>
            <w:vAlign w:val="bottom"/>
          </w:tcPr>
          <w:p>
            <w:pPr>
              <w:spacing w:after="0"/>
              <w:rPr>
                <w:sz w:val="20"/>
                <w:szCs w:val="20"/>
                <w:color w:val="auto"/>
              </w:rPr>
            </w:pPr>
            <w:r>
              <w:rPr>
                <w:rFonts w:ascii="Arial" w:cs="Arial" w:eastAsia="Arial" w:hAnsi="Arial"/>
                <w:sz w:val="17"/>
                <w:szCs w:val="17"/>
                <w:color w:val="auto"/>
              </w:rPr>
              <w:t>Date:</w:t>
            </w:r>
          </w:p>
        </w:tc>
        <w:tc>
          <w:tcPr>
            <w:tcW w:w="2740" w:type="dxa"/>
            <w:vAlign w:val="bottom"/>
          </w:tcPr>
          <w:p>
            <w:pPr>
              <w:ind w:left="400"/>
              <w:spacing w:after="0"/>
              <w:rPr>
                <w:sz w:val="20"/>
                <w:szCs w:val="20"/>
                <w:color w:val="auto"/>
              </w:rPr>
            </w:pPr>
            <w:r>
              <w:rPr>
                <w:rFonts w:ascii="Arial" w:cs="Arial" w:eastAsia="Arial" w:hAnsi="Arial"/>
                <w:sz w:val="17"/>
                <w:szCs w:val="17"/>
                <w:color w:val="auto"/>
              </w:rPr>
              <w:t>August 6, 2021</w:t>
            </w:r>
          </w:p>
        </w:tc>
        <w:tc>
          <w:tcPr>
            <w:tcW w:w="1540" w:type="dxa"/>
            <w:vAlign w:val="bottom"/>
          </w:tcPr>
          <w:p>
            <w:pPr>
              <w:ind w:left="1280"/>
              <w:spacing w:after="0"/>
              <w:rPr>
                <w:sz w:val="20"/>
                <w:szCs w:val="20"/>
                <w:color w:val="auto"/>
              </w:rPr>
            </w:pPr>
            <w:r>
              <w:rPr>
                <w:rFonts w:ascii="Arial" w:cs="Arial" w:eastAsia="Arial" w:hAnsi="Arial"/>
                <w:sz w:val="17"/>
                <w:szCs w:val="17"/>
                <w:color w:val="auto"/>
                <w:w w:val="97"/>
              </w:rPr>
              <w:t>By:</w:t>
            </w:r>
          </w:p>
        </w:tc>
        <w:tc>
          <w:tcPr>
            <w:tcW w:w="49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David A. Morken</w:t>
            </w:r>
          </w:p>
        </w:tc>
      </w:tr>
      <w:tr>
        <w:trPr>
          <w:trHeight w:val="207"/>
        </w:trPr>
        <w:tc>
          <w:tcPr>
            <w:tcW w:w="7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920" w:type="dxa"/>
            <w:vAlign w:val="bottom"/>
          </w:tcPr>
          <w:p>
            <w:pPr>
              <w:ind w:left="620"/>
              <w:spacing w:after="0"/>
              <w:rPr>
                <w:sz w:val="20"/>
                <w:szCs w:val="20"/>
                <w:color w:val="auto"/>
              </w:rPr>
            </w:pPr>
            <w:r>
              <w:rPr>
                <w:rFonts w:ascii="Arial" w:cs="Arial" w:eastAsia="Arial" w:hAnsi="Arial"/>
                <w:sz w:val="17"/>
                <w:szCs w:val="17"/>
                <w:color w:val="auto"/>
              </w:rPr>
              <w:t>David A. Morken</w:t>
            </w:r>
          </w:p>
        </w:tc>
      </w:tr>
      <w:tr>
        <w:trPr>
          <w:trHeight w:val="214"/>
        </w:trPr>
        <w:tc>
          <w:tcPr>
            <w:tcW w:w="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920" w:type="dxa"/>
            <w:vAlign w:val="bottom"/>
          </w:tcPr>
          <w:p>
            <w:pPr>
              <w:ind w:left="620"/>
              <w:spacing w:after="0"/>
              <w:rPr>
                <w:sz w:val="20"/>
                <w:szCs w:val="20"/>
                <w:color w:val="auto"/>
              </w:rPr>
            </w:pPr>
            <w:r>
              <w:rPr>
                <w:rFonts w:ascii="Arial" w:cs="Arial" w:eastAsia="Arial" w:hAnsi="Arial"/>
                <w:sz w:val="17"/>
                <w:szCs w:val="17"/>
                <w:color w:val="auto"/>
              </w:rPr>
              <w:t>Chief Executive Officer</w:t>
            </w:r>
          </w:p>
        </w:tc>
      </w:tr>
      <w:tr>
        <w:trPr>
          <w:trHeight w:val="214"/>
        </w:trPr>
        <w:tc>
          <w:tcPr>
            <w:tcW w:w="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920" w:type="dxa"/>
            <w:vAlign w:val="bottom"/>
          </w:tcPr>
          <w:p>
            <w:pPr>
              <w:ind w:left="620"/>
              <w:spacing w:after="0"/>
              <w:rPr>
                <w:sz w:val="20"/>
                <w:szCs w:val="20"/>
                <w:color w:val="auto"/>
              </w:rPr>
            </w:pPr>
            <w:r>
              <w:rPr>
                <w:rFonts w:ascii="Arial" w:cs="Arial" w:eastAsia="Arial" w:hAnsi="Arial"/>
                <w:sz w:val="17"/>
                <w:szCs w:val="17"/>
                <w:color w:val="auto"/>
              </w:rPr>
              <w:t>(Principal Executive Officer)</w:t>
            </w:r>
          </w:p>
        </w:tc>
      </w:tr>
      <w:tr>
        <w:trPr>
          <w:trHeight w:val="429"/>
        </w:trPr>
        <w:tc>
          <w:tcPr>
            <w:tcW w:w="760" w:type="dxa"/>
            <w:vAlign w:val="bottom"/>
          </w:tcPr>
          <w:p>
            <w:pPr>
              <w:spacing w:after="0"/>
              <w:rPr>
                <w:sz w:val="20"/>
                <w:szCs w:val="20"/>
                <w:color w:val="auto"/>
              </w:rPr>
            </w:pPr>
            <w:r>
              <w:rPr>
                <w:rFonts w:ascii="Arial" w:cs="Arial" w:eastAsia="Arial" w:hAnsi="Arial"/>
                <w:sz w:val="17"/>
                <w:szCs w:val="17"/>
                <w:color w:val="auto"/>
              </w:rPr>
              <w:t>Date:</w:t>
            </w:r>
          </w:p>
        </w:tc>
        <w:tc>
          <w:tcPr>
            <w:tcW w:w="2740" w:type="dxa"/>
            <w:vAlign w:val="bottom"/>
          </w:tcPr>
          <w:p>
            <w:pPr>
              <w:ind w:left="400"/>
              <w:spacing w:after="0"/>
              <w:rPr>
                <w:sz w:val="20"/>
                <w:szCs w:val="20"/>
                <w:color w:val="auto"/>
              </w:rPr>
            </w:pPr>
            <w:r>
              <w:rPr>
                <w:rFonts w:ascii="Arial" w:cs="Arial" w:eastAsia="Arial" w:hAnsi="Arial"/>
                <w:sz w:val="17"/>
                <w:szCs w:val="17"/>
                <w:color w:val="auto"/>
              </w:rPr>
              <w:t>August 6, 2021</w:t>
            </w:r>
          </w:p>
        </w:tc>
        <w:tc>
          <w:tcPr>
            <w:tcW w:w="1540" w:type="dxa"/>
            <w:vAlign w:val="bottom"/>
          </w:tcPr>
          <w:p>
            <w:pPr>
              <w:ind w:left="1280"/>
              <w:spacing w:after="0"/>
              <w:rPr>
                <w:sz w:val="20"/>
                <w:szCs w:val="20"/>
                <w:color w:val="auto"/>
              </w:rPr>
            </w:pPr>
            <w:r>
              <w:rPr>
                <w:rFonts w:ascii="Arial" w:cs="Arial" w:eastAsia="Arial" w:hAnsi="Arial"/>
                <w:sz w:val="17"/>
                <w:szCs w:val="17"/>
                <w:color w:val="auto"/>
                <w:w w:val="97"/>
              </w:rPr>
              <w:t>By:</w:t>
            </w:r>
          </w:p>
        </w:tc>
        <w:tc>
          <w:tcPr>
            <w:tcW w:w="492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Jeffrey A. Hoffman</w:t>
            </w:r>
          </w:p>
        </w:tc>
      </w:tr>
      <w:tr>
        <w:trPr>
          <w:trHeight w:val="207"/>
        </w:trPr>
        <w:tc>
          <w:tcPr>
            <w:tcW w:w="7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920" w:type="dxa"/>
            <w:vAlign w:val="bottom"/>
          </w:tcPr>
          <w:p>
            <w:pPr>
              <w:ind w:left="620"/>
              <w:spacing w:after="0"/>
              <w:rPr>
                <w:sz w:val="20"/>
                <w:szCs w:val="20"/>
                <w:color w:val="auto"/>
              </w:rPr>
            </w:pPr>
            <w:r>
              <w:rPr>
                <w:rFonts w:ascii="Arial" w:cs="Arial" w:eastAsia="Arial" w:hAnsi="Arial"/>
                <w:sz w:val="17"/>
                <w:szCs w:val="17"/>
                <w:color w:val="auto"/>
              </w:rPr>
              <w:t>Jeffrey A. Hoffman</w:t>
            </w:r>
          </w:p>
        </w:tc>
      </w:tr>
      <w:tr>
        <w:trPr>
          <w:trHeight w:val="214"/>
        </w:trPr>
        <w:tc>
          <w:tcPr>
            <w:tcW w:w="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920" w:type="dxa"/>
            <w:vAlign w:val="bottom"/>
          </w:tcPr>
          <w:p>
            <w:pPr>
              <w:ind w:left="620"/>
              <w:spacing w:after="0"/>
              <w:rPr>
                <w:sz w:val="20"/>
                <w:szCs w:val="20"/>
                <w:color w:val="auto"/>
              </w:rPr>
            </w:pPr>
            <w:r>
              <w:rPr>
                <w:rFonts w:ascii="Arial" w:cs="Arial" w:eastAsia="Arial" w:hAnsi="Arial"/>
                <w:sz w:val="17"/>
                <w:szCs w:val="17"/>
                <w:color w:val="auto"/>
              </w:rPr>
              <w:t>Chief Financial Officer</w:t>
            </w:r>
          </w:p>
        </w:tc>
      </w:tr>
      <w:tr>
        <w:trPr>
          <w:trHeight w:val="214"/>
        </w:trPr>
        <w:tc>
          <w:tcPr>
            <w:tcW w:w="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920" w:type="dxa"/>
            <w:vAlign w:val="bottom"/>
          </w:tcPr>
          <w:p>
            <w:pPr>
              <w:ind w:left="620"/>
              <w:spacing w:after="0"/>
              <w:rPr>
                <w:sz w:val="20"/>
                <w:szCs w:val="20"/>
                <w:color w:val="auto"/>
              </w:rPr>
            </w:pPr>
            <w:r>
              <w:rPr>
                <w:rFonts w:ascii="Arial" w:cs="Arial" w:eastAsia="Arial" w:hAnsi="Arial"/>
                <w:sz w:val="17"/>
                <w:szCs w:val="17"/>
                <w:color w:val="auto"/>
              </w:rPr>
              <w:t>(Principal Accounting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12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5"/>
          <w:szCs w:val="15"/>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Morken, certify that:</w:t>
      </w:r>
    </w:p>
    <w:p>
      <w:pPr>
        <w:spacing w:after="0" w:line="108" w:lineRule="exact"/>
        <w:rPr>
          <w:sz w:val="20"/>
          <w:szCs w:val="20"/>
          <w:color w:val="auto"/>
        </w:rPr>
      </w:pPr>
    </w:p>
    <w:p>
      <w:pPr>
        <w:ind w:left="600" w:hanging="297"/>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Bandwidth Inc.;</w:t>
      </w:r>
    </w:p>
    <w:p>
      <w:pPr>
        <w:spacing w:after="0" w:line="95" w:lineRule="exact"/>
        <w:rPr>
          <w:rFonts w:ascii="Arial" w:cs="Arial" w:eastAsia="Arial" w:hAnsi="Arial"/>
          <w:sz w:val="18"/>
          <w:szCs w:val="18"/>
          <w:color w:val="auto"/>
        </w:rPr>
      </w:pPr>
    </w:p>
    <w:p>
      <w:pPr>
        <w:jc w:val="both"/>
        <w:ind w:left="600" w:hanging="297"/>
        <w:spacing w:after="0" w:line="264"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00" w:hanging="297"/>
        <w:spacing w:after="0" w:line="311" w:lineRule="auto"/>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7"/>
          <w:szCs w:val="17"/>
          <w:color w:val="auto"/>
        </w:rPr>
      </w:pPr>
    </w:p>
    <w:p>
      <w:pPr>
        <w:jc w:val="both"/>
        <w:ind w:left="600" w:hanging="297"/>
        <w:spacing w:after="0" w:line="264"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1220" w:hanging="311"/>
        <w:spacing w:after="0" w:line="264" w:lineRule="auto"/>
        <w:tabs>
          <w:tab w:leader="none" w:pos="1209"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1220" w:hanging="311"/>
        <w:spacing w:after="0" w:line="264" w:lineRule="auto"/>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220" w:hanging="311"/>
        <w:spacing w:after="0" w:line="337" w:lineRule="auto"/>
        <w:tabs>
          <w:tab w:leader="none" w:pos="1209"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20" w:hanging="311"/>
        <w:spacing w:after="0" w:line="264" w:lineRule="auto"/>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00" w:hanging="297"/>
        <w:spacing w:after="0" w:line="337"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20" w:hanging="311"/>
        <w:spacing w:after="0" w:line="311" w:lineRule="auto"/>
        <w:tabs>
          <w:tab w:leader="none" w:pos="1209"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7"/>
          <w:szCs w:val="17"/>
          <w:color w:val="auto"/>
        </w:rPr>
      </w:pPr>
    </w:p>
    <w:p>
      <w:pPr>
        <w:ind w:left="1220" w:hanging="311"/>
        <w:spacing w:after="0" w:line="280" w:lineRule="auto"/>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15240</wp:posOffset>
            </wp:positionV>
            <wp:extent cx="35464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David A. Morken</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8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5"/>
          <w:szCs w:val="15"/>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Jeffrey A. Hoffman certify that:</w:t>
      </w:r>
    </w:p>
    <w:p>
      <w:pPr>
        <w:spacing w:after="0" w:line="108" w:lineRule="exact"/>
        <w:rPr>
          <w:sz w:val="20"/>
          <w:szCs w:val="20"/>
          <w:color w:val="auto"/>
        </w:rPr>
      </w:pPr>
    </w:p>
    <w:p>
      <w:pPr>
        <w:ind w:left="600" w:hanging="297"/>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Bandwidth Inc.;</w:t>
      </w:r>
    </w:p>
    <w:p>
      <w:pPr>
        <w:spacing w:after="0" w:line="95" w:lineRule="exact"/>
        <w:rPr>
          <w:rFonts w:ascii="Arial" w:cs="Arial" w:eastAsia="Arial" w:hAnsi="Arial"/>
          <w:sz w:val="18"/>
          <w:szCs w:val="18"/>
          <w:color w:val="auto"/>
        </w:rPr>
      </w:pPr>
    </w:p>
    <w:p>
      <w:pPr>
        <w:jc w:val="both"/>
        <w:ind w:left="600" w:hanging="297"/>
        <w:spacing w:after="0" w:line="264"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600" w:hanging="297"/>
        <w:spacing w:after="0" w:line="311"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7"/>
          <w:szCs w:val="17"/>
          <w:color w:val="auto"/>
        </w:rPr>
      </w:pPr>
    </w:p>
    <w:p>
      <w:pPr>
        <w:jc w:val="both"/>
        <w:ind w:left="600" w:hanging="297"/>
        <w:spacing w:after="0" w:line="264"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1220" w:hanging="311"/>
        <w:spacing w:after="0" w:line="264" w:lineRule="auto"/>
        <w:tabs>
          <w:tab w:leader="none" w:pos="12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1220" w:hanging="311"/>
        <w:spacing w:after="0" w:line="264"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220" w:hanging="311"/>
        <w:spacing w:after="0" w:line="337" w:lineRule="auto"/>
        <w:tabs>
          <w:tab w:leader="none" w:pos="1209"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20" w:hanging="311"/>
        <w:spacing w:after="0" w:line="264"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600" w:hanging="297"/>
        <w:spacing w:after="0" w:line="337" w:lineRule="auto"/>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20" w:hanging="311"/>
        <w:spacing w:after="0" w:line="311" w:lineRule="auto"/>
        <w:tabs>
          <w:tab w:leader="none" w:pos="1209"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7"/>
          <w:szCs w:val="17"/>
          <w:color w:val="auto"/>
        </w:rPr>
      </w:pPr>
    </w:p>
    <w:p>
      <w:pPr>
        <w:ind w:left="1220" w:hanging="311"/>
        <w:spacing w:after="0" w:line="280"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15240</wp:posOffset>
            </wp:positionV>
            <wp:extent cx="35464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Jeffrey A. Hoffman</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Accounting and Financial Officer)</w:t>
      </w:r>
    </w:p>
    <w:p>
      <w:pPr>
        <w:sectPr>
          <w:pgSz w:w="11900" w:h="16838" w:orient="portrait"/>
          <w:cols w:equalWidth="0" w:num="1">
            <w:col w:w="11240"/>
          </w:cols>
          <w:pgMar w:left="320" w:top="88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5"/>
          <w:szCs w:val="15"/>
          <w:b w:val="1"/>
          <w:bCs w:val="1"/>
          <w:color w:val="auto"/>
        </w:rPr>
        <w:t>Exhibit 32.1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4" w:lineRule="exact"/>
        <w:rPr>
          <w:sz w:val="20"/>
          <w:szCs w:val="20"/>
          <w:color w:val="auto"/>
        </w:rPr>
      </w:pPr>
    </w:p>
    <w:p>
      <w:pPr>
        <w:jc w:val="both"/>
        <w:ind w:firstLine="605"/>
        <w:spacing w:after="0" w:line="287"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17" w:lineRule="exact"/>
        <w:rPr>
          <w:sz w:val="20"/>
          <w:szCs w:val="20"/>
          <w:color w:val="auto"/>
        </w:rPr>
      </w:pPr>
    </w:p>
    <w:p>
      <w:pPr>
        <w:ind w:left="600" w:hanging="297"/>
        <w:spacing w:after="0" w:line="311" w:lineRule="auto"/>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quarterly period ended June 30, 2021, to which this Certification is attached as Exhibit 32.1 (the “Periodic Report”), fully complies with the requirements of Section 13(a) or Section 15(d) of the Exchange Act; and</w:t>
      </w:r>
    </w:p>
    <w:p>
      <w:pPr>
        <w:spacing w:after="0" w:line="10" w:lineRule="exact"/>
        <w:rPr>
          <w:rFonts w:ascii="Arial" w:cs="Arial" w:eastAsia="Arial" w:hAnsi="Arial"/>
          <w:sz w:val="17"/>
          <w:szCs w:val="17"/>
          <w:color w:val="auto"/>
        </w:rPr>
      </w:pPr>
    </w:p>
    <w:p>
      <w:pPr>
        <w:ind w:left="600" w:hanging="297"/>
        <w:spacing w:after="0" w:line="280"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15240</wp:posOffset>
            </wp:positionV>
            <wp:extent cx="32505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David A. Morken</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15240</wp:posOffset>
            </wp:positionV>
            <wp:extent cx="32505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Jeffrey A. Hoffman</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Accounting and Financial Officer)</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0"/>
    </w:lvl>
  </w:abstractNum>
  <w:abstractNum w:abstractNumId="9">
    <w:nsid w:val="71F32454"/>
    <w:multiLevelType w:val="hybridMultilevel"/>
    <w:lvl w:ilvl="0">
      <w:lvlJc w:val="left"/>
      <w:lvlText w:val="%1."/>
      <w:numFmt w:val="decimal"/>
      <w:start w:val="11"/>
    </w:lvl>
  </w:abstractNum>
  <w:abstractNum w:abstractNumId="10">
    <w:nsid w:val="2CA88611"/>
    <w:multiLevelType w:val="hybridMultilevel"/>
    <w:lvl w:ilvl="0">
      <w:lvlJc w:val="left"/>
      <w:lvlText w:val="%1."/>
      <w:numFmt w:val="decimal"/>
      <w:start w:val="12"/>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upperLetter"/>
      <w:start w:val="4"/>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11" Type="http://schemas.openxmlformats.org/officeDocument/2006/relationships/hyperlink" Target="http://www.sec.gov/Archives/edgar/data/1514416/000151441617000006/a10qq32017exhibit31.htm" TargetMode="External"/><Relationship Id="rId112" Type="http://schemas.openxmlformats.org/officeDocument/2006/relationships/hyperlink" Target="http://www.sec.gov/Archives/edgar/data/1514416/000151441617000006/a10qq32017exhibit32.htm" TargetMode="External"/><Relationship Id="rId113" Type="http://schemas.openxmlformats.org/officeDocument/2006/relationships/hyperlink" Target="http://www.sec.gov/Archives/edgar/data/1514416/000151441621000176/q22021exh101-purchaseandsa.htm" TargetMode="External"/><Relationship Id="rId114" Type="http://schemas.openxmlformats.org/officeDocument/2006/relationships/hyperlink" Target="http://www.sec.gov/Archives/edgar/data/1514416/000151441621000176/q22021exh102-leaseagreement.htm" TargetMode="External"/><Relationship Id="rId115" Type="http://schemas.openxmlformats.org/officeDocument/2006/relationships/hyperlink" Target="http://www.sec.gov/Archives/edgar/data/1514416/000151441621000176/q22021exh103-escrowagreeme.htm" TargetMode="External"/><Relationship Id="rId116" Type="http://schemas.openxmlformats.org/officeDocument/2006/relationships/hyperlink" Target="http://www.sec.gov/Archives/edgar/data/0001514416/000119312521210812/d11622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2021-08-06T06:16:13Z</dcterms:created>
  <dcterms:modified xsi:type="dcterms:W3CDTF">2021-08-06T06:16:13Z</dcterms:modified>
</cp:coreProperties>
</file>