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0001758209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Roush Lukas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 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139050.00</w:t>
            </w:r>
          </w:p>
        </w:tc>
        <w:tc>
          <w:tcPr>
            <w:tcW w:w="1556" w:type="dxa"/>
            <w:tcBorders/>
            <w:vAlign w:val="center"/>
          </w:tcPr>
          <w:p>
            <w:pPr>
              <w:pStyle w:val="TableContents"/>
              <w:bidi w:val="0"/>
              <w:spacing w:before="0" w:after="283"/>
              <w:jc w:val="left"/>
              <w:rPr/>
            </w:pPr>
            <w:r>
              <w:rPr/>
              <w:t>30222760</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11/28/2024</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11/28/2024</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065"/>
        <w:gridCol w:w="7140"/>
      </w:tblGrid>
      <w:tr>
        <w:trPr/>
        <w:tc>
          <w:tcPr>
            <w:tcW w:w="3065" w:type="dxa"/>
            <w:tcBorders/>
            <w:vAlign w:val="center"/>
          </w:tcPr>
          <w:p>
            <w:pPr>
              <w:pStyle w:val="TableContents"/>
              <w:bidi w:val="0"/>
              <w:spacing w:before="0" w:after="283"/>
              <w:jc w:val="left"/>
              <w:rPr/>
            </w:pPr>
            <w:r>
              <w:rPr/>
              <w:t>Remarks</w:t>
            </w:r>
          </w:p>
        </w:tc>
        <w:tc>
          <w:tcPr>
            <w:tcW w:w="7140" w:type="dxa"/>
            <w:tcBorders/>
            <w:vAlign w:val="center"/>
          </w:tcPr>
          <w:p>
            <w:pPr>
              <w:pStyle w:val="TableContents"/>
              <w:bidi w:val="0"/>
              <w:spacing w:before="0" w:after="0"/>
              <w:jc w:val="left"/>
              <w:rPr/>
            </w:pPr>
            <w:r>
              <w:rPr/>
              <w:t>The shares covered by this filing are RSUs that vested 11/28/2024. The shares covered by this filing may be sold within the next three months pursuant to the Rule10b5-1 plan adopted by the Reporting Person on May 28, 2026.</w:t>
            </w:r>
          </w:p>
        </w:tc>
      </w:tr>
      <w:tr>
        <w:trPr/>
        <w:tc>
          <w:tcPr>
            <w:tcW w:w="3065" w:type="dxa"/>
            <w:tcBorders/>
            <w:vAlign w:val="center"/>
          </w:tcPr>
          <w:p>
            <w:pPr>
              <w:pStyle w:val="TableContents"/>
              <w:bidi w:val="0"/>
              <w:spacing w:before="0" w:after="283"/>
              <w:jc w:val="left"/>
              <w:rPr/>
            </w:pPr>
            <w:r>
              <w:rPr/>
              <w:t>Date of Notice</w:t>
            </w:r>
          </w:p>
        </w:tc>
        <w:tc>
          <w:tcPr>
            <w:tcW w:w="7140" w:type="dxa"/>
            <w:tcBorders/>
            <w:vAlign w:val="center"/>
          </w:tcPr>
          <w:p>
            <w:pPr>
              <w:pStyle w:val="TableContents"/>
              <w:bidi w:val="0"/>
              <w:spacing w:before="0" w:after="0"/>
              <w:jc w:val="left"/>
              <w:rPr/>
            </w:pPr>
            <w:r>
              <w:rPr/>
              <w:t>08/27/2026</w:t>
            </w:r>
          </w:p>
        </w:tc>
      </w:tr>
      <w:tr>
        <w:trPr/>
        <w:tc>
          <w:tcPr>
            <w:tcW w:w="3065" w:type="dxa"/>
            <w:tcBorders/>
            <w:vAlign w:val="center"/>
          </w:tcPr>
          <w:p>
            <w:pPr>
              <w:pStyle w:val="TableContents"/>
              <w:bidi w:val="0"/>
              <w:spacing w:before="0" w:after="283"/>
              <w:jc w:val="left"/>
              <w:rPr/>
            </w:pPr>
            <w:r>
              <w:rPr/>
              <w:t>Date of Plan Adoption or Giving of Instruction, If Relying on Rule 10b5-1</w:t>
            </w:r>
          </w:p>
        </w:tc>
        <w:tc>
          <w:tcPr>
            <w:tcW w:w="7140"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65" w:type="dxa"/>
            <w:tcBorders/>
            <w:vAlign w:val="center"/>
          </w:tcPr>
          <w:p>
            <w:pPr>
              <w:pStyle w:val="TableContents"/>
              <w:bidi w:val="0"/>
              <w:spacing w:before="0" w:after="283"/>
              <w:jc w:val="left"/>
              <w:rPr/>
            </w:pPr>
            <w:r>
              <w:rPr/>
              <w:t>Signature</w:t>
            </w:r>
          </w:p>
        </w:tc>
        <w:tc>
          <w:tcPr>
            <w:tcW w:w="7140" w:type="dxa"/>
            <w:tcBorders/>
            <w:vAlign w:val="center"/>
          </w:tcPr>
          <w:p>
            <w:pPr>
              <w:pStyle w:val="TableContents"/>
              <w:bidi w:val="0"/>
              <w:spacing w:before="0" w:after="0"/>
              <w:jc w:val="left"/>
              <w:rPr/>
            </w:pPr>
            <w:r>
              <w:rPr/>
              <w:t>/s/ Lukas M. Roush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3173</Characters>
  <CharactersWithSpaces>3751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