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19, 2026</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64770</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21590</wp:posOffset>
            </wp:positionV>
            <wp:extent cx="71062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4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BANDWIDTH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4"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96" w:lineRule="exact"/>
        <w:rPr>
          <w:sz w:val="24"/>
          <w:szCs w:val="24"/>
          <w:color w:val="auto"/>
        </w:rPr>
      </w:pPr>
    </w:p>
    <w:tbl>
      <w:tblPr>
        <w:tblLayout w:type="fixed"/>
        <w:tblInd w:w="1840" w:type="dxa"/>
        <w:tblCellMar>
          <w:top w:w="0" w:type="dxa"/>
          <w:left w:w="0" w:type="dxa"/>
          <w:bottom w:w="0" w:type="dxa"/>
          <w:right w:w="0" w:type="dxa"/>
        </w:tblCellMar>
      </w:tblPr>
      <w:tr>
        <w:trPr>
          <w:trHeight w:val="227"/>
        </w:trPr>
        <w:tc>
          <w:tcPr>
            <w:tcW w:w="2160" w:type="dxa"/>
            <w:vAlign w:val="bottom"/>
          </w:tcPr>
          <w:p>
            <w:pPr>
              <w:jc w:val="center"/>
              <w:ind w:right="22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00" w:type="dxa"/>
            <w:vAlign w:val="bottom"/>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56-2242657</w:t>
            </w:r>
          </w:p>
        </w:tc>
      </w:tr>
      <w:tr>
        <w:trPr>
          <w:trHeight w:val="148"/>
        </w:trPr>
        <w:tc>
          <w:tcPr>
            <w:tcW w:w="2160" w:type="dxa"/>
            <w:vAlign w:val="bottom"/>
          </w:tcPr>
          <w:p>
            <w:pPr>
              <w:jc w:val="center"/>
              <w:ind w:right="2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300" w:type="dxa"/>
            <w:vAlign w:val="bottom"/>
          </w:tcPr>
          <w:p>
            <w:pPr>
              <w:jc w:val="center"/>
              <w:ind w:left="349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300" w:type="dxa"/>
            <w:vAlign w:val="bottom"/>
          </w:tcPr>
          <w:p>
            <w:pPr>
              <w:jc w:val="center"/>
              <w:ind w:left="351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18"/>
        </w:trPr>
        <w:tc>
          <w:tcPr>
            <w:tcW w:w="2160" w:type="dxa"/>
            <w:vAlign w:val="bottom"/>
          </w:tcPr>
          <w:p>
            <w:pPr>
              <w:spacing w:after="0"/>
              <w:rPr>
                <w:sz w:val="24"/>
                <w:szCs w:val="24"/>
                <w:color w:val="auto"/>
              </w:rPr>
            </w:pPr>
          </w:p>
        </w:tc>
        <w:tc>
          <w:tcPr>
            <w:tcW w:w="530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rPr>
              <w:t>2230 Bandmate Way</w:t>
            </w:r>
          </w:p>
        </w:tc>
      </w:tr>
      <w:tr>
        <w:trPr>
          <w:trHeight w:val="189"/>
        </w:trPr>
        <w:tc>
          <w:tcPr>
            <w:tcW w:w="2160" w:type="dxa"/>
            <w:vAlign w:val="bottom"/>
          </w:tcPr>
          <w:p>
            <w:pPr>
              <w:spacing w:after="0"/>
              <w:rPr>
                <w:sz w:val="16"/>
                <w:szCs w:val="16"/>
                <w:color w:val="auto"/>
              </w:rPr>
            </w:pPr>
          </w:p>
        </w:tc>
        <w:tc>
          <w:tcPr>
            <w:tcW w:w="530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rPr>
              <w:t>Raleigh, NC 27607</w:t>
            </w:r>
          </w:p>
        </w:tc>
      </w:tr>
      <w:tr>
        <w:trPr>
          <w:trHeight w:val="212"/>
        </w:trPr>
        <w:tc>
          <w:tcPr>
            <w:tcW w:w="74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rPr>
              <w:t>(Address, including zip code of principal executive offices)</w:t>
            </w:r>
          </w:p>
        </w:tc>
      </w:tr>
      <w:tr>
        <w:trPr>
          <w:trHeight w:val="287"/>
        </w:trPr>
        <w:tc>
          <w:tcPr>
            <w:tcW w:w="74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rPr>
              <w:t>Bandwidth Inc. Third Amended and Restated 2017 Incentive Award Plan</w:t>
            </w:r>
          </w:p>
        </w:tc>
      </w:tr>
      <w:tr>
        <w:trPr>
          <w:trHeight w:val="212"/>
        </w:trPr>
        <w:tc>
          <w:tcPr>
            <w:tcW w:w="2160" w:type="dxa"/>
            <w:vAlign w:val="bottom"/>
          </w:tcPr>
          <w:p>
            <w:pPr>
              <w:spacing w:after="0"/>
              <w:rPr>
                <w:sz w:val="18"/>
                <w:szCs w:val="18"/>
                <w:color w:val="auto"/>
              </w:rPr>
            </w:pPr>
          </w:p>
        </w:tc>
        <w:tc>
          <w:tcPr>
            <w:tcW w:w="530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rPr>
              <w:t>(Full title of the plan)</w:t>
            </w:r>
          </w:p>
        </w:tc>
      </w:tr>
      <w:tr>
        <w:trPr>
          <w:trHeight w:val="274"/>
        </w:trPr>
        <w:tc>
          <w:tcPr>
            <w:tcW w:w="2160" w:type="dxa"/>
            <w:vAlign w:val="bottom"/>
          </w:tcPr>
          <w:p>
            <w:pPr>
              <w:spacing w:after="0"/>
              <w:rPr>
                <w:sz w:val="23"/>
                <w:szCs w:val="23"/>
                <w:color w:val="auto"/>
              </w:rPr>
            </w:pPr>
          </w:p>
        </w:tc>
        <w:tc>
          <w:tcPr>
            <w:tcW w:w="530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rPr>
              <w:t>David A. Morken</w:t>
            </w:r>
          </w:p>
        </w:tc>
      </w:tr>
      <w:tr>
        <w:trPr>
          <w:trHeight w:val="203"/>
        </w:trPr>
        <w:tc>
          <w:tcPr>
            <w:tcW w:w="2160" w:type="dxa"/>
            <w:vAlign w:val="bottom"/>
          </w:tcPr>
          <w:p>
            <w:pPr>
              <w:spacing w:after="0"/>
              <w:rPr>
                <w:sz w:val="17"/>
                <w:szCs w:val="17"/>
                <w:color w:val="auto"/>
              </w:rPr>
            </w:pPr>
          </w:p>
        </w:tc>
        <w:tc>
          <w:tcPr>
            <w:tcW w:w="530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rPr>
              <w:t>Chairman and Chief Executive Officer</w:t>
            </w:r>
          </w:p>
        </w:tc>
      </w:tr>
      <w:tr>
        <w:trPr>
          <w:trHeight w:val="189"/>
        </w:trPr>
        <w:tc>
          <w:tcPr>
            <w:tcW w:w="2160" w:type="dxa"/>
            <w:vAlign w:val="bottom"/>
          </w:tcPr>
          <w:p>
            <w:pPr>
              <w:spacing w:after="0"/>
              <w:rPr>
                <w:sz w:val="16"/>
                <w:szCs w:val="16"/>
                <w:color w:val="auto"/>
              </w:rPr>
            </w:pPr>
          </w:p>
        </w:tc>
        <w:tc>
          <w:tcPr>
            <w:tcW w:w="530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rPr>
              <w:t>Bandwidth Inc.</w:t>
            </w:r>
          </w:p>
        </w:tc>
      </w:tr>
      <w:tr>
        <w:trPr>
          <w:trHeight w:val="203"/>
        </w:trPr>
        <w:tc>
          <w:tcPr>
            <w:tcW w:w="2160" w:type="dxa"/>
            <w:vAlign w:val="bottom"/>
          </w:tcPr>
          <w:p>
            <w:pPr>
              <w:spacing w:after="0"/>
              <w:rPr>
                <w:sz w:val="17"/>
                <w:szCs w:val="17"/>
                <w:color w:val="auto"/>
              </w:rPr>
            </w:pPr>
          </w:p>
        </w:tc>
        <w:tc>
          <w:tcPr>
            <w:tcW w:w="530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rPr>
              <w:t>2230 Bandmate Way</w:t>
            </w:r>
          </w:p>
        </w:tc>
      </w:tr>
      <w:tr>
        <w:trPr>
          <w:trHeight w:val="189"/>
        </w:trPr>
        <w:tc>
          <w:tcPr>
            <w:tcW w:w="2160" w:type="dxa"/>
            <w:vAlign w:val="bottom"/>
          </w:tcPr>
          <w:p>
            <w:pPr>
              <w:spacing w:after="0"/>
              <w:rPr>
                <w:sz w:val="16"/>
                <w:szCs w:val="16"/>
                <w:color w:val="auto"/>
              </w:rPr>
            </w:pPr>
          </w:p>
        </w:tc>
        <w:tc>
          <w:tcPr>
            <w:tcW w:w="5300" w:type="dxa"/>
            <w:vAlign w:val="bottom"/>
          </w:tcPr>
          <w:p>
            <w:pPr>
              <w:jc w:val="center"/>
              <w:ind w:right="1979"/>
              <w:spacing w:after="0"/>
              <w:rPr>
                <w:sz w:val="20"/>
                <w:szCs w:val="20"/>
                <w:color w:val="auto"/>
              </w:rPr>
            </w:pPr>
            <w:r>
              <w:rPr>
                <w:rFonts w:ascii="Times New Roman" w:cs="Times New Roman" w:eastAsia="Times New Roman" w:hAnsi="Times New Roman"/>
                <w:sz w:val="16"/>
                <w:szCs w:val="16"/>
                <w:b w:val="1"/>
                <w:bCs w:val="1"/>
                <w:color w:val="auto"/>
              </w:rPr>
              <w:t>Raleigh, NC 27607</w:t>
            </w:r>
          </w:p>
        </w:tc>
      </w:tr>
      <w:tr>
        <w:trPr>
          <w:trHeight w:val="189"/>
        </w:trPr>
        <w:tc>
          <w:tcPr>
            <w:tcW w:w="2160" w:type="dxa"/>
            <w:vAlign w:val="bottom"/>
          </w:tcPr>
          <w:p>
            <w:pPr>
              <w:spacing w:after="0"/>
              <w:rPr>
                <w:sz w:val="16"/>
                <w:szCs w:val="16"/>
                <w:color w:val="auto"/>
              </w:rPr>
            </w:pPr>
          </w:p>
        </w:tc>
        <w:tc>
          <w:tcPr>
            <w:tcW w:w="5300" w:type="dxa"/>
            <w:vAlign w:val="bottom"/>
          </w:tcPr>
          <w:p>
            <w:pPr>
              <w:jc w:val="right"/>
              <w:ind w:right="3079"/>
              <w:spacing w:after="0"/>
              <w:rPr>
                <w:sz w:val="20"/>
                <w:szCs w:val="20"/>
                <w:color w:val="auto"/>
              </w:rPr>
            </w:pPr>
            <w:r>
              <w:rPr>
                <w:rFonts w:ascii="Times New Roman" w:cs="Times New Roman" w:eastAsia="Times New Roman" w:hAnsi="Times New Roman"/>
                <w:sz w:val="16"/>
                <w:szCs w:val="16"/>
                <w:b w:val="1"/>
                <w:bCs w:val="1"/>
                <w:color w:val="auto"/>
              </w:rPr>
              <w:t>(800) 808-5150</w:t>
            </w:r>
          </w:p>
        </w:tc>
      </w:tr>
      <w:tr>
        <w:trPr>
          <w:trHeight w:val="212"/>
        </w:trPr>
        <w:tc>
          <w:tcPr>
            <w:tcW w:w="74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rPr>
              <w:t>(Name, address and telephone number of agent for service)</w:t>
            </w:r>
          </w:p>
        </w:tc>
      </w:tr>
      <w:tr>
        <w:trPr>
          <w:trHeight w:val="187"/>
        </w:trPr>
        <w:tc>
          <w:tcPr>
            <w:tcW w:w="7460" w:type="dxa"/>
            <w:vAlign w:val="bottom"/>
            <w:gridSpan w:val="2"/>
          </w:tcPr>
          <w:p>
            <w:pPr>
              <w:jc w:val="right"/>
              <w:ind w:right="919"/>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tc>
      </w:tr>
      <w:tr>
        <w:trPr>
          <w:trHeight w:val="279"/>
        </w:trPr>
        <w:tc>
          <w:tcPr>
            <w:tcW w:w="2160" w:type="dxa"/>
            <w:vAlign w:val="bottom"/>
          </w:tcPr>
          <w:p>
            <w:pPr>
              <w:spacing w:after="0"/>
              <w:rPr>
                <w:sz w:val="24"/>
                <w:szCs w:val="24"/>
                <w:color w:val="auto"/>
              </w:rPr>
            </w:pPr>
          </w:p>
        </w:tc>
        <w:tc>
          <w:tcPr>
            <w:tcW w:w="5300" w:type="dxa"/>
            <w:vAlign w:val="bottom"/>
          </w:tcPr>
          <w:p>
            <w:pPr>
              <w:jc w:val="center"/>
              <w:ind w:right="1959"/>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r>
      <w:tr>
        <w:trPr>
          <w:trHeight w:val="189"/>
        </w:trPr>
        <w:tc>
          <w:tcPr>
            <w:tcW w:w="2160" w:type="dxa"/>
            <w:vAlign w:val="bottom"/>
          </w:tcPr>
          <w:p>
            <w:pPr>
              <w:jc w:val="center"/>
              <w:ind w:right="242"/>
              <w:spacing w:after="0"/>
              <w:rPr>
                <w:sz w:val="20"/>
                <w:szCs w:val="20"/>
                <w:color w:val="auto"/>
              </w:rPr>
            </w:pPr>
            <w:r>
              <w:rPr>
                <w:rFonts w:ascii="Times New Roman" w:cs="Times New Roman" w:eastAsia="Times New Roman" w:hAnsi="Times New Roman"/>
                <w:sz w:val="16"/>
                <w:szCs w:val="16"/>
                <w:b w:val="1"/>
                <w:bCs w:val="1"/>
                <w:color w:val="auto"/>
              </w:rPr>
              <w:t>R. Brandon Asbill, Esq.</w:t>
            </w:r>
          </w:p>
        </w:tc>
        <w:tc>
          <w:tcPr>
            <w:tcW w:w="5300" w:type="dxa"/>
            <w:vAlign w:val="bottom"/>
          </w:tcPr>
          <w:p>
            <w:pPr>
              <w:jc w:val="center"/>
              <w:ind w:left="3519"/>
              <w:spacing w:after="0"/>
              <w:rPr>
                <w:sz w:val="20"/>
                <w:szCs w:val="20"/>
                <w:color w:val="auto"/>
              </w:rPr>
            </w:pPr>
            <w:r>
              <w:rPr>
                <w:rFonts w:ascii="Times New Roman" w:cs="Times New Roman" w:eastAsia="Times New Roman" w:hAnsi="Times New Roman"/>
                <w:sz w:val="16"/>
                <w:szCs w:val="16"/>
                <w:b w:val="1"/>
                <w:bCs w:val="1"/>
                <w:color w:val="auto"/>
              </w:rPr>
              <w:t>Michael Benjamin, Esq.</w:t>
            </w:r>
          </w:p>
        </w:tc>
      </w:tr>
      <w:tr>
        <w:trPr>
          <w:trHeight w:val="162"/>
        </w:trPr>
        <w:tc>
          <w:tcPr>
            <w:tcW w:w="2160" w:type="dxa"/>
            <w:vAlign w:val="bottom"/>
          </w:tcPr>
          <w:p>
            <w:pPr>
              <w:jc w:val="center"/>
              <w:ind w:right="222"/>
              <w:spacing w:after="0" w:line="162" w:lineRule="exact"/>
              <w:rPr>
                <w:sz w:val="20"/>
                <w:szCs w:val="20"/>
                <w:color w:val="auto"/>
              </w:rPr>
            </w:pPr>
            <w:r>
              <w:rPr>
                <w:rFonts w:ascii="Times New Roman" w:cs="Times New Roman" w:eastAsia="Times New Roman" w:hAnsi="Times New Roman"/>
                <w:sz w:val="16"/>
                <w:szCs w:val="16"/>
                <w:b w:val="1"/>
                <w:bCs w:val="1"/>
                <w:color w:val="auto"/>
                <w:w w:val="99"/>
              </w:rPr>
              <w:t>General Counsel</w:t>
            </w:r>
          </w:p>
        </w:tc>
        <w:tc>
          <w:tcPr>
            <w:tcW w:w="5300" w:type="dxa"/>
            <w:vAlign w:val="bottom"/>
          </w:tcPr>
          <w:p>
            <w:pPr>
              <w:jc w:val="center"/>
              <w:ind w:left="3519"/>
              <w:spacing w:after="0" w:line="162" w:lineRule="exact"/>
              <w:rPr>
                <w:sz w:val="20"/>
                <w:szCs w:val="20"/>
                <w:color w:val="auto"/>
              </w:rPr>
            </w:pPr>
            <w:r>
              <w:rPr>
                <w:rFonts w:ascii="Times New Roman" w:cs="Times New Roman" w:eastAsia="Times New Roman" w:hAnsi="Times New Roman"/>
                <w:sz w:val="16"/>
                <w:szCs w:val="16"/>
                <w:b w:val="1"/>
                <w:bCs w:val="1"/>
                <w:color w:val="auto"/>
              </w:rPr>
              <w:t>Jessica Lennon, Esq.</w:t>
            </w:r>
          </w:p>
        </w:tc>
      </w:tr>
      <w:tr>
        <w:trPr>
          <w:trHeight w:val="162"/>
        </w:trPr>
        <w:tc>
          <w:tcPr>
            <w:tcW w:w="2160" w:type="dxa"/>
            <w:vAlign w:val="bottom"/>
          </w:tcPr>
          <w:p>
            <w:pPr>
              <w:jc w:val="center"/>
              <w:ind w:right="222"/>
              <w:spacing w:after="0" w:line="162" w:lineRule="exact"/>
              <w:rPr>
                <w:sz w:val="20"/>
                <w:szCs w:val="20"/>
                <w:color w:val="auto"/>
              </w:rPr>
            </w:pPr>
            <w:r>
              <w:rPr>
                <w:rFonts w:ascii="Times New Roman" w:cs="Times New Roman" w:eastAsia="Times New Roman" w:hAnsi="Times New Roman"/>
                <w:sz w:val="16"/>
                <w:szCs w:val="16"/>
                <w:b w:val="1"/>
                <w:bCs w:val="1"/>
                <w:color w:val="auto"/>
              </w:rPr>
              <w:t>Bandwidth Inc.</w:t>
            </w:r>
          </w:p>
        </w:tc>
        <w:tc>
          <w:tcPr>
            <w:tcW w:w="5300" w:type="dxa"/>
            <w:vAlign w:val="bottom"/>
          </w:tcPr>
          <w:p>
            <w:pPr>
              <w:jc w:val="center"/>
              <w:ind w:left="3519"/>
              <w:spacing w:after="0" w:line="162" w:lineRule="exact"/>
              <w:rPr>
                <w:sz w:val="20"/>
                <w:szCs w:val="20"/>
                <w:color w:val="auto"/>
              </w:rPr>
            </w:pPr>
            <w:r>
              <w:rPr>
                <w:rFonts w:ascii="Times New Roman" w:cs="Times New Roman" w:eastAsia="Times New Roman" w:hAnsi="Times New Roman"/>
                <w:sz w:val="16"/>
                <w:szCs w:val="16"/>
                <w:b w:val="1"/>
                <w:bCs w:val="1"/>
                <w:color w:val="auto"/>
              </w:rPr>
              <w:t>Latham &amp; Watkins LLP</w:t>
            </w:r>
          </w:p>
        </w:tc>
      </w:tr>
      <w:tr>
        <w:trPr>
          <w:trHeight w:val="162"/>
        </w:trPr>
        <w:tc>
          <w:tcPr>
            <w:tcW w:w="2160" w:type="dxa"/>
            <w:vAlign w:val="bottom"/>
          </w:tcPr>
          <w:p>
            <w:pPr>
              <w:jc w:val="center"/>
              <w:ind w:right="222"/>
              <w:spacing w:after="0" w:line="162" w:lineRule="exact"/>
              <w:rPr>
                <w:sz w:val="20"/>
                <w:szCs w:val="20"/>
                <w:color w:val="auto"/>
              </w:rPr>
            </w:pPr>
            <w:r>
              <w:rPr>
                <w:rFonts w:ascii="Times New Roman" w:cs="Times New Roman" w:eastAsia="Times New Roman" w:hAnsi="Times New Roman"/>
                <w:sz w:val="16"/>
                <w:szCs w:val="16"/>
                <w:b w:val="1"/>
                <w:bCs w:val="1"/>
                <w:color w:val="auto"/>
                <w:w w:val="99"/>
              </w:rPr>
              <w:t>2230 Bandmate Way</w:t>
            </w:r>
          </w:p>
        </w:tc>
        <w:tc>
          <w:tcPr>
            <w:tcW w:w="5300" w:type="dxa"/>
            <w:vAlign w:val="bottom"/>
          </w:tcPr>
          <w:p>
            <w:pPr>
              <w:jc w:val="center"/>
              <w:ind w:left="3499"/>
              <w:spacing w:after="0" w:line="162" w:lineRule="exact"/>
              <w:rPr>
                <w:sz w:val="20"/>
                <w:szCs w:val="20"/>
                <w:color w:val="auto"/>
              </w:rPr>
            </w:pPr>
            <w:r>
              <w:rPr>
                <w:rFonts w:ascii="Times New Roman" w:cs="Times New Roman" w:eastAsia="Times New Roman" w:hAnsi="Times New Roman"/>
                <w:sz w:val="16"/>
                <w:szCs w:val="16"/>
                <w:b w:val="1"/>
                <w:bCs w:val="1"/>
                <w:color w:val="auto"/>
              </w:rPr>
              <w:t>885 Third Avenue</w:t>
            </w:r>
          </w:p>
        </w:tc>
      </w:tr>
      <w:tr>
        <w:trPr>
          <w:trHeight w:val="162"/>
        </w:trPr>
        <w:tc>
          <w:tcPr>
            <w:tcW w:w="2160" w:type="dxa"/>
            <w:vAlign w:val="bottom"/>
          </w:tcPr>
          <w:p>
            <w:pPr>
              <w:jc w:val="center"/>
              <w:ind w:right="222"/>
              <w:spacing w:after="0" w:line="162" w:lineRule="exact"/>
              <w:rPr>
                <w:sz w:val="20"/>
                <w:szCs w:val="20"/>
                <w:color w:val="auto"/>
              </w:rPr>
            </w:pPr>
            <w:r>
              <w:rPr>
                <w:rFonts w:ascii="Times New Roman" w:cs="Times New Roman" w:eastAsia="Times New Roman" w:hAnsi="Times New Roman"/>
                <w:sz w:val="16"/>
                <w:szCs w:val="16"/>
                <w:b w:val="1"/>
                <w:bCs w:val="1"/>
                <w:color w:val="auto"/>
              </w:rPr>
              <w:t>Raleigh, NC 27607</w:t>
            </w:r>
          </w:p>
        </w:tc>
        <w:tc>
          <w:tcPr>
            <w:tcW w:w="5300" w:type="dxa"/>
            <w:vAlign w:val="bottom"/>
          </w:tcPr>
          <w:p>
            <w:pPr>
              <w:jc w:val="center"/>
              <w:ind w:left="3519"/>
              <w:spacing w:after="0" w:line="162" w:lineRule="exact"/>
              <w:rPr>
                <w:sz w:val="20"/>
                <w:szCs w:val="20"/>
                <w:color w:val="auto"/>
              </w:rPr>
            </w:pPr>
            <w:r>
              <w:rPr>
                <w:rFonts w:ascii="Times New Roman" w:cs="Times New Roman" w:eastAsia="Times New Roman" w:hAnsi="Times New Roman"/>
                <w:sz w:val="16"/>
                <w:szCs w:val="16"/>
                <w:b w:val="1"/>
                <w:bCs w:val="1"/>
                <w:color w:val="auto"/>
              </w:rPr>
              <w:t>New York, NY 10022</w:t>
            </w:r>
          </w:p>
        </w:tc>
      </w:tr>
      <w:tr>
        <w:trPr>
          <w:trHeight w:val="212"/>
        </w:trPr>
        <w:tc>
          <w:tcPr>
            <w:tcW w:w="2160" w:type="dxa"/>
            <w:vAlign w:val="bottom"/>
          </w:tcPr>
          <w:p>
            <w:pPr>
              <w:jc w:val="center"/>
              <w:ind w:right="222"/>
              <w:spacing w:after="0"/>
              <w:rPr>
                <w:sz w:val="20"/>
                <w:szCs w:val="20"/>
                <w:color w:val="auto"/>
              </w:rPr>
            </w:pPr>
            <w:r>
              <w:rPr>
                <w:rFonts w:ascii="Times New Roman" w:cs="Times New Roman" w:eastAsia="Times New Roman" w:hAnsi="Times New Roman"/>
                <w:sz w:val="16"/>
                <w:szCs w:val="16"/>
                <w:b w:val="1"/>
                <w:bCs w:val="1"/>
                <w:color w:val="auto"/>
              </w:rPr>
              <w:t>(800) 808-5150</w:t>
            </w:r>
          </w:p>
        </w:tc>
        <w:tc>
          <w:tcPr>
            <w:tcW w:w="53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(212) 906-1200</w:t>
            </w:r>
          </w:p>
        </w:tc>
      </w:tr>
    </w:tbl>
    <w:p>
      <w:pPr>
        <w:spacing w:after="0" w:line="150"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pacing w:after="0" w:line="78" w:lineRule="exact"/>
        <w:rPr>
          <w:sz w:val="24"/>
          <w:szCs w:val="24"/>
          <w:color w:val="auto"/>
        </w:rPr>
      </w:pPr>
    </w:p>
    <w:p>
      <w:pPr>
        <w:ind w:right="120"/>
        <w:spacing w:after="0" w:line="25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466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Accelerated filer</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1"/>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466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tc>
        <w:tc>
          <w:tcPr>
            <w:tcW w:w="326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466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32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50" w:lineRule="exact"/>
        <w:rPr>
          <w:sz w:val="24"/>
          <w:szCs w:val="24"/>
          <w:color w:val="auto"/>
        </w:rPr>
      </w:pPr>
    </w:p>
    <w:p>
      <w:pPr>
        <w:ind w:right="580"/>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36"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w:t>
      </w:r>
    </w:p>
    <w:p>
      <w:pPr>
        <w:sectPr>
          <w:pgSz w:w="11900" w:h="16838" w:orient="portrait"/>
          <w:cols w:equalWidth="0" w:num="1">
            <w:col w:w="11240"/>
          </w:cols>
          <w:pgMar w:left="320" w:top="102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SECURITIES</w:t>
      </w:r>
    </w:p>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purpose of this Registration Statement is to register 2,033,710 additional shares of Class A common stock, $0.001 par value per share (the “</w:t>
      </w:r>
      <w:r>
        <w:rPr>
          <w:rFonts w:ascii="Times New Roman" w:cs="Times New Roman" w:eastAsia="Times New Roman" w:hAnsi="Times New Roman"/>
          <w:sz w:val="18"/>
          <w:szCs w:val="18"/>
          <w:b w:val="1"/>
          <w:bCs w:val="1"/>
          <w:i w:val="1"/>
          <w:i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of Bandwidth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 issuance under the Bandwidth Inc. Third Amended and Restated 2017 Incentive Award Plan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and/or restated from time to time, the “</w:t>
      </w:r>
      <w:r>
        <w:rPr>
          <w:rFonts w:ascii="Times New Roman" w:cs="Times New Roman" w:eastAsia="Times New Roman" w:hAnsi="Times New Roman"/>
          <w:sz w:val="18"/>
          <w:szCs w:val="18"/>
          <w:b w:val="1"/>
          <w:bCs w:val="1"/>
          <w:i w:val="1"/>
          <w:iCs w:val="1"/>
          <w:color w:val="auto"/>
        </w:rPr>
        <w:t>2017 Plan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Class A Common Stock registered hereunder is in addition to the (a) 4,500,000 shares of Class A Common Stock issued or issuable under the 2017 Plan and previously registered on the Company’s Registration Statement on Form S-8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June 18, 2025 (Commission File No. 333-288145), (b) 3,513,341 shares of Class A Common Stock issued or issuable under the 2017 Plan and previously registered on the Company’s Registration Statement on Form S-8 filed with the SEC on February 20, 2025 (Commission File No. 333-285090), (c) 2,500,000 shares of Class A Common Stock issued or issuable under the 2017 Plan and previously registered on the Company’s Registration Statement on Form S-8 filed with the SEC on August 3, 2023 (Commission File No. 333-273631), (d) 4,790,520 shares of Class A Common Stock issued or issuable under the 2017 Plan and previously registered on the Company’s Registration Statement on Form S-8 filed with the SEC on August 4, 2022 (Commission File No. 333-266509), and (e) (i) 1,250,000 shares of Class A Common Stock issued or issuable under the 2017 Plan, (ii) 3,312,392 shares of Class A Common Stock issued or issuable under the Bandwidth.com, Inc. 2010 Equity Compensation Plan, (iii) 347,399 shares of Class A Common Stock issued or issuable under the Bandwidth.com, Inc. 2001 Stock Option Plan (the “</w:t>
      </w:r>
      <w:r>
        <w:rPr>
          <w:rFonts w:ascii="Times New Roman" w:cs="Times New Roman" w:eastAsia="Times New Roman" w:hAnsi="Times New Roman"/>
          <w:sz w:val="18"/>
          <w:szCs w:val="18"/>
          <w:b w:val="1"/>
          <w:bCs w:val="1"/>
          <w:i w:val="1"/>
          <w:iCs w:val="1"/>
          <w:color w:val="auto"/>
        </w:rPr>
        <w:t>2001 Plan</w:t>
      </w:r>
      <w:r>
        <w:rPr>
          <w:rFonts w:ascii="Times New Roman" w:cs="Times New Roman" w:eastAsia="Times New Roman" w:hAnsi="Times New Roman"/>
          <w:sz w:val="18"/>
          <w:szCs w:val="18"/>
          <w:color w:val="auto"/>
        </w:rPr>
        <w:t>”) and (iv) 347,399 shares of the Company’s Class B common stock, $0.001 par value per share, issued or issuable under the 2001 Plan, in each case as previously registered on the Company’s Registration Statement on Form S-8 filed with the SEC on December 19, 2017 (Commission File No. 333-222167). The Company’s Registration Statements on Form S-8 filed with the SEC on June 18, 2025, February 20, 2025, August 3, 2023, August 4, 2022 and December 19, 2017 are collectively referred to herein as the “</w:t>
      </w:r>
      <w:r>
        <w:rPr>
          <w:rFonts w:ascii="Times New Roman" w:cs="Times New Roman" w:eastAsia="Times New Roman" w:hAnsi="Times New Roman"/>
          <w:sz w:val="18"/>
          <w:szCs w:val="18"/>
          <w:b w:val="1"/>
          <w:bCs w:val="1"/>
          <w:i w:val="1"/>
          <w:i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Registration Statements</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Registration Statement relates to securities of the same class as that to which the Prior Registration Statements relate and is submitted in accordance with General Instruction E to Form S-8 regarding Registration of Additional Securities. Pursuant to General Instruction E of Form S-8, the contents of the Prior Registration Statements are incorporated herein by reference and made part of this Registration Statement, except as amended hereby.</w:t>
      </w:r>
    </w:p>
    <w:p>
      <w:pPr>
        <w:spacing w:after="0" w:line="158" w:lineRule="exact"/>
        <w:rPr>
          <w:sz w:val="20"/>
          <w:szCs w:val="20"/>
          <w:color w:val="auto"/>
        </w:rPr>
      </w:pPr>
    </w:p>
    <w:p>
      <w:pPr>
        <w:ind w:left="4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20" w:type="dxa"/>
            <w:vAlign w:val="bottom"/>
            <w:gridSpan w:val="6"/>
          </w:tcPr>
          <w:p>
            <w:pPr>
              <w:ind w:left="140"/>
              <w:spacing w:after="0"/>
              <w:rPr>
                <w:sz w:val="20"/>
                <w:szCs w:val="20"/>
                <w:color w:val="auto"/>
              </w:rPr>
            </w:pPr>
            <w:r>
              <w:rPr>
                <w:rFonts w:ascii="Times New Roman" w:cs="Times New Roman" w:eastAsia="Times New Roman" w:hAnsi="Times New Roman"/>
                <w:sz w:val="14"/>
                <w:szCs w:val="14"/>
                <w:color w:val="auto"/>
              </w:rPr>
              <w:t>Exhibit</w:t>
            </w:r>
          </w:p>
        </w:tc>
        <w:tc>
          <w:tcPr>
            <w:tcW w:w="9980" w:type="dxa"/>
            <w:vAlign w:val="bottom"/>
          </w:tcPr>
          <w:p>
            <w:pPr>
              <w:spacing w:after="0"/>
              <w:rPr>
                <w:sz w:val="13"/>
                <w:szCs w:val="13"/>
                <w:color w:val="auto"/>
              </w:rPr>
            </w:pPr>
          </w:p>
        </w:tc>
      </w:tr>
      <w:tr>
        <w:trPr>
          <w:trHeight w:val="206"/>
        </w:trPr>
        <w:tc>
          <w:tcPr>
            <w:tcW w:w="20" w:type="dxa"/>
            <w:vAlign w:val="bottom"/>
          </w:tcPr>
          <w:p>
            <w:pPr>
              <w:spacing w:after="0"/>
              <w:rPr>
                <w:sz w:val="17"/>
                <w:szCs w:val="17"/>
                <w:color w:val="auto"/>
              </w:rPr>
            </w:pPr>
          </w:p>
        </w:tc>
        <w:tc>
          <w:tcPr>
            <w:tcW w:w="1220" w:type="dxa"/>
            <w:vAlign w:val="bottom"/>
            <w:gridSpan w:val="6"/>
          </w:tcPr>
          <w:p>
            <w:pPr>
              <w:ind w:left="120"/>
              <w:spacing w:after="0"/>
              <w:rPr>
                <w:sz w:val="20"/>
                <w:szCs w:val="20"/>
                <w:color w:val="auto"/>
              </w:rPr>
            </w:pPr>
            <w:r>
              <w:rPr>
                <w:rFonts w:ascii="Times New Roman" w:cs="Times New Roman" w:eastAsia="Times New Roman" w:hAnsi="Times New Roman"/>
                <w:sz w:val="14"/>
                <w:szCs w:val="14"/>
                <w:color w:val="auto"/>
              </w:rPr>
              <w:t>Number</w:t>
            </w:r>
          </w:p>
        </w:tc>
        <w:tc>
          <w:tcPr>
            <w:tcW w:w="9980" w:type="dxa"/>
            <w:vAlign w:val="bottom"/>
          </w:tcPr>
          <w:p>
            <w:pPr>
              <w:ind w:left="4660"/>
              <w:spacing w:after="0"/>
              <w:rPr>
                <w:sz w:val="20"/>
                <w:szCs w:val="20"/>
                <w:color w:val="auto"/>
              </w:rPr>
            </w:pPr>
            <w:r>
              <w:rPr>
                <w:rFonts w:ascii="Times New Roman" w:cs="Times New Roman" w:eastAsia="Times New Roman" w:hAnsi="Times New Roman"/>
                <w:sz w:val="14"/>
                <w:szCs w:val="14"/>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9980" w:type="dxa"/>
            <w:vAlign w:val="bottom"/>
            <w:tcBorders>
              <w:bottom w:val="single" w:sz="8" w:color="auto"/>
            </w:tcBorders>
          </w:tcPr>
          <w:p>
            <w:pPr>
              <w:spacing w:after="0"/>
              <w:rPr>
                <w:sz w:val="2"/>
                <w:szCs w:val="2"/>
                <w:color w:val="auto"/>
              </w:rPr>
            </w:pPr>
          </w:p>
        </w:tc>
      </w:tr>
      <w:tr>
        <w:trPr>
          <w:trHeight w:val="277"/>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1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Amended and Restated Certificate of Incorporation (incorporated by reference to Exhibit 3.1 to the Company’s Registration</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on Form S-1/A (File No. 333-220945) filed on October 27, 2017).</w:t>
            </w:r>
          </w:p>
        </w:tc>
      </w:tr>
      <w:tr>
        <w:trPr>
          <w:trHeight w:val="292"/>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1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Amended and Restated Bylaws (incorporated by reference to Exhibit 3.1 to the Company’s current report on Form 8-K (File No.</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001-38285) filed on November 2, 2023).</w:t>
            </w:r>
          </w:p>
        </w:tc>
      </w:tr>
      <w:tr>
        <w:trPr>
          <w:trHeight w:val="292"/>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1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Bandwidth Inc. Third Amended and Restated 2017 Incentive Award Plan (incorporated by reference to Exhibit 4.1 to the Company’s</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Registration Statement on Form S-8 (File No. 333-288145) filed on June 18, 2025).</w:t>
            </w:r>
          </w:p>
        </w:tc>
      </w:tr>
      <w:tr>
        <w:trPr>
          <w:trHeight w:val="292"/>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5.</w:t>
            </w:r>
            <w:r>
              <w:rPr>
                <w:rFonts w:ascii="Times New Roman" w:cs="Times New Roman" w:eastAsia="Times New Roman" w:hAnsi="Times New Roman"/>
                <w:sz w:val="18"/>
                <w:szCs w:val="18"/>
                <w:u w:val="single" w:color="auto"/>
                <w:color w:val="0000FF"/>
                <w:w w:val="95"/>
              </w:rPr>
              <w:t>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Opinion of Latham &amp; Watkins LLP.</w:t>
            </w:r>
          </w:p>
        </w:tc>
      </w:tr>
      <w:tr>
        <w:trPr>
          <w:trHeight w:val="318"/>
        </w:trPr>
        <w:tc>
          <w:tcPr>
            <w:tcW w:w="20" w:type="dxa"/>
            <w:vAlign w:val="bottom"/>
          </w:tcPr>
          <w:p>
            <w:pPr>
              <w:spacing w:after="0"/>
              <w:rPr>
                <w:sz w:val="24"/>
                <w:szCs w:val="24"/>
                <w:color w:val="auto"/>
              </w:rPr>
            </w:pPr>
          </w:p>
        </w:tc>
        <w:tc>
          <w:tcPr>
            <w:tcW w:w="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Latham &amp; Watkins LLP (included in Exhibit 5.1).</w:t>
            </w:r>
          </w:p>
        </w:tc>
      </w:tr>
      <w:tr>
        <w:trPr>
          <w:trHeight w:val="318"/>
        </w:trPr>
        <w:tc>
          <w:tcPr>
            <w:tcW w:w="20" w:type="dxa"/>
            <w:vAlign w:val="bottom"/>
          </w:tcPr>
          <w:p>
            <w:pPr>
              <w:spacing w:after="0"/>
              <w:rPr>
                <w:sz w:val="24"/>
                <w:szCs w:val="24"/>
                <w:color w:val="auto"/>
              </w:rPr>
            </w:pPr>
          </w:p>
        </w:tc>
        <w:tc>
          <w:tcPr>
            <w:tcW w:w="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2*</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 of Ernst &amp; Young LLP, Independent Registered Public Accounting Firm.</w:t>
            </w:r>
          </w:p>
        </w:tc>
      </w:tr>
      <w:tr>
        <w:trPr>
          <w:trHeight w:val="318"/>
        </w:trPr>
        <w:tc>
          <w:tcPr>
            <w:tcW w:w="20" w:type="dxa"/>
            <w:vAlign w:val="bottom"/>
          </w:tcPr>
          <w:p>
            <w:pPr>
              <w:spacing w:after="0"/>
              <w:rPr>
                <w:sz w:val="24"/>
                <w:szCs w:val="24"/>
                <w:color w:val="auto"/>
              </w:rPr>
            </w:pPr>
          </w:p>
        </w:tc>
        <w:tc>
          <w:tcPr>
            <w:tcW w:w="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24.</w:t>
            </w:r>
            <w:r>
              <w:rPr>
                <w:rFonts w:ascii="Times New Roman" w:cs="Times New Roman" w:eastAsia="Times New Roman" w:hAnsi="Times New Roman"/>
                <w:sz w:val="18"/>
                <w:szCs w:val="18"/>
                <w:u w:val="single" w:color="auto"/>
                <w:color w:val="0000FF"/>
                <w:w w:val="98"/>
              </w:rPr>
              <w:t>1*</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318"/>
        </w:trPr>
        <w:tc>
          <w:tcPr>
            <w:tcW w:w="20" w:type="dxa"/>
            <w:vAlign w:val="bottom"/>
          </w:tcPr>
          <w:p>
            <w:pPr>
              <w:spacing w:after="0"/>
              <w:rPr>
                <w:sz w:val="24"/>
                <w:szCs w:val="24"/>
                <w:color w:val="auto"/>
              </w:rPr>
            </w:pPr>
          </w:p>
        </w:tc>
        <w:tc>
          <w:tcPr>
            <w:tcW w:w="3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107*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Filing Fee Table.</w:t>
            </w:r>
          </w:p>
        </w:tc>
      </w:tr>
    </w:tbl>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Raleigh, State of North Carolina, on this 19th day of February, 2026.</w:t>
      </w:r>
    </w:p>
    <w:p>
      <w:pPr>
        <w:spacing w:after="0" w:line="1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BANDWIDTH INC.</w:t>
      </w:r>
    </w:p>
    <w:p>
      <w:pPr>
        <w:spacing w:after="0" w:line="24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17145</wp:posOffset>
            </wp:positionV>
            <wp:extent cx="1251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David A. Morken</w:t>
      </w:r>
    </w:p>
    <w:p>
      <w:pPr>
        <w:spacing w:after="0" w:line="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Cofounder, Chief</w:t>
      </w:r>
    </w:p>
    <w:p>
      <w:pPr>
        <w:ind w:left="5480"/>
        <w:spacing w:after="0" w:line="219" w:lineRule="auto"/>
        <w:rPr>
          <w:sz w:val="20"/>
          <w:szCs w:val="20"/>
          <w:color w:val="auto"/>
        </w:rPr>
      </w:pPr>
      <w:r>
        <w:rPr>
          <w:rFonts w:ascii="Times New Roman" w:cs="Times New Roman" w:eastAsia="Times New Roman" w:hAnsi="Times New Roman"/>
          <w:sz w:val="18"/>
          <w:szCs w:val="18"/>
          <w:i w:val="1"/>
          <w:iCs w:val="1"/>
          <w:color w:val="auto"/>
        </w:rPr>
        <w:t>Executive Officer and</w:t>
      </w:r>
    </w:p>
    <w:p>
      <w:pPr>
        <w:jc w:val="center"/>
        <w:ind w:left="42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the individuals whose signatures appear below constitute and appoint R. Brandon Asbill, his or her true and lawful attorney-in-fact and agent with full and several power of 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substitutes, may lawfully do or cause to be done.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546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4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42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A. Morken</w:t>
            </w:r>
          </w:p>
        </w:tc>
        <w:tc>
          <w:tcPr>
            <w:tcW w:w="12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Cofounder, Chief Executive Officer</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2026</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A. Morken</w:t>
            </w:r>
          </w:p>
        </w:tc>
        <w:tc>
          <w:tcPr>
            <w:tcW w:w="120" w:type="dxa"/>
            <w:vAlign w:val="bottom"/>
          </w:tcPr>
          <w:p>
            <w:pPr>
              <w:spacing w:after="0"/>
              <w:rPr>
                <w:sz w:val="19"/>
                <w:szCs w:val="19"/>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and Chairman </w:t>
            </w:r>
            <w:r>
              <w:rPr>
                <w:rFonts w:ascii="Times New Roman" w:cs="Times New Roman" w:eastAsia="Times New Roman" w:hAnsi="Times New Roman"/>
                <w:sz w:val="18"/>
                <w:szCs w:val="18"/>
                <w:i w:val="1"/>
                <w:iCs w:val="1"/>
                <w:color w:val="auto"/>
              </w:rPr>
              <w:t>(Principal Executive Officer)</w:t>
            </w:r>
          </w:p>
        </w:tc>
        <w:tc>
          <w:tcPr>
            <w:tcW w:w="1740" w:type="dxa"/>
            <w:vAlign w:val="bottom"/>
          </w:tcPr>
          <w:p>
            <w:pPr>
              <w:spacing w:after="0"/>
              <w:rPr>
                <w:sz w:val="19"/>
                <w:szCs w:val="19"/>
                <w:color w:val="auto"/>
              </w:rPr>
            </w:pPr>
          </w:p>
        </w:tc>
      </w:tr>
      <w:tr>
        <w:trPr>
          <w:trHeight w:val="441"/>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Daryl E. Raiford</w:t>
            </w:r>
          </w:p>
        </w:tc>
        <w:tc>
          <w:tcPr>
            <w:tcW w:w="12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2026</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Daryl E. Raiford</w:t>
            </w:r>
          </w:p>
        </w:tc>
        <w:tc>
          <w:tcPr>
            <w:tcW w:w="120" w:type="dxa"/>
            <w:vAlign w:val="bottom"/>
          </w:tcPr>
          <w:p>
            <w:pPr>
              <w:spacing w:after="0"/>
              <w:rPr>
                <w:sz w:val="19"/>
                <w:szCs w:val="19"/>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1740" w:type="dxa"/>
            <w:vAlign w:val="bottom"/>
          </w:tcPr>
          <w:p>
            <w:pPr>
              <w:spacing w:after="0"/>
              <w:rPr>
                <w:sz w:val="19"/>
                <w:szCs w:val="19"/>
                <w:color w:val="auto"/>
              </w:rPr>
            </w:pPr>
          </w:p>
        </w:tc>
      </w:tr>
      <w:tr>
        <w:trPr>
          <w:trHeight w:val="441"/>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Devin M. Krupka</w:t>
            </w:r>
          </w:p>
        </w:tc>
        <w:tc>
          <w:tcPr>
            <w:tcW w:w="12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Corporate Controller</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2026</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Devin M. Krupka</w:t>
            </w:r>
          </w:p>
        </w:tc>
        <w:tc>
          <w:tcPr>
            <w:tcW w:w="120" w:type="dxa"/>
            <w:vAlign w:val="bottom"/>
          </w:tcPr>
          <w:p>
            <w:pPr>
              <w:spacing w:after="0"/>
              <w:rPr>
                <w:sz w:val="19"/>
                <w:szCs w:val="19"/>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1740" w:type="dxa"/>
            <w:vAlign w:val="bottom"/>
          </w:tcPr>
          <w:p>
            <w:pPr>
              <w:spacing w:after="0"/>
              <w:rPr>
                <w:sz w:val="19"/>
                <w:szCs w:val="19"/>
                <w:color w:val="auto"/>
              </w:rPr>
            </w:pPr>
          </w:p>
        </w:tc>
      </w:tr>
      <w:tr>
        <w:trPr>
          <w:trHeight w:val="481"/>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Brian D. Bailey</w:t>
            </w:r>
          </w:p>
        </w:tc>
        <w:tc>
          <w:tcPr>
            <w:tcW w:w="12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2026</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Brian D. Bailey</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41"/>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Rebecca G. Bottorff</w:t>
            </w:r>
          </w:p>
        </w:tc>
        <w:tc>
          <w:tcPr>
            <w:tcW w:w="12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2026</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Rebecca Bottorff</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41"/>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Lukas M. Roush</w:t>
            </w:r>
          </w:p>
        </w:tc>
        <w:tc>
          <w:tcPr>
            <w:tcW w:w="12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2026</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Lukas M. Roush</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41"/>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A. Suriano</w:t>
            </w:r>
          </w:p>
        </w:tc>
        <w:tc>
          <w:tcPr>
            <w:tcW w:w="120" w:type="dxa"/>
            <w:vAlign w:val="bottom"/>
          </w:tcPr>
          <w:p>
            <w:pPr>
              <w:spacing w:after="0"/>
              <w:rPr>
                <w:sz w:val="24"/>
                <w:szCs w:val="24"/>
                <w:color w:val="auto"/>
              </w:rPr>
            </w:pPr>
          </w:p>
        </w:tc>
        <w:tc>
          <w:tcPr>
            <w:tcW w:w="5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19, 2026</w:t>
            </w:r>
          </w:p>
        </w:tc>
      </w:tr>
      <w:tr>
        <w:trPr>
          <w:trHeight w:val="228"/>
        </w:trPr>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Douglas A. Suriano</w:t>
            </w:r>
          </w:p>
        </w:tc>
        <w:tc>
          <w:tcPr>
            <w:tcW w:w="1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1240"/>
          </w:cols>
          <w:pgMar w:left="320" w:top="927" w:right="339" w:bottom="1440" w:gutter="0" w:footer="0" w:header="0"/>
        </w:sectPr>
      </w:pPr>
    </w:p>
    <w:bookmarkStart w:id="3" w:name="page4"/>
    <w:bookmarkEnd w:id="3"/>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7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14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Bandwidth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00" w:lineRule="exact"/>
        <w:rPr>
          <w:sz w:val="20"/>
          <w:szCs w:val="20"/>
          <w:color w:val="auto"/>
        </w:rPr>
      </w:pP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10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Security Type</w:t>
            </w:r>
          </w:p>
        </w:tc>
        <w:tc>
          <w:tcPr>
            <w:tcW w:w="132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Security Class</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 Calculation</w:t>
            </w:r>
          </w:p>
        </w:tc>
        <w:tc>
          <w:tcPr>
            <w:tcW w:w="1520" w:type="dxa"/>
            <w:vAlign w:val="bottom"/>
            <w:tcBorders>
              <w:top w:val="single" w:sz="8" w:color="auto"/>
              <w:right w:val="single" w:sz="8" w:color="auto"/>
            </w:tcBorders>
          </w:tcPr>
          <w:p>
            <w:pPr>
              <w:spacing w:after="0"/>
              <w:rPr>
                <w:sz w:val="19"/>
                <w:szCs w:val="19"/>
                <w:color w:val="auto"/>
              </w:rPr>
            </w:pP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Aggregate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Fee Rate</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 of</w:t>
            </w:r>
          </w:p>
        </w:tc>
        <w:tc>
          <w:tcPr>
            <w:tcW w:w="0" w:type="dxa"/>
            <w:vAlign w:val="bottom"/>
          </w:tcPr>
          <w:p>
            <w:pPr>
              <w:spacing w:after="0"/>
              <w:rPr>
                <w:sz w:val="1"/>
                <w:szCs w:val="1"/>
                <w:color w:val="auto"/>
              </w:rPr>
            </w:pPr>
          </w:p>
        </w:tc>
      </w:tr>
      <w:tr>
        <w:trPr>
          <w:trHeight w:val="164"/>
        </w:trPr>
        <w:tc>
          <w:tcPr>
            <w:tcW w:w="1060" w:type="dxa"/>
            <w:vAlign w:val="bottom"/>
            <w:tcBorders>
              <w:left w:val="single" w:sz="8" w:color="auto"/>
              <w:right w:val="single" w:sz="8" w:color="auto"/>
            </w:tcBorders>
          </w:tcPr>
          <w:p>
            <w:pPr>
              <w:spacing w:after="0"/>
              <w:rPr>
                <w:sz w:val="14"/>
                <w:szCs w:val="14"/>
                <w:color w:val="auto"/>
              </w:rPr>
            </w:pPr>
          </w:p>
        </w:tc>
        <w:tc>
          <w:tcPr>
            <w:tcW w:w="1320" w:type="dxa"/>
            <w:vAlign w:val="bottom"/>
            <w:tcBorders>
              <w:right w:val="single" w:sz="8" w:color="auto"/>
            </w:tcBorders>
          </w:tcPr>
          <w:p>
            <w:pPr>
              <w:ind w:left="480"/>
              <w:spacing w:after="0" w:line="165" w:lineRule="exact"/>
              <w:rPr>
                <w:sz w:val="20"/>
                <w:szCs w:val="20"/>
                <w:color w:val="auto"/>
              </w:rPr>
            </w:pPr>
            <w:r>
              <w:rPr>
                <w:rFonts w:ascii="Times New Roman" w:cs="Times New Roman" w:eastAsia="Times New Roman" w:hAnsi="Times New Roman"/>
                <w:sz w:val="16"/>
                <w:szCs w:val="16"/>
                <w:b w:val="1"/>
                <w:bCs w:val="1"/>
                <w:color w:val="auto"/>
              </w:rPr>
              <w:t>Title</w:t>
            </w:r>
          </w:p>
        </w:tc>
        <w:tc>
          <w:tcPr>
            <w:tcW w:w="144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Rate</w:t>
            </w:r>
          </w:p>
        </w:tc>
        <w:tc>
          <w:tcPr>
            <w:tcW w:w="1520" w:type="dxa"/>
            <w:vAlign w:val="bottom"/>
            <w:tcBorders>
              <w:right w:val="single" w:sz="8" w:color="auto"/>
            </w:tcBorders>
          </w:tcPr>
          <w:p>
            <w:pPr>
              <w:ind w:left="80"/>
              <w:spacing w:after="0" w:line="165" w:lineRule="exact"/>
              <w:rPr>
                <w:sz w:val="20"/>
                <w:szCs w:val="20"/>
                <w:color w:val="auto"/>
              </w:rPr>
            </w:pPr>
            <w:r>
              <w:rPr>
                <w:rFonts w:ascii="Times New Roman" w:cs="Times New Roman" w:eastAsia="Times New Roman" w:hAnsi="Times New Roman"/>
                <w:sz w:val="16"/>
                <w:szCs w:val="16"/>
                <w:b w:val="1"/>
                <w:bCs w:val="1"/>
                <w:color w:val="auto"/>
              </w:rPr>
              <w:t>Amount Registered</w:t>
            </w:r>
          </w:p>
        </w:tc>
        <w:tc>
          <w:tcPr>
            <w:tcW w:w="142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Maximum Offering</w:t>
            </w:r>
          </w:p>
        </w:tc>
        <w:tc>
          <w:tcPr>
            <w:tcW w:w="168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Offering Price</w:t>
            </w:r>
          </w:p>
        </w:tc>
        <w:tc>
          <w:tcPr>
            <w:tcW w:w="138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Registration Fee</w:t>
            </w:r>
          </w:p>
        </w:tc>
        <w:tc>
          <w:tcPr>
            <w:tcW w:w="0" w:type="dxa"/>
            <w:vAlign w:val="bottom"/>
          </w:tcPr>
          <w:p>
            <w:pPr>
              <w:spacing w:after="0"/>
              <w:rPr>
                <w:sz w:val="1"/>
                <w:szCs w:val="1"/>
                <w:color w:val="auto"/>
              </w:rPr>
            </w:pPr>
          </w:p>
        </w:tc>
      </w:tr>
      <w:tr>
        <w:trPr>
          <w:trHeight w:val="140"/>
        </w:trPr>
        <w:tc>
          <w:tcPr>
            <w:tcW w:w="106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jc w:val="right"/>
              <w:ind w:right="648"/>
              <w:spacing w:after="0"/>
              <w:rPr>
                <w:sz w:val="20"/>
                <w:szCs w:val="20"/>
                <w:color w:val="auto"/>
              </w:rPr>
            </w:pPr>
            <w:r>
              <w:rPr>
                <w:rFonts w:ascii="Times New Roman" w:cs="Times New Roman" w:eastAsia="Times New Roman" w:hAnsi="Times New Roman"/>
                <w:sz w:val="11"/>
                <w:szCs w:val="11"/>
                <w:b w:val="1"/>
                <w:bCs w:val="1"/>
                <w:color w:val="auto"/>
              </w:rPr>
              <w:t>(1)</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Price Per Share</w:t>
            </w:r>
          </w:p>
        </w:tc>
        <w:tc>
          <w:tcPr>
            <w:tcW w:w="16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1060" w:type="dxa"/>
            <w:vAlign w:val="bottom"/>
            <w:tcBorders>
              <w:left w:val="single" w:sz="8" w:color="auto"/>
              <w:right w:val="single" w:sz="8" w:color="auto"/>
            </w:tcBorders>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420" w:type="dxa"/>
            <w:vAlign w:val="bottom"/>
            <w:tcBorders>
              <w:right w:val="single" w:sz="8" w:color="auto"/>
            </w:tcBorders>
            <w:vMerge w:val="continue"/>
          </w:tcPr>
          <w:p>
            <w:pPr>
              <w:spacing w:after="0"/>
              <w:rPr>
                <w:sz w:val="5"/>
                <w:szCs w:val="5"/>
                <w:color w:val="auto"/>
              </w:rPr>
            </w:pPr>
          </w:p>
        </w:tc>
        <w:tc>
          <w:tcPr>
            <w:tcW w:w="1680" w:type="dxa"/>
            <w:vAlign w:val="bottom"/>
            <w:tcBorders>
              <w:right w:val="single" w:sz="8" w:color="auto"/>
            </w:tcBorders>
          </w:tcPr>
          <w:p>
            <w:pPr>
              <w:spacing w:after="0"/>
              <w:rPr>
                <w:sz w:val="5"/>
                <w:szCs w:val="5"/>
                <w:color w:val="auto"/>
              </w:rPr>
            </w:pPr>
          </w:p>
        </w:tc>
        <w:tc>
          <w:tcPr>
            <w:tcW w:w="1380" w:type="dxa"/>
            <w:vAlign w:val="bottom"/>
            <w:tcBorders>
              <w:right w:val="single" w:sz="8" w:color="auto"/>
            </w:tcBorders>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6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jc w:val="right"/>
              <w:ind w:right="585"/>
              <w:spacing w:after="0"/>
              <w:rPr>
                <w:sz w:val="20"/>
                <w:szCs w:val="20"/>
                <w:color w:val="auto"/>
              </w:rPr>
            </w:pPr>
            <w:r>
              <w:rPr>
                <w:rFonts w:ascii="Times New Roman" w:cs="Times New Roman" w:eastAsia="Times New Roman" w:hAnsi="Times New Roman"/>
                <w:sz w:val="11"/>
                <w:szCs w:val="11"/>
                <w:b w:val="1"/>
                <w:bCs w:val="1"/>
                <w:color w:val="auto"/>
              </w:rPr>
              <w:t>(2)</w:t>
            </w:r>
          </w:p>
        </w:tc>
        <w:tc>
          <w:tcPr>
            <w:tcW w:w="168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060" w:type="dxa"/>
            <w:vAlign w:val="bottom"/>
            <w:tcBorders>
              <w:left w:val="single" w:sz="8" w:color="auto"/>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Equity</w:t>
            </w: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Class A common</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520" w:type="dxa"/>
            <w:vAlign w:val="bottom"/>
            <w:tcBorders>
              <w:right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color w:val="auto"/>
              </w:rPr>
              <w:t>2,033,710</w:t>
            </w:r>
          </w:p>
        </w:tc>
        <w:tc>
          <w:tcPr>
            <w:tcW w:w="1420" w:type="dxa"/>
            <w:vAlign w:val="bottom"/>
            <w:tcBorders>
              <w:right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color w:val="auto"/>
              </w:rPr>
              <w:t>$12.89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$26,214,522</w:t>
            </w:r>
          </w:p>
        </w:tc>
        <w:tc>
          <w:tcPr>
            <w:tcW w:w="1380" w:type="dxa"/>
            <w:vAlign w:val="bottom"/>
            <w:tcBorders>
              <w:right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$0.00013810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$3,620.23</w:t>
            </w: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stock, $0.001 par</w:t>
            </w:r>
          </w:p>
        </w:tc>
        <w:tc>
          <w:tcPr>
            <w:tcW w:w="14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value, reserved for</w:t>
            </w:r>
          </w:p>
        </w:tc>
        <w:tc>
          <w:tcPr>
            <w:tcW w:w="14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issuance pursuant</w:t>
            </w:r>
          </w:p>
        </w:tc>
        <w:tc>
          <w:tcPr>
            <w:tcW w:w="14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Borders>
              <w:left w:val="single" w:sz="8" w:color="auto"/>
              <w:right w:val="single" w:sz="8" w:color="auto"/>
            </w:tcBorders>
          </w:tcPr>
          <w:p>
            <w:pPr>
              <w:spacing w:after="0"/>
              <w:rPr>
                <w:sz w:val="17"/>
                <w:szCs w:val="17"/>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to the 2017 Plan</w:t>
            </w:r>
          </w:p>
        </w:tc>
        <w:tc>
          <w:tcPr>
            <w:tcW w:w="14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6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(as defined below)</w:t>
            </w:r>
          </w:p>
        </w:tc>
        <w:tc>
          <w:tcPr>
            <w:tcW w:w="144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6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60" w:type="dxa"/>
            <w:vAlign w:val="bottom"/>
            <w:tcBorders>
              <w:left w:val="single" w:sz="8" w:color="auto"/>
            </w:tcBorders>
          </w:tcPr>
          <w:p>
            <w:pPr>
              <w:spacing w:after="0"/>
              <w:rPr>
                <w:sz w:val="18"/>
                <w:szCs w:val="18"/>
                <w:color w:val="auto"/>
              </w:rPr>
            </w:pPr>
          </w:p>
        </w:tc>
        <w:tc>
          <w:tcPr>
            <w:tcW w:w="2760" w:type="dxa"/>
            <w:vAlign w:val="bottom"/>
            <w:gridSpan w:val="2"/>
          </w:tcPr>
          <w:p>
            <w:pPr>
              <w:jc w:val="center"/>
              <w:ind w:left="359"/>
              <w:spacing w:after="0"/>
              <w:rPr>
                <w:sz w:val="20"/>
                <w:szCs w:val="20"/>
                <w:color w:val="auto"/>
              </w:rPr>
            </w:pPr>
            <w:r>
              <w:rPr>
                <w:rFonts w:ascii="Times New Roman" w:cs="Times New Roman" w:eastAsia="Times New Roman" w:hAnsi="Times New Roman"/>
                <w:sz w:val="16"/>
                <w:szCs w:val="16"/>
                <w:color w:val="auto"/>
              </w:rPr>
              <w:t>Total Offering Amounts</w:t>
            </w:r>
          </w:p>
        </w:tc>
        <w:tc>
          <w:tcPr>
            <w:tcW w:w="15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$26,214,522</w:t>
            </w:r>
          </w:p>
        </w:tc>
        <w:tc>
          <w:tcPr>
            <w:tcW w:w="13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$3,620.23</w:t>
            </w:r>
          </w:p>
        </w:tc>
        <w:tc>
          <w:tcPr>
            <w:tcW w:w="0" w:type="dxa"/>
            <w:vAlign w:val="bottom"/>
          </w:tcPr>
          <w:p>
            <w:pPr>
              <w:spacing w:after="0"/>
              <w:rPr>
                <w:sz w:val="1"/>
                <w:szCs w:val="1"/>
                <w:color w:val="auto"/>
              </w:rPr>
            </w:pPr>
          </w:p>
        </w:tc>
      </w:tr>
      <w:tr>
        <w:trPr>
          <w:trHeight w:val="33"/>
        </w:trPr>
        <w:tc>
          <w:tcPr>
            <w:tcW w:w="106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60" w:type="dxa"/>
            <w:vAlign w:val="bottom"/>
            <w:tcBorders>
              <w:left w:val="single" w:sz="8" w:color="auto"/>
            </w:tcBorders>
          </w:tcPr>
          <w:p>
            <w:pPr>
              <w:spacing w:after="0"/>
              <w:rPr>
                <w:sz w:val="18"/>
                <w:szCs w:val="18"/>
                <w:color w:val="auto"/>
              </w:rPr>
            </w:pPr>
          </w:p>
        </w:tc>
        <w:tc>
          <w:tcPr>
            <w:tcW w:w="276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auto"/>
                <w:w w:val="98"/>
              </w:rPr>
              <w:t>Total Fee Offsets</w:t>
            </w:r>
          </w:p>
        </w:tc>
        <w:tc>
          <w:tcPr>
            <w:tcW w:w="15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06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60" w:type="dxa"/>
            <w:vAlign w:val="bottom"/>
            <w:tcBorders>
              <w:left w:val="single" w:sz="8" w:color="auto"/>
            </w:tcBorders>
          </w:tcPr>
          <w:p>
            <w:pPr>
              <w:spacing w:after="0"/>
              <w:rPr>
                <w:sz w:val="18"/>
                <w:szCs w:val="18"/>
                <w:color w:val="auto"/>
              </w:rPr>
            </w:pPr>
          </w:p>
        </w:tc>
        <w:tc>
          <w:tcPr>
            <w:tcW w:w="2760" w:type="dxa"/>
            <w:vAlign w:val="bottom"/>
            <w:gridSpan w:val="2"/>
          </w:tcPr>
          <w:p>
            <w:pPr>
              <w:jc w:val="center"/>
              <w:ind w:left="379"/>
              <w:spacing w:after="0"/>
              <w:rPr>
                <w:sz w:val="20"/>
                <w:szCs w:val="20"/>
                <w:color w:val="auto"/>
              </w:rPr>
            </w:pPr>
            <w:r>
              <w:rPr>
                <w:rFonts w:ascii="Times New Roman" w:cs="Times New Roman" w:eastAsia="Times New Roman" w:hAnsi="Times New Roman"/>
                <w:sz w:val="16"/>
                <w:szCs w:val="16"/>
                <w:color w:val="auto"/>
              </w:rPr>
              <w:t>Net Fee Due</w:t>
            </w:r>
          </w:p>
        </w:tc>
        <w:tc>
          <w:tcPr>
            <w:tcW w:w="152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$3,620.23</w:t>
            </w:r>
          </w:p>
        </w:tc>
        <w:tc>
          <w:tcPr>
            <w:tcW w:w="0" w:type="dxa"/>
            <w:vAlign w:val="bottom"/>
          </w:tcPr>
          <w:p>
            <w:pPr>
              <w:spacing w:after="0"/>
              <w:rPr>
                <w:sz w:val="1"/>
                <w:szCs w:val="1"/>
                <w:color w:val="auto"/>
              </w:rPr>
            </w:pPr>
          </w:p>
        </w:tc>
      </w:tr>
      <w:tr>
        <w:trPr>
          <w:trHeight w:val="33"/>
        </w:trPr>
        <w:tc>
          <w:tcPr>
            <w:tcW w:w="1060" w:type="dxa"/>
            <w:vAlign w:val="bottom"/>
            <w:tcBorders>
              <w:left w:val="single" w:sz="8" w:color="auto"/>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left="40" w:right="500" w:hanging="10"/>
        <w:spacing w:after="0" w:line="271" w:lineRule="auto"/>
        <w:tabs>
          <w:tab w:leader="none" w:pos="25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Class A common stock, $0.001 par value (“Class A Common Stock”), issuable under the Bandwidth Inc. Third Amended and Restated 2017 Incentive Award Plan (as amended and/or restated from time to time, the “2017 Plan”) and, pursuant to Rule 416 under the Securities Act of 1933, as amended (the “Securities Act”), includes any additional shares that may become issuable in accordance with the adjustment and anti-dilution provisions of the 2017 Plan.</w:t>
      </w:r>
    </w:p>
    <w:p>
      <w:pPr>
        <w:spacing w:after="0" w:line="21" w:lineRule="exact"/>
        <w:rPr>
          <w:rFonts w:ascii="Times New Roman" w:cs="Times New Roman" w:eastAsia="Times New Roman" w:hAnsi="Times New Roman"/>
          <w:sz w:val="14"/>
          <w:szCs w:val="14"/>
          <w:color w:val="auto"/>
        </w:rPr>
      </w:pPr>
    </w:p>
    <w:p>
      <w:pPr>
        <w:ind w:left="40" w:right="500" w:hanging="10"/>
        <w:spacing w:after="0" w:line="282" w:lineRule="auto"/>
        <w:tabs>
          <w:tab w:leader="none" w:pos="24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in accordance with Rule 457(c) and Rule 457(h)(1) of the Securities Act based on the average of the high and low prices of a share of the Registrant’s Class A Common Stock on the Nasdaq Global Select Market on February 12, 2026.</w:t>
      </w:r>
    </w:p>
    <w:p>
      <w:pPr>
        <w:sectPr>
          <w:pgSz w:w="11900" w:h="16838" w:orient="portrait"/>
          <w:cols w:equalWidth="0" w:num="1">
            <w:col w:w="11260"/>
          </w:cols>
          <w:pgMar w:left="320" w:top="104" w:right="3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3728720" cy="342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37287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February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Bandwidth Inc.</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2230 Bandmate Way</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Raleigh, North Carolina 27607</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1271 Avenue of the Americas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10020-1401</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Tel: +1.212.906.1200 Fax: +1.212.751.4864</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color w:val="auto"/>
        </w:rPr>
        <w:t>www.lw.com</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20" w:type="dxa"/>
            <w:vAlign w:val="bottom"/>
          </w:tcPr>
          <w:p>
            <w:pPr>
              <w:spacing w:after="0"/>
              <w:rPr>
                <w:sz w:val="20"/>
                <w:szCs w:val="20"/>
                <w:color w:val="auto"/>
              </w:rPr>
            </w:pPr>
            <w:r>
              <w:rPr>
                <w:rFonts w:ascii="Arial" w:cs="Arial" w:eastAsia="Arial" w:hAnsi="Arial"/>
                <w:sz w:val="13"/>
                <w:szCs w:val="13"/>
                <w:color w:val="auto"/>
              </w:rPr>
              <w:t>Austin</w:t>
            </w:r>
          </w:p>
        </w:tc>
        <w:tc>
          <w:tcPr>
            <w:tcW w:w="1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Milan</w:t>
            </w:r>
          </w:p>
        </w:tc>
      </w:tr>
      <w:tr>
        <w:trPr>
          <w:trHeight w:val="25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Beijing</w:t>
            </w:r>
          </w:p>
        </w:tc>
        <w:tc>
          <w:tcPr>
            <w:tcW w:w="1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Munich</w:t>
            </w: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New York</w:t>
            </w:r>
          </w:p>
        </w:tc>
      </w:tr>
      <w:tr>
        <w:trPr>
          <w:trHeight w:val="25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Brussels</w:t>
            </w:r>
          </w:p>
        </w:tc>
        <w:tc>
          <w:tcPr>
            <w:tcW w:w="1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Orange County</w:t>
            </w:r>
          </w:p>
        </w:tc>
      </w:tr>
      <w:tr>
        <w:trPr>
          <w:trHeight w:val="25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Century City</w:t>
            </w:r>
          </w:p>
        </w:tc>
        <w:tc>
          <w:tcPr>
            <w:tcW w:w="1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Paris</w:t>
            </w:r>
          </w:p>
        </w:tc>
      </w:tr>
      <w:tr>
        <w:trPr>
          <w:trHeight w:val="25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Chicago</w:t>
            </w:r>
          </w:p>
        </w:tc>
        <w:tc>
          <w:tcPr>
            <w:tcW w:w="1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Riyadh</w:t>
            </w:r>
          </w:p>
        </w:tc>
      </w:tr>
      <w:tr>
        <w:trPr>
          <w:trHeight w:val="25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Dubai</w:t>
            </w:r>
          </w:p>
        </w:tc>
        <w:tc>
          <w:tcPr>
            <w:tcW w:w="1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San Diego</w:t>
            </w: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Düsseldorf</w:t>
            </w:r>
          </w:p>
        </w:tc>
        <w:tc>
          <w:tcPr>
            <w:tcW w:w="1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San Francisco</w:t>
            </w:r>
          </w:p>
        </w:tc>
      </w:tr>
      <w:tr>
        <w:trPr>
          <w:trHeight w:val="25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Frankfurt</w:t>
            </w:r>
          </w:p>
        </w:tc>
        <w:tc>
          <w:tcPr>
            <w:tcW w:w="1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Seoul</w:t>
            </w:r>
          </w:p>
        </w:tc>
      </w:tr>
      <w:tr>
        <w:trPr>
          <w:trHeight w:val="25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Hamburg</w:t>
            </w:r>
          </w:p>
        </w:tc>
        <w:tc>
          <w:tcPr>
            <w:tcW w:w="1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Silicon Valley</w:t>
            </w:r>
          </w:p>
        </w:tc>
      </w:tr>
      <w:tr>
        <w:trPr>
          <w:trHeight w:val="25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Hong Kong</w:t>
            </w:r>
          </w:p>
        </w:tc>
        <w:tc>
          <w:tcPr>
            <w:tcW w:w="1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Singapore</w:t>
            </w:r>
          </w:p>
        </w:tc>
      </w:tr>
      <w:tr>
        <w:trPr>
          <w:trHeight w:val="256"/>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Houston</w:t>
            </w:r>
          </w:p>
        </w:tc>
        <w:tc>
          <w:tcPr>
            <w:tcW w:w="1240" w:type="dxa"/>
            <w:vAlign w:val="bottom"/>
          </w:tcPr>
          <w:p>
            <w:pPr>
              <w:ind w:left="340"/>
              <w:spacing w:after="0"/>
              <w:rPr>
                <w:sz w:val="20"/>
                <w:szCs w:val="20"/>
                <w:color w:val="auto"/>
              </w:rPr>
            </w:pPr>
            <w:r>
              <w:rPr>
                <w:rFonts w:ascii="Arial" w:cs="Arial" w:eastAsia="Arial" w:hAnsi="Arial"/>
                <w:sz w:val="13"/>
                <w:szCs w:val="13"/>
                <w:color w:val="auto"/>
              </w:rPr>
              <w:t>Tel Aviv</w:t>
            </w:r>
          </w:p>
        </w:tc>
      </w:tr>
      <w:tr>
        <w:trPr>
          <w:trHeight w:val="257"/>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London</w:t>
            </w:r>
          </w:p>
        </w:tc>
        <w:tc>
          <w:tcPr>
            <w:tcW w:w="12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Tokyo</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Los Angeles</w:t>
            </w:r>
          </w:p>
        </w:tc>
        <w:tc>
          <w:tcPr>
            <w:tcW w:w="124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3"/>
              </w:rPr>
              <w:t>Washington, D.C.</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Madrid</w:t>
            </w:r>
          </w:p>
        </w:tc>
        <w:tc>
          <w:tcPr>
            <w:tcW w:w="1240" w:type="dxa"/>
            <w:vAlign w:val="bottom"/>
          </w:tcPr>
          <w:p>
            <w:pPr>
              <w:spacing w:after="0"/>
              <w:rPr>
                <w:sz w:val="23"/>
                <w:szCs w:val="23"/>
                <w:color w:val="auto"/>
              </w:rPr>
            </w:pPr>
          </w:p>
        </w:tc>
      </w:tr>
    </w:tbl>
    <w:p>
      <w:pPr>
        <w:spacing w:after="0" w:line="455" w:lineRule="exact"/>
        <w:rPr>
          <w:sz w:val="20"/>
          <w:szCs w:val="20"/>
          <w:color w:val="auto"/>
        </w:rPr>
      </w:pPr>
    </w:p>
    <w:p>
      <w:pPr>
        <w:sectPr>
          <w:pgSz w:w="11900" w:h="16838" w:orient="portrait"/>
          <w:cols w:equalWidth="0" w:num="2">
            <w:col w:w="6480" w:space="720"/>
            <w:col w:w="4020"/>
          </w:cols>
          <w:pgMar w:left="320" w:top="1440" w:right="359" w:bottom="1440" w:gutter="0" w:footer="0" w:header="0"/>
        </w:sectPr>
      </w:pPr>
    </w:p>
    <w:p>
      <w:pPr>
        <w:spacing w:after="0" w:line="221" w:lineRule="exact"/>
        <w:rPr>
          <w:sz w:val="20"/>
          <w:szCs w:val="20"/>
          <w:color w:val="auto"/>
        </w:rPr>
      </w:pPr>
    </w:p>
    <w:p>
      <w:pPr>
        <w:ind w:left="1020" w:right="820" w:hanging="559"/>
        <w:spacing w:after="0" w:line="236" w:lineRule="auto"/>
        <w:tabs>
          <w:tab w:leader="none" w:pos="10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u w:val="single" w:color="auto"/>
          <w:color w:val="auto"/>
        </w:rPr>
        <w:t>Registration Statement on Form S-8; 2,033,710 shares of Class A Common Stock of Bandwidth Inc., $0.001 par value per share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addressee set forth above:</w:t>
      </w:r>
    </w:p>
    <w:p>
      <w:pPr>
        <w:spacing w:after="0" w:line="173"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color w:val="auto"/>
        </w:rPr>
        <w:t>We have acted as special counsel to Bandwidth Inc.,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in connection with the registration by the Company of 2,033,710 shares of Class A common stock of the Company, $0.001 par value per share (the “</w:t>
      </w:r>
      <w:r>
        <w:rPr>
          <w:rFonts w:ascii="Times New Roman" w:cs="Times New Roman" w:eastAsia="Times New Roman" w:hAnsi="Times New Roman"/>
          <w:sz w:val="21"/>
          <w:szCs w:val="21"/>
          <w:b w:val="1"/>
          <w:bCs w:val="1"/>
          <w:i w:val="1"/>
          <w:iCs w:val="1"/>
          <w:color w:val="auto"/>
        </w:rPr>
        <w:t>Shares</w:t>
      </w:r>
      <w:r>
        <w:rPr>
          <w:rFonts w:ascii="Times New Roman" w:cs="Times New Roman" w:eastAsia="Times New Roman" w:hAnsi="Times New Roman"/>
          <w:sz w:val="21"/>
          <w:szCs w:val="21"/>
          <w:color w:val="auto"/>
        </w:rPr>
        <w:t>”), which may become issuable under the Bandwidth Inc. Third Amended &amp; Restated 2017 Incentive Award Plan (as amended and/or restated from time to time,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The Shares are included in a registration statement on Form S-8 under the Securities Act of 1933, as amended (the “</w:t>
      </w:r>
      <w:r>
        <w:rPr>
          <w:rFonts w:ascii="Times New Roman" w:cs="Times New Roman" w:eastAsia="Times New Roman" w:hAnsi="Times New Roman"/>
          <w:sz w:val="21"/>
          <w:szCs w:val="21"/>
          <w:b w:val="1"/>
          <w:bCs w:val="1"/>
          <w:i w:val="1"/>
          <w:iCs w:val="1"/>
          <w:color w:val="auto"/>
        </w:rPr>
        <w:t>Act</w:t>
      </w:r>
      <w:r>
        <w:rPr>
          <w:rFonts w:ascii="Times New Roman" w:cs="Times New Roman" w:eastAsia="Times New Roman" w:hAnsi="Times New Roman"/>
          <w:sz w:val="21"/>
          <w:szCs w:val="21"/>
          <w:color w:val="auto"/>
        </w:rPr>
        <w:t>”), filed with the U.S. Securities and Exchange Commission (the “</w:t>
      </w:r>
      <w:r>
        <w:rPr>
          <w:rFonts w:ascii="Times New Roman" w:cs="Times New Roman" w:eastAsia="Times New Roman" w:hAnsi="Times New Roman"/>
          <w:sz w:val="21"/>
          <w:szCs w:val="21"/>
          <w:b w:val="1"/>
          <w:bCs w:val="1"/>
          <w:i w:val="1"/>
          <w:iCs w:val="1"/>
          <w:color w:val="auto"/>
        </w:rPr>
        <w:t>Commission</w:t>
      </w:r>
      <w:r>
        <w:rPr>
          <w:rFonts w:ascii="Times New Roman" w:cs="Times New Roman" w:eastAsia="Times New Roman" w:hAnsi="Times New Roman"/>
          <w:sz w:val="21"/>
          <w:szCs w:val="21"/>
          <w:color w:val="auto"/>
        </w:rPr>
        <w:t>”) on the date hereof (the “</w:t>
      </w:r>
      <w:r>
        <w:rPr>
          <w:rFonts w:ascii="Times New Roman" w:cs="Times New Roman" w:eastAsia="Times New Roman" w:hAnsi="Times New Roman"/>
          <w:sz w:val="21"/>
          <w:szCs w:val="21"/>
          <w:b w:val="1"/>
          <w:bCs w:val="1"/>
          <w:i w:val="1"/>
          <w:iCs w:val="1"/>
          <w:color w:val="auto"/>
        </w:rPr>
        <w:t>Registration Statement</w:t>
      </w:r>
      <w:r>
        <w:rPr>
          <w:rFonts w:ascii="Times New Roman" w:cs="Times New Roman" w:eastAsia="Times New Roman" w:hAnsi="Times New Roman"/>
          <w:sz w:val="21"/>
          <w:szCs w:val="21"/>
          <w:color w:val="auto"/>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Shares.</w:t>
      </w:r>
    </w:p>
    <w:p>
      <w:pPr>
        <w:spacing w:after="0" w:line="117"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22"/>
          <w:szCs w:val="22"/>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22"/>
          <w:szCs w:val="22"/>
          <w:b w:val="1"/>
          <w:bCs w:val="1"/>
          <w:i w:val="1"/>
          <w:iCs w:val="1"/>
          <w:color w:val="auto"/>
        </w:rPr>
        <w:t>DGCL</w:t>
      </w:r>
      <w:r>
        <w:rPr>
          <w:rFonts w:ascii="Times New Roman" w:cs="Times New Roman" w:eastAsia="Times New Roman" w:hAnsi="Times New Roman"/>
          <w:sz w:val="22"/>
          <w:szCs w:val="22"/>
          <w:color w:val="auto"/>
        </w:rPr>
        <w:t>”), and we express no opinion with respect to any other laws.</w:t>
      </w:r>
    </w:p>
    <w:p>
      <w:pPr>
        <w:spacing w:after="0" w:line="12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Subject to the foregoing and the other matters set forth herein, it is our opinion that, as of the date hereof, when the Shares shall have been duly registered on the books of the transfer agent and registrar therefor in the name or on behalf of the recipients thereof, and have been issued by the Company for legal consideration in excess of par value in the circumstances contemplated by the Plan, assuming in each case that the individual issuances, grants or awards under the Plan are duly authorized by all necessary corporate action and duly issued, granted or awarded and exercised in accordance with the requirements of law and the Plan (and the</w:t>
      </w:r>
    </w:p>
    <w:p>
      <w:pPr>
        <w:sectPr>
          <w:pgSz w:w="11900" w:h="16838" w:orient="portrait"/>
          <w:cols w:equalWidth="0" w:num="1">
            <w:col w:w="11220"/>
          </w:cols>
          <w:pgMar w:left="320" w:top="1440" w:right="35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13"/>
          <w:szCs w:val="13"/>
          <w:b w:val="1"/>
          <w:bCs w:val="1"/>
          <w:color w:val="auto"/>
        </w:rPr>
        <w:t>February 19, 2026</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388745" cy="93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388745"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39" w:lineRule="exact"/>
        <w:rPr>
          <w:sz w:val="20"/>
          <w:szCs w:val="20"/>
          <w:color w:val="auto"/>
        </w:rPr>
      </w:pPr>
    </w:p>
    <w:p>
      <w:pPr>
        <w:jc w:val="both"/>
        <w:ind w:right="100" w:firstLine="648"/>
        <w:spacing w:after="0" w:line="252" w:lineRule="auto"/>
        <w:rPr>
          <w:sz w:val="20"/>
          <w:szCs w:val="20"/>
          <w:color w:val="auto"/>
        </w:rPr>
      </w:pPr>
      <w:r>
        <w:rPr>
          <w:rFonts w:ascii="Times New Roman" w:cs="Times New Roman" w:eastAsia="Times New Roman" w:hAnsi="Times New Roman"/>
          <w:sz w:val="22"/>
          <w:szCs w:val="22"/>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Sincerely,</w:t>
      </w:r>
    </w:p>
    <w:p>
      <w:pPr>
        <w:spacing w:after="0" w:line="1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/s/ Latham &amp; Watkins LLP</w:t>
      </w:r>
    </w:p>
    <w:p>
      <w:pPr>
        <w:sectPr>
          <w:pgSz w:w="11900" w:h="16838" w:orient="portrait"/>
          <w:cols w:equalWidth="0" w:num="1">
            <w:col w:w="10840"/>
          </w:cols>
          <w:pgMar w:left="320" w:top="176" w:right="7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333333"/>
        </w:rPr>
        <w:t>Consent of Independent Registered Public Accounting Firm</w:t>
      </w:r>
    </w:p>
    <w:p>
      <w:pPr>
        <w:spacing w:after="0" w:line="166"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(Form S-8) pertaining to the Third Amended and Restated 2017 Incentive Award Plan of Bandwidth Inc. of our reports dated February 19, 2026, with respect to the consolidated financial statements of</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Bandwidth Inc. and the effectiveness of internal control over financial reporting of Bandwidth Inc. included in its Annual Report (Form 10-K) for the year ended December 31, 2025, filed with the Securities and Exchange Commission.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Raleigh, North Carolina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19, 2026</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jpeg"/><Relationship Id="rId15" Type="http://schemas.openxmlformats.org/officeDocument/2006/relationships/image" Target="media/image5.jpeg"/><Relationship Id="rId10" Type="http://schemas.openxmlformats.org/officeDocument/2006/relationships/hyperlink" Target="https://www.sec.gov/Archives/edgar/data/1514416/000119312517322087/d416018dex31.htm" TargetMode="External"/><Relationship Id="rId11" Type="http://schemas.openxmlformats.org/officeDocument/2006/relationships/hyperlink" Target="https://www.sec.gov/ix?doc=/Archives/edgar/data/0001514416/000151441623000149/band-20231102.htm" TargetMode="External"/><Relationship Id="rId12" Type="http://schemas.openxmlformats.org/officeDocument/2006/relationships/hyperlink" Target="https://www.sec.gov/Archives/edgar/data/1514416/000151441625000102/q22025s8ex41thirdamended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2026-02-19T07:05:00Z</dcterms:created>
  <dcterms:modified xsi:type="dcterms:W3CDTF">2026-02-19T07:05:00Z</dcterms:modified>
</cp:coreProperties>
</file>