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176"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131"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301"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1934</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80" w:hanging="372"/>
        <w:spacing w:after="0"/>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166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5540" w:type="dxa"/>
            <w:vAlign w:val="bottom"/>
          </w:tcPr>
          <w:p>
            <w:pPr>
              <w:jc w:val="center"/>
              <w:ind w:right="1874"/>
              <w:spacing w:after="0"/>
              <w:rPr>
                <w:sz w:val="20"/>
                <w:szCs w:val="20"/>
                <w:color w:val="auto"/>
              </w:rPr>
            </w:pPr>
            <w:r>
              <w:rPr>
                <w:rFonts w:ascii="Arial" w:cs="Arial" w:eastAsia="Arial" w:hAnsi="Arial"/>
                <w:sz w:val="16"/>
                <w:szCs w:val="16"/>
                <w:b w:val="1"/>
                <w:bCs w:val="1"/>
                <w:color w:val="auto"/>
                <w:w w:val="92"/>
              </w:rPr>
              <w:t>Commission File Number: 333-220945</w:t>
            </w:r>
          </w:p>
        </w:tc>
      </w:tr>
      <w:tr>
        <w:trPr>
          <w:trHeight w:val="509"/>
        </w:trPr>
        <w:tc>
          <w:tcPr>
            <w:tcW w:w="2260" w:type="dxa"/>
            <w:vAlign w:val="bottom"/>
          </w:tcPr>
          <w:p>
            <w:pPr>
              <w:spacing w:after="0"/>
              <w:rPr>
                <w:sz w:val="24"/>
                <w:szCs w:val="24"/>
                <w:color w:val="auto"/>
              </w:rPr>
            </w:pPr>
          </w:p>
        </w:tc>
        <w:tc>
          <w:tcPr>
            <w:tcW w:w="5540" w:type="dxa"/>
            <w:vAlign w:val="bottom"/>
          </w:tcPr>
          <w:p>
            <w:pPr>
              <w:jc w:val="center"/>
              <w:ind w:right="1874"/>
              <w:spacing w:after="0"/>
              <w:rPr>
                <w:sz w:val="20"/>
                <w:szCs w:val="20"/>
                <w:color w:val="auto"/>
              </w:rPr>
            </w:pPr>
            <w:r>
              <w:rPr>
                <w:rFonts w:ascii="Arial" w:cs="Arial" w:eastAsia="Arial" w:hAnsi="Arial"/>
                <w:sz w:val="29"/>
                <w:szCs w:val="29"/>
                <w:b w:val="1"/>
                <w:bCs w:val="1"/>
                <w:color w:val="auto"/>
                <w:w w:val="92"/>
              </w:rPr>
              <w:t>Bandwidth Inc.</w:t>
            </w:r>
          </w:p>
        </w:tc>
      </w:tr>
      <w:tr>
        <w:trPr>
          <w:trHeight w:val="206"/>
        </w:trPr>
        <w:tc>
          <w:tcPr>
            <w:tcW w:w="2260" w:type="dxa"/>
            <w:vAlign w:val="bottom"/>
          </w:tcPr>
          <w:p>
            <w:pPr>
              <w:spacing w:after="0"/>
              <w:rPr>
                <w:sz w:val="17"/>
                <w:szCs w:val="17"/>
                <w:color w:val="auto"/>
              </w:rPr>
            </w:pPr>
          </w:p>
        </w:tc>
        <w:tc>
          <w:tcPr>
            <w:tcW w:w="5540" w:type="dxa"/>
            <w:vAlign w:val="bottom"/>
          </w:tcPr>
          <w:p>
            <w:pPr>
              <w:jc w:val="center"/>
              <w:ind w:right="1874"/>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81"/>
        </w:trPr>
        <w:tc>
          <w:tcPr>
            <w:tcW w:w="2260" w:type="dxa"/>
            <w:vAlign w:val="bottom"/>
          </w:tcPr>
          <w:p>
            <w:pPr>
              <w:spacing w:after="0"/>
              <w:rPr>
                <w:sz w:val="24"/>
                <w:szCs w:val="24"/>
                <w:color w:val="auto"/>
              </w:rPr>
            </w:pPr>
          </w:p>
        </w:tc>
        <w:tc>
          <w:tcPr>
            <w:tcW w:w="5540" w:type="dxa"/>
            <w:vAlign w:val="bottom"/>
          </w:tcPr>
          <w:p>
            <w:pPr>
              <w:jc w:val="center"/>
              <w:ind w:right="1814"/>
              <w:spacing w:after="0"/>
              <w:rPr>
                <w:sz w:val="20"/>
                <w:szCs w:val="20"/>
                <w:color w:val="auto"/>
              </w:rPr>
            </w:pPr>
            <w:r>
              <w:rPr>
                <w:rFonts w:ascii="Arial" w:cs="Arial" w:eastAsia="Arial" w:hAnsi="Arial"/>
                <w:sz w:val="11"/>
                <w:szCs w:val="11"/>
                <w:b w:val="1"/>
                <w:bCs w:val="1"/>
                <w:color w:val="auto"/>
                <w:w w:val="88"/>
              </w:rPr>
              <w:t>______________________________________________</w:t>
            </w:r>
          </w:p>
        </w:tc>
      </w:tr>
      <w:tr>
        <w:trPr>
          <w:trHeight w:val="603"/>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left="3774"/>
              <w:spacing w:after="0"/>
              <w:rPr>
                <w:sz w:val="20"/>
                <w:szCs w:val="20"/>
                <w:color w:val="auto"/>
              </w:rPr>
            </w:pPr>
            <w:r>
              <w:rPr>
                <w:rFonts w:ascii="Arial" w:cs="Arial" w:eastAsia="Arial" w:hAnsi="Arial"/>
                <w:sz w:val="18"/>
                <w:szCs w:val="18"/>
                <w:b w:val="1"/>
                <w:bCs w:val="1"/>
                <w:color w:val="auto"/>
                <w:w w:val="91"/>
              </w:rPr>
              <w:t>56-2242657</w:t>
            </w:r>
          </w:p>
        </w:tc>
      </w:tr>
      <w:tr>
        <w:trPr>
          <w:trHeight w:val="256"/>
        </w:trPr>
        <w:tc>
          <w:tcPr>
            <w:tcW w:w="226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540" w:type="dxa"/>
            <w:vAlign w:val="bottom"/>
          </w:tcPr>
          <w:p>
            <w:pPr>
              <w:jc w:val="center"/>
              <w:ind w:left="3774"/>
              <w:spacing w:after="0"/>
              <w:rPr>
                <w:sz w:val="20"/>
                <w:szCs w:val="20"/>
                <w:color w:val="auto"/>
              </w:rPr>
            </w:pPr>
            <w:r>
              <w:rPr>
                <w:rFonts w:ascii="Arial" w:cs="Arial" w:eastAsia="Arial" w:hAnsi="Arial"/>
                <w:sz w:val="18"/>
                <w:szCs w:val="18"/>
                <w:color w:val="auto"/>
                <w:w w:val="93"/>
              </w:rPr>
              <w:t>(I.R.S. Employer</w:t>
            </w:r>
          </w:p>
        </w:tc>
      </w:tr>
      <w:tr>
        <w:trPr>
          <w:trHeight w:val="230"/>
        </w:trPr>
        <w:tc>
          <w:tcPr>
            <w:tcW w:w="226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5540" w:type="dxa"/>
            <w:vAlign w:val="bottom"/>
          </w:tcPr>
          <w:p>
            <w:pPr>
              <w:jc w:val="center"/>
              <w:ind w:left="3794"/>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2260" w:type="dxa"/>
            <w:vAlign w:val="bottom"/>
          </w:tcPr>
          <w:p>
            <w:pPr>
              <w:spacing w:after="0"/>
              <w:rPr>
                <w:sz w:val="24"/>
                <w:szCs w:val="24"/>
                <w:color w:val="auto"/>
              </w:rPr>
            </w:pPr>
          </w:p>
        </w:tc>
        <w:tc>
          <w:tcPr>
            <w:tcW w:w="5540" w:type="dxa"/>
            <w:vAlign w:val="bottom"/>
          </w:tcPr>
          <w:p>
            <w:pPr>
              <w:jc w:val="center"/>
              <w:ind w:right="1854"/>
              <w:spacing w:after="0"/>
              <w:rPr>
                <w:sz w:val="20"/>
                <w:szCs w:val="20"/>
                <w:color w:val="auto"/>
              </w:rPr>
            </w:pPr>
            <w:r>
              <w:rPr>
                <w:rFonts w:ascii="Arial" w:cs="Arial" w:eastAsia="Arial" w:hAnsi="Arial"/>
                <w:sz w:val="18"/>
                <w:szCs w:val="18"/>
                <w:b w:val="1"/>
                <w:bCs w:val="1"/>
                <w:color w:val="auto"/>
                <w:w w:val="93"/>
              </w:rPr>
              <w:t>900 Main Campus Drive</w:t>
            </w:r>
          </w:p>
        </w:tc>
      </w:tr>
      <w:tr>
        <w:trPr>
          <w:trHeight w:val="225"/>
        </w:trPr>
        <w:tc>
          <w:tcPr>
            <w:tcW w:w="2260" w:type="dxa"/>
            <w:vAlign w:val="bottom"/>
          </w:tcPr>
          <w:p>
            <w:pPr>
              <w:spacing w:after="0"/>
              <w:rPr>
                <w:sz w:val="19"/>
                <w:szCs w:val="19"/>
                <w:color w:val="auto"/>
              </w:rPr>
            </w:pPr>
          </w:p>
        </w:tc>
        <w:tc>
          <w:tcPr>
            <w:tcW w:w="5540" w:type="dxa"/>
            <w:vAlign w:val="bottom"/>
          </w:tcPr>
          <w:p>
            <w:pPr>
              <w:jc w:val="center"/>
              <w:ind w:right="1854"/>
              <w:spacing w:after="0"/>
              <w:rPr>
                <w:sz w:val="20"/>
                <w:szCs w:val="20"/>
                <w:color w:val="auto"/>
              </w:rPr>
            </w:pPr>
            <w:r>
              <w:rPr>
                <w:rFonts w:ascii="Arial" w:cs="Arial" w:eastAsia="Arial" w:hAnsi="Arial"/>
                <w:sz w:val="18"/>
                <w:szCs w:val="18"/>
                <w:b w:val="1"/>
                <w:bCs w:val="1"/>
                <w:color w:val="auto"/>
                <w:w w:val="92"/>
              </w:rPr>
              <w:t>Raleigh, NC 27606</w:t>
            </w:r>
          </w:p>
        </w:tc>
      </w:tr>
      <w:tr>
        <w:trPr>
          <w:trHeight w:val="206"/>
        </w:trPr>
        <w:tc>
          <w:tcPr>
            <w:tcW w:w="2260" w:type="dxa"/>
            <w:vAlign w:val="bottom"/>
          </w:tcPr>
          <w:p>
            <w:pPr>
              <w:spacing w:after="0"/>
              <w:rPr>
                <w:sz w:val="17"/>
                <w:szCs w:val="17"/>
                <w:color w:val="auto"/>
              </w:rPr>
            </w:pPr>
          </w:p>
        </w:tc>
        <w:tc>
          <w:tcPr>
            <w:tcW w:w="5540" w:type="dxa"/>
            <w:vAlign w:val="bottom"/>
          </w:tcPr>
          <w:p>
            <w:pPr>
              <w:jc w:val="center"/>
              <w:ind w:right="1854"/>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88"/>
        </w:trPr>
        <w:tc>
          <w:tcPr>
            <w:tcW w:w="2260" w:type="dxa"/>
            <w:vAlign w:val="bottom"/>
          </w:tcPr>
          <w:p>
            <w:pPr>
              <w:spacing w:after="0"/>
              <w:rPr>
                <w:sz w:val="24"/>
                <w:szCs w:val="24"/>
                <w:color w:val="auto"/>
              </w:rPr>
            </w:pPr>
          </w:p>
        </w:tc>
        <w:tc>
          <w:tcPr>
            <w:tcW w:w="5540" w:type="dxa"/>
            <w:vAlign w:val="bottom"/>
          </w:tcPr>
          <w:p>
            <w:pPr>
              <w:jc w:val="right"/>
              <w:ind w:right="3094"/>
              <w:spacing w:after="0"/>
              <w:rPr>
                <w:sz w:val="20"/>
                <w:szCs w:val="20"/>
                <w:color w:val="auto"/>
              </w:rPr>
            </w:pPr>
            <w:r>
              <w:rPr>
                <w:rFonts w:ascii="Arial" w:cs="Arial" w:eastAsia="Arial" w:hAnsi="Arial"/>
                <w:sz w:val="18"/>
                <w:szCs w:val="18"/>
                <w:b w:val="1"/>
                <w:bCs w:val="1"/>
                <w:color w:val="auto"/>
              </w:rPr>
              <w:t>(800) 808-5150</w:t>
            </w:r>
          </w:p>
        </w:tc>
      </w:tr>
      <w:tr>
        <w:trPr>
          <w:trHeight w:val="206"/>
        </w:trPr>
        <w:tc>
          <w:tcPr>
            <w:tcW w:w="2260" w:type="dxa"/>
            <w:vAlign w:val="bottom"/>
          </w:tcPr>
          <w:p>
            <w:pPr>
              <w:spacing w:after="0"/>
              <w:rPr>
                <w:sz w:val="17"/>
                <w:szCs w:val="17"/>
                <w:color w:val="auto"/>
              </w:rPr>
            </w:pPr>
          </w:p>
        </w:tc>
        <w:tc>
          <w:tcPr>
            <w:tcW w:w="5540" w:type="dxa"/>
            <w:vAlign w:val="bottom"/>
          </w:tcPr>
          <w:p>
            <w:pPr>
              <w:jc w:val="center"/>
              <w:ind w:right="1854"/>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27"/>
        </w:trPr>
        <w:tc>
          <w:tcPr>
            <w:tcW w:w="2260" w:type="dxa"/>
            <w:vAlign w:val="bottom"/>
          </w:tcPr>
          <w:p>
            <w:pPr>
              <w:spacing w:after="0"/>
              <w:rPr>
                <w:sz w:val="19"/>
                <w:szCs w:val="19"/>
                <w:color w:val="auto"/>
              </w:rPr>
            </w:pPr>
          </w:p>
        </w:tc>
        <w:tc>
          <w:tcPr>
            <w:tcW w:w="5540" w:type="dxa"/>
            <w:vAlign w:val="bottom"/>
          </w:tcPr>
          <w:p>
            <w:pPr>
              <w:jc w:val="right"/>
              <w:ind w:right="2414"/>
              <w:spacing w:after="0"/>
              <w:rPr>
                <w:sz w:val="20"/>
                <w:szCs w:val="20"/>
                <w:color w:val="auto"/>
              </w:rPr>
            </w:pPr>
            <w:r>
              <w:rPr>
                <w:rFonts w:ascii="Arial" w:cs="Arial" w:eastAsia="Arial" w:hAnsi="Arial"/>
                <w:sz w:val="11"/>
                <w:szCs w:val="11"/>
                <w:b w:val="1"/>
                <w:bCs w:val="1"/>
                <w:color w:val="auto"/>
              </w:rPr>
              <w:t>______________________________________________</w:t>
            </w:r>
          </w:p>
        </w:tc>
      </w:tr>
    </w:tbl>
    <w:p>
      <w:pPr>
        <w:spacing w:after="0" w:line="188" w:lineRule="exact"/>
        <w:rPr>
          <w:sz w:val="24"/>
          <w:szCs w:val="24"/>
          <w:color w:val="auto"/>
        </w:rPr>
      </w:pPr>
    </w:p>
    <w:p>
      <w:pPr>
        <w:ind w:right="140"/>
        <w:spacing w:after="0" w:line="29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days. Yes </w:t>
      </w:r>
      <w:r>
        <w:rPr>
          <w:rFonts w:ascii="Arial" w:cs="Arial" w:eastAsia="Arial" w:hAnsi="Arial"/>
          <w:sz w:val="18"/>
          <w:szCs w:val="18"/>
          <w:color w:val="auto"/>
        </w:rPr>
        <w:t>o No x</w:t>
      </w:r>
    </w:p>
    <w:p>
      <w:pPr>
        <w:spacing w:after="0" w:line="208" w:lineRule="exact"/>
        <w:rPr>
          <w:sz w:val="24"/>
          <w:szCs w:val="24"/>
          <w:color w:val="auto"/>
        </w:rPr>
      </w:pPr>
    </w:p>
    <w:p>
      <w:pPr>
        <w:jc w:val="both"/>
        <w:spacing w:after="0" w:line="282"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 No o</w:t>
      </w:r>
    </w:p>
    <w:p>
      <w:pPr>
        <w:spacing w:after="0" w:line="148" w:lineRule="exact"/>
        <w:rPr>
          <w:sz w:val="24"/>
          <w:szCs w:val="24"/>
          <w:color w:val="auto"/>
        </w:rPr>
      </w:pPr>
    </w:p>
    <w:p>
      <w:pPr>
        <w:ind w:right="2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filer,”,“smaller reporting company,” and “emerging growth company” in Rule 12b-2 of the Exchange Act.</w:t>
      </w:r>
    </w:p>
    <w:p>
      <w:pPr>
        <w:spacing w:after="0" w:line="28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6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6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200"/>
              <w:spacing w:after="0"/>
              <w:rPr>
                <w:sz w:val="20"/>
                <w:szCs w:val="20"/>
                <w:color w:val="auto"/>
              </w:rPr>
            </w:pPr>
            <w:r>
              <w:rPr>
                <w:rFonts w:ascii="Arial" w:cs="Arial" w:eastAsia="Arial" w:hAnsi="Arial"/>
                <w:sz w:val="16"/>
                <w:szCs w:val="16"/>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600" w:type="dxa"/>
            <w:vAlign w:val="bottom"/>
          </w:tcPr>
          <w:p>
            <w:pPr>
              <w:spacing w:after="0"/>
              <w:rPr>
                <w:sz w:val="20"/>
                <w:szCs w:val="20"/>
                <w:color w:val="auto"/>
              </w:rPr>
            </w:pPr>
            <w:r>
              <w:rPr>
                <w:rFonts w:ascii="Arial" w:cs="Arial" w:eastAsia="Arial" w:hAnsi="Arial"/>
                <w:sz w:val="16"/>
                <w:szCs w:val="16"/>
                <w:color w:val="auto"/>
              </w:rPr>
              <w:t>Non-accelerated filer</w:t>
            </w:r>
          </w:p>
        </w:tc>
        <w:tc>
          <w:tcPr>
            <w:tcW w:w="4600" w:type="dxa"/>
            <w:vAlign w:val="bottom"/>
          </w:tcPr>
          <w:p>
            <w:pPr>
              <w:ind w:left="1160"/>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color w:val="auto"/>
                <w:w w:val="99"/>
              </w:rPr>
              <w:t xml:space="preserve"> (Do not check if a smaller reporting company)</w:t>
            </w:r>
          </w:p>
        </w:tc>
        <w:tc>
          <w:tcPr>
            <w:tcW w:w="2920" w:type="dxa"/>
            <w:vAlign w:val="bottom"/>
          </w:tcPr>
          <w:p>
            <w:pPr>
              <w:ind w:left="200"/>
              <w:spacing w:after="0"/>
              <w:rPr>
                <w:sz w:val="20"/>
                <w:szCs w:val="20"/>
                <w:color w:val="auto"/>
              </w:rPr>
            </w:pPr>
            <w:r>
              <w:rPr>
                <w:rFonts w:ascii="Arial" w:cs="Arial" w:eastAsia="Arial" w:hAnsi="Arial"/>
                <w:sz w:val="16"/>
                <w:szCs w:val="16"/>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60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8" w:lineRule="exact"/>
        <w:rPr>
          <w:sz w:val="24"/>
          <w:szCs w:val="24"/>
          <w:color w:val="auto"/>
        </w:rPr>
      </w:pPr>
    </w:p>
    <w:p>
      <w:pPr>
        <w:ind w:right="120"/>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8"/>
          <w:szCs w:val="18"/>
          <w:color w:val="auto"/>
        </w:rPr>
        <w:t>o No x</w:t>
      </w:r>
    </w:p>
    <w:p>
      <w:pPr>
        <w:spacing w:after="0" w:line="203" w:lineRule="exact"/>
        <w:rPr>
          <w:sz w:val="24"/>
          <w:szCs w:val="24"/>
          <w:color w:val="auto"/>
        </w:rPr>
      </w:pPr>
    </w:p>
    <w:p>
      <w:pPr>
        <w:ind w:right="1500"/>
        <w:spacing w:after="0" w:line="275" w:lineRule="auto"/>
        <w:rPr>
          <w:sz w:val="20"/>
          <w:szCs w:val="20"/>
          <w:color w:val="auto"/>
        </w:rPr>
      </w:pPr>
      <w:r>
        <w:rPr>
          <w:rFonts w:ascii="Arial" w:cs="Arial" w:eastAsia="Arial" w:hAnsi="Arial"/>
          <w:sz w:val="16"/>
          <w:szCs w:val="16"/>
          <w:color w:val="auto"/>
        </w:rPr>
        <w:t>As of November 30, 2017, 4,197,831 shares of the registrant’s Class A common stock and 13,423,489 shares of registrant’s Class B common stock were outstanding,respectively.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294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80"/>
          </w:cols>
          <w:pgMar w:left="240" w:top="621"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Bandwidth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Quarterly Report on Form 10-Q</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Period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02"/>
        </w:trPr>
        <w:tc>
          <w:tcPr>
            <w:tcW w:w="3300" w:type="dxa"/>
            <w:vAlign w:val="bottom"/>
            <w:tcBorders>
              <w:bottom w:val="single" w:sz="8" w:color="0000EE"/>
            </w:tcBorders>
            <w:gridSpan w:val="13"/>
          </w:tcPr>
          <w:p>
            <w:pPr>
              <w:spacing w:after="0" w:line="202"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Note Regarding Forward-Looking Statements</w:t>
              </w:r>
            </w:hyperlink>
          </w:p>
        </w:tc>
        <w:tc>
          <w:tcPr>
            <w:tcW w:w="7520" w:type="dxa"/>
            <w:vAlign w:val="bottom"/>
            <w:gridSpan w:val="11"/>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r>
      <w:tr>
        <w:trPr>
          <w:trHeight w:val="520"/>
        </w:trPr>
        <w:tc>
          <w:tcPr>
            <w:tcW w:w="10820" w:type="dxa"/>
            <w:vAlign w:val="bottom"/>
            <w:gridSpan w:val="2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26"/>
        </w:trPr>
        <w:tc>
          <w:tcPr>
            <w:tcW w:w="104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978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780" w:type="dxa"/>
            <w:vAlign w:val="bottom"/>
            <w:gridSpan w:val="20"/>
          </w:tcPr>
          <w:p>
            <w:pPr>
              <w:spacing w:after="0"/>
              <w:rPr>
                <w:sz w:val="20"/>
                <w:szCs w:val="20"/>
                <w:color w:val="auto"/>
              </w:rPr>
            </w:pPr>
            <w:r>
              <w:rPr>
                <w:rFonts w:ascii="Arial" w:cs="Arial" w:eastAsia="Arial" w:hAnsi="Arial"/>
                <w:sz w:val="18"/>
                <w:szCs w:val="18"/>
                <w:color w:val="0000FF"/>
              </w:rPr>
              <w:t>Unaudited Condensed Consolidated Balance Sheets as of December 31, 2016 and September 30, 2017</w:t>
            </w:r>
          </w:p>
        </w:tc>
        <w:tc>
          <w:tcPr>
            <w:tcW w:w="5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3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Unaudited Condensed Consolidated Statements of Operations and Comprehensive Income for the Three and Nine Months Ended</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80" w:type="dxa"/>
            <w:vAlign w:val="bottom"/>
            <w:gridSpan w:val="20"/>
          </w:tcPr>
          <w:p>
            <w:pPr>
              <w:spacing w:after="0" w:line="196" w:lineRule="exact"/>
              <w:rPr>
                <w:sz w:val="20"/>
                <w:szCs w:val="20"/>
                <w:color w:val="auto"/>
              </w:rPr>
            </w:pPr>
            <w:r>
              <w:rPr>
                <w:rFonts w:ascii="Arial" w:cs="Arial" w:eastAsia="Arial" w:hAnsi="Arial"/>
                <w:sz w:val="18"/>
                <w:szCs w:val="18"/>
                <w:color w:val="0000FF"/>
              </w:rPr>
              <w:t>September 30, 2016 and 2017</w:t>
            </w:r>
          </w:p>
        </w:tc>
        <w:tc>
          <w:tcPr>
            <w:tcW w:w="560" w:type="dxa"/>
            <w:vAlign w:val="bottom"/>
            <w:gridSpan w:val="4"/>
          </w:tcPr>
          <w:p>
            <w:pPr>
              <w:jc w:val="right"/>
              <w:ind w:righ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7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Unaudited Condensed Consolidated Statements of Cash Flows for the Nine Months Ended September 30, 2016 and 2017</w:t>
            </w:r>
          </w:p>
        </w:tc>
        <w:tc>
          <w:tcPr>
            <w:tcW w:w="1060" w:type="dxa"/>
            <w:vAlign w:val="bottom"/>
            <w:gridSpan w:val="3"/>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78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2.</w:t>
            </w:r>
          </w:p>
        </w:tc>
        <w:tc>
          <w:tcPr>
            <w:tcW w:w="520" w:type="dxa"/>
            <w:vAlign w:val="bottom"/>
            <w:gridSpan w:val="2"/>
          </w:tcPr>
          <w:p>
            <w:pPr>
              <w:spacing w:after="0"/>
              <w:rPr>
                <w:sz w:val="21"/>
                <w:szCs w:val="21"/>
                <w:color w:val="auto"/>
              </w:rPr>
            </w:pPr>
          </w:p>
        </w:tc>
        <w:tc>
          <w:tcPr>
            <w:tcW w:w="978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3.</w:t>
            </w:r>
          </w:p>
        </w:tc>
        <w:tc>
          <w:tcPr>
            <w:tcW w:w="520" w:type="dxa"/>
            <w:vAlign w:val="bottom"/>
            <w:gridSpan w:val="2"/>
          </w:tcPr>
          <w:p>
            <w:pPr>
              <w:spacing w:after="0"/>
              <w:rPr>
                <w:sz w:val="21"/>
                <w:szCs w:val="21"/>
                <w:color w:val="auto"/>
              </w:rPr>
            </w:pPr>
          </w:p>
        </w:tc>
        <w:tc>
          <w:tcPr>
            <w:tcW w:w="6140" w:type="dxa"/>
            <w:vAlign w:val="bottom"/>
            <w:gridSpan w:val="14"/>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QUANTITATIVE AND QUALITATIVE DISCLOSURES ABOUT MARKET RISK</w:t>
              </w:r>
            </w:hyperlink>
          </w:p>
        </w:tc>
        <w:tc>
          <w:tcPr>
            <w:tcW w:w="27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520" w:type="dxa"/>
            <w:vAlign w:val="bottom"/>
            <w:gridSpan w:val="2"/>
          </w:tcPr>
          <w:p>
            <w:pPr>
              <w:spacing w:after="0"/>
              <w:rPr>
                <w:sz w:val="21"/>
                <w:szCs w:val="21"/>
                <w:color w:val="auto"/>
              </w:rPr>
            </w:pPr>
          </w:p>
        </w:tc>
        <w:tc>
          <w:tcPr>
            <w:tcW w:w="6140" w:type="dxa"/>
            <w:vAlign w:val="bottom"/>
            <w:gridSpan w:val="1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364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820" w:type="dxa"/>
            <w:vAlign w:val="bottom"/>
            <w:gridSpan w:val="24"/>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 OTHER INFORMATION</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1.</w:t>
            </w:r>
          </w:p>
        </w:tc>
        <w:tc>
          <w:tcPr>
            <w:tcW w:w="520" w:type="dxa"/>
            <w:vAlign w:val="bottom"/>
            <w:gridSpan w:val="2"/>
          </w:tcPr>
          <w:p>
            <w:pPr>
              <w:spacing w:after="0"/>
              <w:rPr>
                <w:sz w:val="21"/>
                <w:szCs w:val="21"/>
                <w:color w:val="auto"/>
              </w:rPr>
            </w:pPr>
          </w:p>
        </w:tc>
        <w:tc>
          <w:tcPr>
            <w:tcW w:w="978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400" w:type="dxa"/>
            <w:vAlign w:val="bottom"/>
          </w:tcPr>
          <w:p>
            <w:pPr>
              <w:spacing w:after="0"/>
              <w:rPr>
                <w:sz w:val="21"/>
                <w:szCs w:val="21"/>
                <w:color w:val="auto"/>
              </w:rPr>
            </w:pPr>
          </w:p>
        </w:tc>
        <w:tc>
          <w:tcPr>
            <w:tcW w:w="978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78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RECENT SALES 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220" w:type="dxa"/>
            <w:vAlign w:val="bottom"/>
            <w:gridSpan w:val="4"/>
            <w:shd w:val="clear" w:color="auto" w:fill="0000EE"/>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3.</w:t>
            </w:r>
          </w:p>
        </w:tc>
        <w:tc>
          <w:tcPr>
            <w:tcW w:w="520" w:type="dxa"/>
            <w:vAlign w:val="bottom"/>
            <w:gridSpan w:val="2"/>
          </w:tcPr>
          <w:p>
            <w:pPr>
              <w:spacing w:after="0"/>
              <w:rPr>
                <w:sz w:val="21"/>
                <w:szCs w:val="21"/>
                <w:color w:val="auto"/>
              </w:rPr>
            </w:pPr>
          </w:p>
        </w:tc>
        <w:tc>
          <w:tcPr>
            <w:tcW w:w="7400" w:type="dxa"/>
            <w:vAlign w:val="bottom"/>
            <w:gridSpan w:val="1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DEFAULTS UPON SENIOR SECURITIES</w:t>
              </w:r>
            </w:hyperlink>
          </w:p>
        </w:tc>
        <w:tc>
          <w:tcPr>
            <w:tcW w:w="23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520" w:type="dxa"/>
            <w:vAlign w:val="bottom"/>
            <w:gridSpan w:val="2"/>
          </w:tcPr>
          <w:p>
            <w:pPr>
              <w:spacing w:after="0"/>
              <w:rPr>
                <w:sz w:val="21"/>
                <w:szCs w:val="21"/>
                <w:color w:val="auto"/>
              </w:rPr>
            </w:pPr>
          </w:p>
        </w:tc>
        <w:tc>
          <w:tcPr>
            <w:tcW w:w="2440" w:type="dxa"/>
            <w:vAlign w:val="bottom"/>
            <w:gridSpan w:val="10"/>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MINE SAFETY DISCLOSURES</w:t>
              </w:r>
            </w:hyperlink>
          </w:p>
        </w:tc>
        <w:tc>
          <w:tcPr>
            <w:tcW w:w="740" w:type="dxa"/>
            <w:vAlign w:val="bottom"/>
            <w:gridSpan w:val="2"/>
          </w:tcPr>
          <w:p>
            <w:pPr>
              <w:spacing w:after="0"/>
              <w:rPr>
                <w:sz w:val="21"/>
                <w:szCs w:val="21"/>
                <w:color w:val="auto"/>
              </w:rPr>
            </w:pPr>
          </w:p>
        </w:tc>
        <w:tc>
          <w:tcPr>
            <w:tcW w:w="660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5.</w:t>
            </w:r>
          </w:p>
        </w:tc>
        <w:tc>
          <w:tcPr>
            <w:tcW w:w="520" w:type="dxa"/>
            <w:vAlign w:val="bottom"/>
            <w:gridSpan w:val="2"/>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OTHER INFORMATION</w:t>
              </w:r>
            </w:hyperlink>
          </w:p>
        </w:tc>
        <w:tc>
          <w:tcPr>
            <w:tcW w:w="560" w:type="dxa"/>
            <w:vAlign w:val="bottom"/>
            <w:gridSpan w:val="4"/>
          </w:tcPr>
          <w:p>
            <w:pPr>
              <w:spacing w:after="0"/>
              <w:rPr>
                <w:sz w:val="21"/>
                <w:szCs w:val="21"/>
                <w:color w:val="auto"/>
              </w:rPr>
            </w:pPr>
          </w:p>
        </w:tc>
        <w:tc>
          <w:tcPr>
            <w:tcW w:w="734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6.</w:t>
            </w:r>
          </w:p>
        </w:tc>
        <w:tc>
          <w:tcPr>
            <w:tcW w:w="520" w:type="dxa"/>
            <w:vAlign w:val="bottom"/>
            <w:gridSpan w:val="2"/>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790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80" w:type="dxa"/>
            <w:vAlign w:val="bottom"/>
            <w:gridSpan w:val="1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SIGNATURES</w:t>
              </w:r>
            </w:hyperlink>
          </w:p>
        </w:tc>
        <w:tc>
          <w:tcPr>
            <w:tcW w:w="8680" w:type="dxa"/>
            <w:vAlign w:val="bottom"/>
            <w:gridSpan w:val="18"/>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669"/>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13"/>
          </w:tcPr>
          <w:p>
            <w:pPr>
              <w:ind w:left="4580"/>
              <w:spacing w:after="0"/>
              <w:rPr>
                <w:sz w:val="20"/>
                <w:szCs w:val="20"/>
                <w:color w:val="auto"/>
              </w:rPr>
            </w:pPr>
            <w:r>
              <w:rPr>
                <w:rFonts w:ascii="Arial" w:cs="Arial" w:eastAsia="Arial" w:hAnsi="Arial"/>
                <w:sz w:val="18"/>
                <w:szCs w:val="18"/>
                <w:color w:val="auto"/>
              </w:rPr>
              <w:t>1</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w:t>
      </w:r>
    </w:p>
    <w:p>
      <w:pPr>
        <w:spacing w:after="0" w:line="200" w:lineRule="exact"/>
        <w:rPr>
          <w:sz w:val="20"/>
          <w:szCs w:val="20"/>
          <w:color w:val="auto"/>
        </w:rPr>
      </w:pPr>
    </w:p>
    <w:p>
      <w:pPr>
        <w:spacing w:after="0" w:line="24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Quarterly Report on Form 10-Q include, but are not limited to, statements about:</w:t>
      </w:r>
    </w:p>
    <w:p>
      <w:pPr>
        <w:spacing w:after="0" w:line="17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customers, including large enterprises;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approach to identifying, attracting and keeping new and existing customers, as well as our expectations regarding customer turnover;</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regarding network traffic growth and other trends related to the usage of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revenue, costs, expenses, gross margin, dollar based net retention rate, adjusted EBITDA and capital expenditures;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regarding the growth of our business and how that impacts our liquidity and capital resources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train, and retain qualified employees and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regarding the expense and productivity of and competition for our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headcount;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benefit from our corporate culture;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further invest in and grow our business, and our ability to effectively manage our growth and associated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new products and services and enhance existing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against current and future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evolution of technology affecting our products, services and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certain new accounting standards and guidance as well as the time and cost of continued compliance with existing rules and standards;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regarding the use of non-GAAP financial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litigation and other pending or potential disputes;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under the caption “Risk Factors” in Part II, Item 1A in this Quarterly Report on Form 10-Q and those discussed in other documents we file with the Securities and Exchange Commission ("SEC").</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addition,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forward-looking statements contained herein are based on our current expectations and assumptions and on information available as of the date of the filing of this Quarterly Report on Form 10-Q. We undertake no obligation to revise or publicly release the results of any revision to these forward-looking statements, except as required by law. Given these risks and uncertainties, readers are cautioned not to place undue reliance on such forward-looking statements. Our forward-looking statements do not reflect the potential impact of any future acquisitions, mergers, dispositions, joint ventures or investments we may make.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expressly indicated or the context requires otherwise, the terms "Bandwidth," "we," "us," and "our" in this document refer to Bandwidth Inc., a Delaware corporation, and, where appropriate, its wholly owned subsidiaries. All information is presented in thousands, except per share amounts, customer count and where specifically noted.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00" w:lineRule="exact"/>
        <w:rPr>
          <w:sz w:val="20"/>
          <w:szCs w:val="20"/>
          <w:color w:val="auto"/>
        </w:rPr>
      </w:pPr>
    </w:p>
    <w:p>
      <w:pPr>
        <w:spacing w:after="0" w:line="30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25"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16,838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18,702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72,550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15,783</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Current portion of deferred revenue and advanced billings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Line of credit,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35,501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65,231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21,818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21,818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Class A and Class B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10,661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72,550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38,603</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41,338</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113,373</w:t>
            </w: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120,489</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Cost of revenue</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21,514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22,571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64,177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66,431</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17,089</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18,767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49,196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54,058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2,390</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2,771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6,157</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7,862</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2,418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3,128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6,876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8,099</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7,899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9,797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23,571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25,691</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Total operating expenses</w:t>
            </w:r>
          </w:p>
        </w:tc>
        <w:tc>
          <w:tcPr>
            <w:tcW w:w="340" w:type="dxa"/>
            <w:vAlign w:val="bottom"/>
          </w:tcPr>
          <w:p>
            <w:pPr>
              <w:spacing w:after="0"/>
              <w:rPr>
                <w:sz w:val="14"/>
                <w:szCs w:val="14"/>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12,707</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15,696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36,604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41,652</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4,382</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3,071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12,592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12,406</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Other expense, net</w:t>
            </w:r>
          </w:p>
        </w:tc>
        <w:tc>
          <w:tcPr>
            <w:tcW w:w="340" w:type="dxa"/>
            <w:vAlign w:val="bottom"/>
          </w:tcPr>
          <w:p>
            <w:pPr>
              <w:spacing w:after="0"/>
              <w:rPr>
                <w:sz w:val="14"/>
                <w:szCs w:val="14"/>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(1,950)</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4,153</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2,533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11,995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10,456</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Income tax provision</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(3,886)</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4,016</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1,634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11,589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6,570</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Loss from discontinued operations, net of income taxes</w:t>
            </w: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(3,739)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3,288</w:t>
            </w: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1,634</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7,850</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vMerge w:val="restart"/>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6,570</w:t>
            </w:r>
          </w:p>
        </w:tc>
        <w:tc>
          <w:tcPr>
            <w:tcW w:w="0" w:type="dxa"/>
            <w:vAlign w:val="bottom"/>
          </w:tcPr>
          <w:p>
            <w:pPr>
              <w:spacing w:after="0"/>
              <w:rPr>
                <w:sz w:val="1"/>
                <w:szCs w:val="1"/>
                <w:color w:val="auto"/>
              </w:rPr>
            </w:pPr>
          </w:p>
        </w:tc>
      </w:tr>
      <w:tr>
        <w:trPr>
          <w:trHeight w:val="60"/>
        </w:trPr>
        <w:tc>
          <w:tcPr>
            <w:tcW w:w="516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Total comprehensive income, net of income tax</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60" w:type="dxa"/>
            <w:vAlign w:val="bottom"/>
            <w:vMerge w:val="continue"/>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3,288</w:t>
            </w:r>
          </w:p>
        </w:tc>
        <w:tc>
          <w:tcPr>
            <w:tcW w:w="120" w:type="dxa"/>
            <w:vAlign w:val="bottom"/>
          </w:tcPr>
          <w:p>
            <w:pPr>
              <w:spacing w:after="0"/>
              <w:rPr>
                <w:sz w:val="13"/>
                <w:szCs w:val="13"/>
                <w:color w:val="auto"/>
              </w:rPr>
            </w:pPr>
          </w:p>
        </w:tc>
        <w:tc>
          <w:tcPr>
            <w:tcW w:w="60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1,634</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7,850</w:t>
            </w:r>
          </w:p>
        </w:tc>
        <w:tc>
          <w:tcPr>
            <w:tcW w:w="100" w:type="dxa"/>
            <w:vAlign w:val="bottom"/>
          </w:tcPr>
          <w:p>
            <w:pPr>
              <w:spacing w:after="0"/>
              <w:rPr>
                <w:sz w:val="13"/>
                <w:szCs w:val="13"/>
                <w:color w:val="auto"/>
              </w:rPr>
            </w:pPr>
          </w:p>
        </w:tc>
        <w:tc>
          <w:tcPr>
            <w:tcW w:w="58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6,570</w:t>
            </w:r>
          </w:p>
        </w:tc>
        <w:tc>
          <w:tcPr>
            <w:tcW w:w="0" w:type="dxa"/>
            <w:vAlign w:val="bottom"/>
          </w:tcPr>
          <w:p>
            <w:pPr>
              <w:spacing w:after="0"/>
              <w:rPr>
                <w:sz w:val="1"/>
                <w:szCs w:val="1"/>
                <w:color w:val="auto"/>
              </w:rPr>
            </w:pPr>
          </w:p>
        </w:tc>
      </w:tr>
      <w:tr>
        <w:trPr>
          <w:trHeight w:val="100"/>
        </w:trPr>
        <w:tc>
          <w:tcPr>
            <w:tcW w:w="516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16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Earnings per share:</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Income from continuing operations</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4,016</w:t>
            </w:r>
          </w:p>
        </w:tc>
        <w:tc>
          <w:tcPr>
            <w:tcW w:w="120" w:type="dxa"/>
            <w:vAlign w:val="bottom"/>
          </w:tcPr>
          <w:p>
            <w:pPr>
              <w:spacing w:after="0"/>
              <w:rPr>
                <w:sz w:val="16"/>
                <w:szCs w:val="16"/>
                <w:color w:val="auto"/>
              </w:rPr>
            </w:pPr>
          </w:p>
        </w:tc>
        <w:tc>
          <w:tcPr>
            <w:tcW w:w="60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1,634</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11,589</w:t>
            </w:r>
          </w:p>
        </w:tc>
        <w:tc>
          <w:tcPr>
            <w:tcW w:w="100" w:type="dxa"/>
            <w:vAlign w:val="bottom"/>
          </w:tcPr>
          <w:p>
            <w:pPr>
              <w:spacing w:after="0"/>
              <w:rPr>
                <w:sz w:val="16"/>
                <w:szCs w:val="16"/>
                <w:color w:val="auto"/>
              </w:rPr>
            </w:pPr>
          </w:p>
        </w:tc>
        <w:tc>
          <w:tcPr>
            <w:tcW w:w="58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6,570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Less: income allocated to participating securities</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1,533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Income from continuing operations attributable to common stockholders</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3,485</w:t>
            </w:r>
          </w:p>
        </w:tc>
        <w:tc>
          <w:tcPr>
            <w:tcW w:w="120" w:type="dxa"/>
            <w:vAlign w:val="bottom"/>
          </w:tcPr>
          <w:p>
            <w:pPr>
              <w:spacing w:after="0"/>
              <w:rPr>
                <w:sz w:val="14"/>
                <w:szCs w:val="14"/>
                <w:color w:val="auto"/>
              </w:rPr>
            </w:pPr>
          </w:p>
        </w:tc>
        <w:tc>
          <w:tcPr>
            <w:tcW w:w="60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14"/>
                <w:szCs w:val="14"/>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10,056</w:t>
            </w:r>
          </w:p>
        </w:tc>
        <w:tc>
          <w:tcPr>
            <w:tcW w:w="100" w:type="dxa"/>
            <w:vAlign w:val="bottom"/>
          </w:tcPr>
          <w:p>
            <w:pPr>
              <w:spacing w:after="0"/>
              <w:rPr>
                <w:sz w:val="14"/>
                <w:szCs w:val="14"/>
                <w:color w:val="auto"/>
              </w:rPr>
            </w:pPr>
          </w:p>
        </w:tc>
        <w:tc>
          <w:tcPr>
            <w:tcW w:w="58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5,712</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per share:</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380"/>
              <w:spacing w:after="0"/>
              <w:rPr>
                <w:sz w:val="20"/>
                <w:szCs w:val="20"/>
                <w:color w:val="auto"/>
              </w:rPr>
            </w:pPr>
            <w:r>
              <w:rPr>
                <w:rFonts w:ascii="Arial" w:cs="Arial" w:eastAsia="Arial" w:hAnsi="Arial"/>
                <w:sz w:val="14"/>
                <w:szCs w:val="14"/>
                <w:color w:val="auto"/>
              </w:rPr>
              <w:t>Basic</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16"/>
                <w:szCs w:val="16"/>
                <w:color w:val="auto"/>
              </w:rPr>
            </w:pPr>
          </w:p>
        </w:tc>
        <w:tc>
          <w:tcPr>
            <w:tcW w:w="60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0.86</w:t>
            </w:r>
          </w:p>
        </w:tc>
        <w:tc>
          <w:tcPr>
            <w:tcW w:w="100" w:type="dxa"/>
            <w:vAlign w:val="bottom"/>
          </w:tcPr>
          <w:p>
            <w:pPr>
              <w:spacing w:after="0"/>
              <w:rPr>
                <w:sz w:val="16"/>
                <w:szCs w:val="16"/>
                <w:color w:val="auto"/>
              </w:rPr>
            </w:pPr>
          </w:p>
        </w:tc>
        <w:tc>
          <w:tcPr>
            <w:tcW w:w="58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0.78</w:t>
            </w: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3,288</w:t>
            </w: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1,634</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7,850</w:t>
            </w: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6,570</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380"/>
              <w:spacing w:after="0"/>
              <w:rPr>
                <w:sz w:val="20"/>
                <w:szCs w:val="20"/>
                <w:color w:val="auto"/>
              </w:rPr>
            </w:pPr>
            <w:r>
              <w:rPr>
                <w:rFonts w:ascii="Arial" w:cs="Arial" w:eastAsia="Arial" w:hAnsi="Arial"/>
                <w:sz w:val="14"/>
                <w:szCs w:val="14"/>
                <w:color w:val="auto"/>
              </w:rPr>
              <w:t>Less: income allocated to participating securities</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common stockholders</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2,853</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1,421</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6,812</w:t>
            </w: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5,712</w:t>
            </w:r>
          </w:p>
        </w:tc>
        <w:tc>
          <w:tcPr>
            <w:tcW w:w="0" w:type="dxa"/>
            <w:vAlign w:val="bottom"/>
          </w:tcPr>
          <w:p>
            <w:pPr>
              <w:spacing w:after="0"/>
              <w:rPr>
                <w:sz w:val="1"/>
                <w:szCs w:val="1"/>
                <w:color w:val="auto"/>
              </w:rPr>
            </w:pPr>
          </w:p>
        </w:tc>
      </w:tr>
      <w:tr>
        <w:trPr>
          <w:trHeight w:val="85"/>
        </w:trPr>
        <w:tc>
          <w:tcPr>
            <w:tcW w:w="5160" w:type="dxa"/>
            <w:vAlign w:val="bottom"/>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Net income per share:</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0.12</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0.59</w:t>
            </w: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380"/>
              <w:spacing w:after="0"/>
              <w:rPr>
                <w:sz w:val="20"/>
                <w:szCs w:val="20"/>
                <w:color w:val="auto"/>
              </w:rPr>
            </w:pPr>
            <w:r>
              <w:rPr>
                <w:rFonts w:ascii="Arial" w:cs="Arial" w:eastAsia="Arial" w:hAnsi="Arial"/>
                <w:sz w:val="14"/>
                <w:szCs w:val="14"/>
                <w:color w:val="auto"/>
              </w:rPr>
              <w:t>Diluted</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16"/>
                <w:szCs w:val="16"/>
                <w:color w:val="auto"/>
              </w:rPr>
            </w:pPr>
          </w:p>
        </w:tc>
        <w:tc>
          <w:tcPr>
            <w:tcW w:w="60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16"/>
                <w:szCs w:val="16"/>
                <w:color w:val="auto"/>
              </w:rPr>
            </w:pPr>
          </w:p>
        </w:tc>
        <w:tc>
          <w:tcPr>
            <w:tcW w:w="58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38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11,600,189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11,828,657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11,643,664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11,814,045</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12,810,379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13,252,737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12,828,894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13,487,649</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w:t>
      </w:r>
    </w:p>
    <w:p>
      <w:pPr>
        <w:sectPr>
          <w:pgSz w:w="11900" w:h="16838" w:orient="portrait"/>
          <w:cols w:equalWidth="0" w:num="1">
            <w:col w:w="11420"/>
          </w:cols>
          <w:pgMar w:left="240" w:top="121" w:right="239" w:bottom="975" w:gutter="0" w:footer="0" w:header="0"/>
        </w:sectPr>
      </w:pPr>
    </w:p>
    <w:p>
      <w:pPr>
        <w:spacing w:after="0" w:line="32" w:lineRule="exact"/>
        <w:rPr>
          <w:sz w:val="20"/>
          <w:szCs w:val="20"/>
          <w:color w:val="auto"/>
        </w:rPr>
      </w:pPr>
    </w:p>
    <w:p>
      <w:pPr>
        <w:jc w:val="center"/>
        <w:ind w:left="3120"/>
        <w:spacing w:after="0"/>
        <w:rPr>
          <w:sz w:val="20"/>
          <w:szCs w:val="20"/>
          <w:color w:val="auto"/>
        </w:rPr>
      </w:pPr>
      <w:r>
        <w:rPr>
          <w:rFonts w:ascii="Arial" w:cs="Arial" w:eastAsia="Arial" w:hAnsi="Arial"/>
          <w:sz w:val="13"/>
          <w:szCs w:val="13"/>
          <w:b w:val="1"/>
          <w:bCs w:val="1"/>
          <w:color w:val="auto"/>
        </w:rPr>
        <w:t>(In Thousands)</w:t>
      </w:r>
    </w:p>
    <w:p>
      <w:pPr>
        <w:spacing w:after="0" w:line="13" w:lineRule="exact"/>
        <w:rPr>
          <w:sz w:val="20"/>
          <w:szCs w:val="20"/>
          <w:color w:val="auto"/>
        </w:rPr>
      </w:pPr>
    </w:p>
    <w:p>
      <w:pPr>
        <w:jc w:val="center"/>
        <w:ind w:left="312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activities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from discontinued operations, net of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fair value of shareholders’ anti-dilutive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taxes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on disposal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Prepaid expenses and other assets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payable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revenue and advance billings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operating activities from discontinued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Investing activities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Capitalized software development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investing activities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investing activities from discontinued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Financing activities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Borrowings on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Repayments on line of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Payments on 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Repayments on term loan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Payment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Proceeds from issuances of common stock</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Decrease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financing activities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r>
      <w:tr>
        <w:trPr>
          <w:trHeight w:val="33"/>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501"/>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7,850</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6,570</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3,739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540"/>
        </w:trPr>
        <w:tc>
          <w:tcPr>
            <w:tcW w:w="28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4,768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4,272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1,102</w:t>
            </w:r>
          </w:p>
        </w:tc>
      </w:tr>
      <w:tr>
        <w:trPr>
          <w:trHeight w:val="270"/>
        </w:trPr>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689</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3,450</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540"/>
        </w:trPr>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(1,864)</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(1,470)</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(2,170)</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1,267</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1,405</w:t>
            </w:r>
          </w:p>
        </w:tc>
      </w:tr>
      <w:tr>
        <w:trPr>
          <w:trHeight w:val="33"/>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12,727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9,846</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9,846</w:t>
            </w:r>
          </w:p>
        </w:tc>
      </w:tr>
      <w:tr>
        <w:trPr>
          <w:trHeight w:val="33"/>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501"/>
        </w:trPr>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(2,323)</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(2,586)</w:t>
            </w:r>
          </w:p>
        </w:tc>
      </w:tr>
      <w:tr>
        <w:trPr>
          <w:trHeight w:val="33"/>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(4,909)</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(4,909)</w:t>
            </w:r>
          </w:p>
        </w:tc>
      </w:tr>
      <w:tr>
        <w:trPr>
          <w:trHeight w:val="33"/>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501"/>
        </w:trPr>
        <w:tc>
          <w:tcPr>
            <w:tcW w:w="28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40,200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(9,000)</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0"/>
        </w:trPr>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(6,359)</w:t>
            </w: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10,059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6,788</w:t>
            </w:r>
          </w:p>
        </w:tc>
      </w:tr>
      <w:tr>
        <w:trPr>
          <w:trHeight w:val="33"/>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5,819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5,366</w:t>
            </w:r>
          </w:p>
        </w:tc>
      </w:tr>
      <w:tr>
        <w:trPr>
          <w:trHeight w:val="33"/>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ectPr>
          <w:pgSz w:w="11900" w:h="16838" w:orient="portrait"/>
          <w:cols w:equalWidth="0" w:num="2">
            <w:col w:w="8300" w:space="720"/>
            <w:col w:w="2400"/>
          </w:cols>
          <w:pgMar w:left="240" w:top="121" w:right="239" w:bottom="975"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9020" w:type="dxa"/>
            <w:vAlign w:val="bottom"/>
          </w:tcPr>
          <w:p>
            <w:pPr>
              <w:ind w:left="40"/>
              <w:spacing w:after="0"/>
              <w:rPr>
                <w:sz w:val="20"/>
                <w:szCs w:val="20"/>
                <w:color w:val="auto"/>
              </w:rPr>
            </w:pPr>
            <w:r>
              <w:rPr>
                <w:rFonts w:ascii="Arial" w:cs="Arial" w:eastAsia="Arial" w:hAnsi="Arial"/>
                <w:sz w:val="16"/>
                <w:szCs w:val="16"/>
                <w:color w:val="auto"/>
              </w:rPr>
              <w:t>Cash paid during the year for interest</w:t>
            </w:r>
          </w:p>
        </w:tc>
        <w:tc>
          <w:tcPr>
            <w:tcW w:w="4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73"/>
        </w:trPr>
        <w:tc>
          <w:tcPr>
            <w:tcW w:w="90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0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Cash paid for taxes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noncash financing activities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0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equipment through capital leases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1" w:right="239" w:bottom="975"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975"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5"/>
          <w:szCs w:val="25"/>
          <w:color w:val="auto"/>
        </w:rPr>
        <w:t>Bandwidth Inc.</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Condensed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 Thousands Except Share and per Share Amounts)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Description of Business</w:t>
      </w:r>
    </w:p>
    <w:p>
      <w:pPr>
        <w:spacing w:after="0" w:line="172"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Bandwidth Inc. (together with its subsidiaries, “Bandwidth” or the “Company”) was founded in July 2000 and incorporated in Delaware on March 29, 2001. The Company’s headquarters are located in Raleigh, North Carolina. The Company is a cloud-based, software-powered communications platform-as-a-service (“CPaaS”) provider that enables enterprises to create, scale and operate voice or text communications services across any mobile application or connected device or enterprises.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(“CABS”), SMS registrations fees and other miscellaneous product lines.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Initial Public Offering</w:t>
      </w:r>
    </w:p>
    <w:p>
      <w:pPr>
        <w:spacing w:after="0" w:line="253"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On November 9, 2017, the Company's Registration Statement on Form S-1 relating to the initial public offering (“IPO”) of its Class A common stock was declared effective by the SEC. Immediately prior to the closing of the initial public offering, the Company’s certificate of incorporation was amended such that (i) each share of the Company’s then-outstanding Class A voting common stock (“Old Class A common stock”) was reclassified as one share of Class B common stock (“New Class B common stock”), which has ten votes per share, (ii) each share of the Company’s then-outstanding Class B non-voting common stock (“Old Class B common stock”) was reclassified as one share of Class A common stock ("New Class A common stock"), which has one vote per share and (iii) options and warrants exercisable into the Company’s Old Class A common stock and Old Class B common stock became exercisable into New Class B common stock and New Class A common stock, respectively. In addition, immediately prior to pricing of the IPO, all shares of the Company’s then-outstanding convertible preferred stock were converted into New Class B common stock. In connection with the Company’s IPO 4,000,000 shares of the Company's New Class A common stock were sold at an initial public offering price of $20.00 per share for proceeds of approximately $74,400, net of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Basis of Presentation</w:t>
      </w:r>
    </w:p>
    <w:p>
      <w:pPr>
        <w:spacing w:after="0" w:line="25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accompanying unaudited condensed consolidated financial statements have been prepared in accordance with generally accepted accounting principles in the United States of America (“GAAP”) and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applicable rules and regulations of the SEC regarding interim financial reporting. Certain information and note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final prospectus filed with the SEC pursuant to Rule 424(b) under the Securities Act on November 13, 2017 (the “Prospectus”).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had no components of other comprehensive income during any of the periods presented, and as such, a separate consolidated statement of comprehensive income is not presented.</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condensed consolidated balance sheet as of December 31, 2016, included herein, was derived from the audited financial statements as of that date, but does not include all disclosures including certain notes required by GAAP on an annual reporting basis.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the opinion of management, the accompanying unaudited condensed consolidated financial statements reflect all normal recurring adjustments necessary to present fairly the financial position, results of operations, comprehensive income and cash flows for the interim periods, but are not necessarily indicative of the results of operations to be anticipated for the full year 2017 or any future period.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Principles of Consolidation</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condensed consolidated financial statements include the accounts of Bandwidth Inc. and its wholly owned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All intercompany accounts and transactions have been eliminated in consolidation.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Use of Estimates</w:t>
      </w:r>
    </w:p>
    <w:p>
      <w:pPr>
        <w:spacing w:after="0" w:line="25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preparation of the Company’s consolidated financial statements in conformity with GAAP requires the Company to make estimates and judgments that affect the amounts reported in these financial statements and accompanying notes. Although the Company believes the estimates it uses are reasonable, due to the inherent uncertainty involved in making these estimates, actual results reported in future periods could differ from those estimates. These estimates in the condensed consolidated financial statements include, but are not limited to, allowance for doubtful accounts, recoverability of long-lived and intangible assets, customer relationship period, valuation allowances on tax assets, certain accrued expenses, and contingencies.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Concentration of Credit Risk</w:t>
      </w:r>
    </w:p>
    <w:p>
      <w:pPr>
        <w:spacing w:after="0" w:line="25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Financial instruments that are exposed to concentration of credit risk consist primarily of cash and cash equivalents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No individual customer represented more than 10 percent of accounts receivable as of December 31, 2016 and September 30, 2017.</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For the three and nine months ended September 30, 2016 and 2017, no individual customer represented more than 10 percent of the Company’s total revenue.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Significant Accounting Policies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have been no changes to our significant accounting policies described in the Prospectus.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Recent Accounting Pronouncements Not Yet Adopted</w:t>
      </w:r>
    </w:p>
    <w:p>
      <w:pPr>
        <w:spacing w:after="0" w:line="253"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color w:val="231F20"/>
        </w:rPr>
        <w:t xml:space="preserve">In May 2017, the Financial Accounting Standards Board (“FASB”) issued Accounting Standards Update (“ASU”) 2017-09, </w:t>
      </w:r>
      <w:r>
        <w:rPr>
          <w:rFonts w:ascii="Arial" w:cs="Arial" w:eastAsia="Arial" w:hAnsi="Arial"/>
          <w:sz w:val="21"/>
          <w:szCs w:val="21"/>
          <w:i w:val="1"/>
          <w:iCs w:val="1"/>
          <w:color w:val="231F20"/>
        </w:rPr>
        <w:t>Compensation-Stock Compensation (Topic 718), Scope of Modification Accounting</w:t>
      </w:r>
      <w:r>
        <w:rPr>
          <w:rFonts w:ascii="Arial" w:cs="Arial" w:eastAsia="Arial" w:hAnsi="Arial"/>
          <w:sz w:val="21"/>
          <w:szCs w:val="21"/>
          <w:color w:val="231F20"/>
        </w:rPr>
        <w:t>, which amends the scope of modification</w:t>
      </w:r>
      <w:r>
        <w:rPr>
          <w:rFonts w:ascii="Arial" w:cs="Arial" w:eastAsia="Arial" w:hAnsi="Arial"/>
          <w:sz w:val="21"/>
          <w:szCs w:val="21"/>
          <w:i w:val="1"/>
          <w:iCs w:val="1"/>
          <w:color w:val="231F20"/>
        </w:rPr>
        <w:t xml:space="preserve"> </w:t>
      </w:r>
      <w:r>
        <w:rPr>
          <w:rFonts w:ascii="Arial" w:cs="Arial" w:eastAsia="Arial" w:hAnsi="Arial"/>
          <w:sz w:val="21"/>
          <w:szCs w:val="21"/>
          <w:color w:val="231F20"/>
        </w:rPr>
        <w:t>accounting for share-based payment arrangements. The ASU provides guidance on the types of changes to terms or conditions of share-based payment awards to which an entity would be required to apply modification accounting under ASC 718, Compensation-Stock Compensation. ASU 2017-09 is effective for fiscal years and interim periods within those years beginning after December 15, 2017, and early adoption is permitted. The Company is evaluating the impact of this guidance on its consolidated financial statements and related disclosures.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231F20"/>
        </w:rPr>
        <w:t xml:space="preserve">In January 2017, the FASB issued ASU 2017-04, </w:t>
      </w:r>
      <w:r>
        <w:rPr>
          <w:rFonts w:ascii="Arial" w:cs="Arial" w:eastAsia="Arial" w:hAnsi="Arial"/>
          <w:sz w:val="21"/>
          <w:szCs w:val="21"/>
          <w:i w:val="1"/>
          <w:iCs w:val="1"/>
          <w:color w:val="231F20"/>
        </w:rPr>
        <w:t>Simplifying the Test for Goodwill Impairment</w:t>
      </w:r>
      <w:r>
        <w:rPr>
          <w:rFonts w:ascii="Arial" w:cs="Arial" w:eastAsia="Arial" w:hAnsi="Arial"/>
          <w:sz w:val="21"/>
          <w:szCs w:val="21"/>
          <w:color w:val="231F20"/>
        </w:rPr>
        <w:t>, which simplifies the accounting for goodwill impairment. The ASU requires impairment charges to be based on the first step in today’s two-step impairment test under Accounting Standards Codification (“ASC”) 350. ASU 2017-04 is effective for annual and interim impairment tests performed in periods beginning after December 15, 2021, and early adoption is permitted. The Company is evaluating the impact of this guidance on its consolidated financial statements and related disclosures.</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231F20"/>
        </w:rPr>
        <w:t xml:space="preserve">In January 2017, the FASB issued ASU 2017-01, </w:t>
      </w:r>
      <w:r>
        <w:rPr>
          <w:rFonts w:ascii="Arial" w:cs="Arial" w:eastAsia="Arial" w:hAnsi="Arial"/>
          <w:sz w:val="19"/>
          <w:szCs w:val="19"/>
          <w:i w:val="1"/>
          <w:iCs w:val="1"/>
          <w:color w:val="231F20"/>
        </w:rPr>
        <w:t>Business Combinations (Topic 805) Clarifying the Definition of a</w:t>
      </w:r>
      <w:r>
        <w:rPr>
          <w:rFonts w:ascii="Arial" w:cs="Arial" w:eastAsia="Arial" w:hAnsi="Arial"/>
          <w:sz w:val="19"/>
          <w:szCs w:val="19"/>
          <w:color w:val="231F20"/>
        </w:rPr>
        <w:t xml:space="preserve"> </w:t>
      </w:r>
      <w:r>
        <w:rPr>
          <w:rFonts w:ascii="Arial" w:cs="Arial" w:eastAsia="Arial" w:hAnsi="Arial"/>
          <w:sz w:val="19"/>
          <w:szCs w:val="19"/>
          <w:i w:val="1"/>
          <w:iCs w:val="1"/>
          <w:color w:val="231F20"/>
        </w:rPr>
        <w:t>Business</w:t>
      </w:r>
      <w:r>
        <w:rPr>
          <w:rFonts w:ascii="Arial" w:cs="Arial" w:eastAsia="Arial" w:hAnsi="Arial"/>
          <w:sz w:val="19"/>
          <w:szCs w:val="19"/>
          <w:color w:val="231F20"/>
        </w:rPr>
        <w:t>, which amends the guidance of FASB Accounting Standards Codification Topic 805, “Business Combinations”, adding</w:t>
      </w:r>
      <w:r>
        <w:rPr>
          <w:rFonts w:ascii="Arial" w:cs="Arial" w:eastAsia="Arial" w:hAnsi="Arial"/>
          <w:sz w:val="19"/>
          <w:szCs w:val="19"/>
          <w:i w:val="1"/>
          <w:iCs w:val="1"/>
          <w:color w:val="231F20"/>
        </w:rPr>
        <w:t xml:space="preserve"> </w:t>
      </w:r>
      <w:r>
        <w:rPr>
          <w:rFonts w:ascii="Arial" w:cs="Arial" w:eastAsia="Arial" w:hAnsi="Arial"/>
          <w:sz w:val="19"/>
          <w:szCs w:val="19"/>
          <w:color w:val="231F20"/>
        </w:rPr>
        <w:t>guidance to assist entities with evaluating whether transactions should be accounted for as acquisitions or disposals of assets or businesses. The definition of a business affects many areas of accounting including acquisitions, disposals, goodwill, and consolidation. This guidance is effective for annual and interim periods beginning after December 15, 2017, and early adoption is permitted under certain circumstances. The adoption of this standard is dependent upon future transactions.</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231F20"/>
        </w:rPr>
        <w:t xml:space="preserve">In August 2016, the FASB issued ASU 2016-15, </w:t>
      </w:r>
      <w:r>
        <w:rPr>
          <w:rFonts w:ascii="Arial" w:cs="Arial" w:eastAsia="Arial" w:hAnsi="Arial"/>
          <w:sz w:val="22"/>
          <w:szCs w:val="22"/>
          <w:i w:val="1"/>
          <w:iCs w:val="1"/>
          <w:color w:val="231F20"/>
        </w:rPr>
        <w:t>Statement of Cash Flows (Topic 230), Classification of Certain Cash</w:t>
      </w:r>
      <w:r>
        <w:rPr>
          <w:rFonts w:ascii="Arial" w:cs="Arial" w:eastAsia="Arial" w:hAnsi="Arial"/>
          <w:sz w:val="22"/>
          <w:szCs w:val="22"/>
          <w:color w:val="231F20"/>
        </w:rPr>
        <w:t xml:space="preserve"> </w:t>
      </w:r>
      <w:r>
        <w:rPr>
          <w:rFonts w:ascii="Arial" w:cs="Arial" w:eastAsia="Arial" w:hAnsi="Arial"/>
          <w:sz w:val="22"/>
          <w:szCs w:val="22"/>
          <w:i w:val="1"/>
          <w:iCs w:val="1"/>
          <w:color w:val="231F20"/>
        </w:rPr>
        <w:t xml:space="preserve">Receipts and Cash Payments, </w:t>
      </w:r>
      <w:r>
        <w:rPr>
          <w:rFonts w:ascii="Arial" w:cs="Arial" w:eastAsia="Arial" w:hAnsi="Arial"/>
          <w:sz w:val="22"/>
          <w:szCs w:val="22"/>
          <w:color w:val="231F20"/>
        </w:rPr>
        <w:t>which clarifies how entities should classify certain cash receipts and cash payments on the statement</w:t>
      </w:r>
      <w:r>
        <w:rPr>
          <w:rFonts w:ascii="Arial" w:cs="Arial" w:eastAsia="Arial" w:hAnsi="Arial"/>
          <w:sz w:val="22"/>
          <w:szCs w:val="22"/>
          <w:i w:val="1"/>
          <w:iCs w:val="1"/>
          <w:color w:val="231F20"/>
        </w:rPr>
        <w:t xml:space="preserve"> </w:t>
      </w:r>
      <w:r>
        <w:rPr>
          <w:rFonts w:ascii="Arial" w:cs="Arial" w:eastAsia="Arial" w:hAnsi="Arial"/>
          <w:sz w:val="22"/>
          <w:szCs w:val="22"/>
          <w:color w:val="231F20"/>
        </w:rPr>
        <w:t>of cash flows. The guidance also clarifies how the predominance principle should be applied when cash receipts and cash payments have aspects of more than one class of cash flows. ASU 2016-15 is effective for fiscal years beginning after December 15, 2018, and interim periods within fiscal years beginning after December 15, 2019, and early adoption is permitted. Entities will have to apply the guidance retrospectively, but if it is impracticable to do so for an issue, the amendments related to that issue would be applied prospectively. The Company is evaluating the impact of this guidance on its consolidated financial statements and related disclosures.</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231F20"/>
        </w:rPr>
        <w:t xml:space="preserve">In February 2016, the FASB issued ASU 2016-02, </w:t>
      </w:r>
      <w:r>
        <w:rPr>
          <w:rFonts w:ascii="Arial" w:cs="Arial" w:eastAsia="Arial" w:hAnsi="Arial"/>
          <w:sz w:val="19"/>
          <w:szCs w:val="19"/>
          <w:i w:val="1"/>
          <w:iCs w:val="1"/>
          <w:color w:val="231F20"/>
        </w:rPr>
        <w:t>Leases.</w:t>
      </w:r>
      <w:r>
        <w:rPr>
          <w:rFonts w:ascii="Arial" w:cs="Arial" w:eastAsia="Arial" w:hAnsi="Arial"/>
          <w:sz w:val="19"/>
          <w:szCs w:val="19"/>
          <w:color w:val="231F20"/>
        </w:rPr>
        <w:t xml:space="preserve"> The standard will affect all entities that lease assets and will require lessees to recognize a lease liability and a right-of-use asset for all leases (except for short- term leases that have a duration of less than one year) as of the date on which the lessor makes the underlying asset available to the lessee. For lessors, accounting for leases is substantially the same as in prior periods.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that the adoption of this standard will have on its financial statements and related disclosures.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231F20"/>
        </w:rPr>
        <w:t xml:space="preserve">In May 2014, the FASB issued ASU 2014-09, </w:t>
      </w:r>
      <w:r>
        <w:rPr>
          <w:rFonts w:ascii="Arial" w:cs="Arial" w:eastAsia="Arial" w:hAnsi="Arial"/>
          <w:sz w:val="19"/>
          <w:szCs w:val="19"/>
          <w:i w:val="1"/>
          <w:iCs w:val="1"/>
          <w:color w:val="231F20"/>
        </w:rPr>
        <w:t>Revenue from Contracts with Customers</w:t>
      </w:r>
      <w:r>
        <w:rPr>
          <w:rFonts w:ascii="Arial" w:cs="Arial" w:eastAsia="Arial" w:hAnsi="Arial"/>
          <w:sz w:val="19"/>
          <w:szCs w:val="19"/>
          <w:color w:val="231F20"/>
        </w:rPr>
        <w:t xml:space="preserve">. This new guidance will replace most existing. 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Arial" w:cs="Arial" w:eastAsia="Arial" w:hAnsi="Arial"/>
          <w:sz w:val="19"/>
          <w:szCs w:val="19"/>
          <w:i w:val="1"/>
          <w:iCs w:val="1"/>
          <w:color w:val="231F20"/>
        </w:rPr>
        <w:t>Revenue from Contracts with Customers: Deferral of</w:t>
      </w:r>
      <w:r>
        <w:rPr>
          <w:rFonts w:ascii="Arial" w:cs="Arial" w:eastAsia="Arial" w:hAnsi="Arial"/>
          <w:sz w:val="19"/>
          <w:szCs w:val="19"/>
          <w:color w:val="231F20"/>
        </w:rPr>
        <w:t xml:space="preserve"> </w:t>
      </w:r>
      <w:r>
        <w:rPr>
          <w:rFonts w:ascii="Arial" w:cs="Arial" w:eastAsia="Arial" w:hAnsi="Arial"/>
          <w:sz w:val="19"/>
          <w:szCs w:val="19"/>
          <w:i w:val="1"/>
          <w:iCs w:val="1"/>
          <w:color w:val="231F20"/>
        </w:rPr>
        <w:t xml:space="preserve">the effective date, </w:t>
      </w:r>
      <w:r>
        <w:rPr>
          <w:rFonts w:ascii="Arial" w:cs="Arial" w:eastAsia="Arial" w:hAnsi="Arial"/>
          <w:sz w:val="19"/>
          <w:szCs w:val="19"/>
          <w:color w:val="231F20"/>
        </w:rPr>
        <w:t>which deferred by one year the effective date for the new revenue reporting standard for entities reporting under</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GAAP. In accordance with the deferral, this guidance will be effective beginning January 1, 2019. This guidance can be applied either retrospectively to each period presented or as a cumulative-effect adjustment as of the date of adoption. Early adoption is permitted beginning January 1, 2017. In December 2016, the FASB issued ASU 2016-20, </w:t>
      </w:r>
      <w:r>
        <w:rPr>
          <w:rFonts w:ascii="Arial" w:cs="Arial" w:eastAsia="Arial" w:hAnsi="Arial"/>
          <w:sz w:val="19"/>
          <w:szCs w:val="19"/>
          <w:i w:val="1"/>
          <w:iCs w:val="1"/>
          <w:color w:val="231F20"/>
        </w:rPr>
        <w:t>Revenue from Contracts with Customers,</w:t>
      </w:r>
      <w:r>
        <w:rPr>
          <w:rFonts w:ascii="Arial" w:cs="Arial" w:eastAsia="Arial" w:hAnsi="Arial"/>
          <w:sz w:val="19"/>
          <w:szCs w:val="19"/>
          <w:color w:val="231F20"/>
        </w:rPr>
        <w:t xml:space="preserve"> </w:t>
      </w:r>
      <w:r>
        <w:rPr>
          <w:rFonts w:ascii="Arial" w:cs="Arial" w:eastAsia="Arial" w:hAnsi="Arial"/>
          <w:sz w:val="19"/>
          <w:szCs w:val="19"/>
          <w:i w:val="1"/>
          <w:iCs w:val="1"/>
          <w:color w:val="231F20"/>
        </w:rPr>
        <w:t>Technical Corrections and Improvements to Topic 606</w:t>
      </w:r>
      <w:r>
        <w:rPr>
          <w:rFonts w:ascii="Arial" w:cs="Arial" w:eastAsia="Arial" w:hAnsi="Arial"/>
          <w:sz w:val="19"/>
          <w:szCs w:val="19"/>
          <w:color w:val="231F20"/>
        </w:rPr>
        <w:t>, which made twelve additional technical corrections and improvements to</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the new revenue standard. In March 2016, the FASB issued ASU 2016-08, </w:t>
      </w:r>
      <w:r>
        <w:rPr>
          <w:rFonts w:ascii="Arial" w:cs="Arial" w:eastAsia="Arial" w:hAnsi="Arial"/>
          <w:sz w:val="19"/>
          <w:szCs w:val="19"/>
          <w:i w:val="1"/>
          <w:iCs w:val="1"/>
          <w:color w:val="231F20"/>
        </w:rPr>
        <w:t>Revenue from Contracts with Customers, Principal</w:t>
      </w:r>
      <w:r>
        <w:rPr>
          <w:rFonts w:ascii="Arial" w:cs="Arial" w:eastAsia="Arial" w:hAnsi="Arial"/>
          <w:sz w:val="19"/>
          <w:szCs w:val="19"/>
          <w:color w:val="231F20"/>
        </w:rPr>
        <w:t xml:space="preserve"> </w:t>
      </w:r>
      <w:r>
        <w:rPr>
          <w:rFonts w:ascii="Arial" w:cs="Arial" w:eastAsia="Arial" w:hAnsi="Arial"/>
          <w:sz w:val="19"/>
          <w:szCs w:val="19"/>
          <w:i w:val="1"/>
          <w:iCs w:val="1"/>
          <w:color w:val="231F20"/>
        </w:rPr>
        <w:t xml:space="preserve">versus Agent Considerations (Reporting Revenue Gross versus Net) </w:t>
      </w:r>
      <w:r>
        <w:rPr>
          <w:rFonts w:ascii="Arial" w:cs="Arial" w:eastAsia="Arial" w:hAnsi="Arial"/>
          <w:sz w:val="19"/>
          <w:szCs w:val="19"/>
          <w:color w:val="231F20"/>
        </w:rPr>
        <w:t>clarifying the implementation guidance on principal versus</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agent considerations. Specifically, 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Arial" w:cs="Arial" w:eastAsia="Arial" w:hAnsi="Arial"/>
          <w:sz w:val="19"/>
          <w:szCs w:val="19"/>
          <w:i w:val="1"/>
          <w:iCs w:val="1"/>
          <w:color w:val="231F20"/>
        </w:rPr>
        <w:t>Revenue from Contracts with Customers, Identifying Performance Obligations and</w:t>
      </w:r>
      <w:r>
        <w:rPr>
          <w:rFonts w:ascii="Arial" w:cs="Arial" w:eastAsia="Arial" w:hAnsi="Arial"/>
          <w:sz w:val="19"/>
          <w:szCs w:val="19"/>
          <w:color w:val="231F20"/>
        </w:rPr>
        <w:t xml:space="preserve"> </w:t>
      </w:r>
      <w:r>
        <w:rPr>
          <w:rFonts w:ascii="Arial" w:cs="Arial" w:eastAsia="Arial" w:hAnsi="Arial"/>
          <w:sz w:val="19"/>
          <w:szCs w:val="19"/>
          <w:i w:val="1"/>
          <w:iCs w:val="1"/>
          <w:color w:val="231F20"/>
        </w:rPr>
        <w:t>Licensing</w:t>
      </w:r>
      <w:r>
        <w:rPr>
          <w:rFonts w:ascii="Arial" w:cs="Arial" w:eastAsia="Arial" w:hAnsi="Arial"/>
          <w:sz w:val="19"/>
          <w:szCs w:val="19"/>
          <w:color w:val="231F20"/>
        </w:rPr>
        <w:t>, clarifying the implementation guidance on identifying performance obligations and licensing. Specifically, the</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amendments reduce the cost and 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Arial" w:cs="Arial" w:eastAsia="Arial" w:hAnsi="Arial"/>
          <w:sz w:val="19"/>
          <w:szCs w:val="19"/>
          <w:i w:val="1"/>
          <w:iCs w:val="1"/>
          <w:color w:val="231F20"/>
        </w:rPr>
        <w:t>Revenue from Contracts with Customers, Narrow-Scope</w:t>
      </w:r>
      <w:r>
        <w:rPr>
          <w:rFonts w:ascii="Arial" w:cs="Arial" w:eastAsia="Arial" w:hAnsi="Arial"/>
          <w:sz w:val="19"/>
          <w:szCs w:val="19"/>
          <w:color w:val="231F20"/>
        </w:rPr>
        <w:t xml:space="preserve"> </w:t>
      </w:r>
      <w:r>
        <w:rPr>
          <w:rFonts w:ascii="Arial" w:cs="Arial" w:eastAsia="Arial" w:hAnsi="Arial"/>
          <w:sz w:val="19"/>
          <w:szCs w:val="19"/>
          <w:i w:val="1"/>
          <w:iCs w:val="1"/>
          <w:color w:val="231F20"/>
        </w:rPr>
        <w:t xml:space="preserve">Improvements and Practical Expedients, </w:t>
      </w:r>
      <w:r>
        <w:rPr>
          <w:rFonts w:ascii="Arial" w:cs="Arial" w:eastAsia="Arial" w:hAnsi="Arial"/>
          <w:sz w:val="19"/>
          <w:szCs w:val="19"/>
          <w:color w:val="231F20"/>
        </w:rPr>
        <w:t>clarifying guidance on assessing collectability, presentation of sales taxes, noncash</w:t>
      </w:r>
      <w:r>
        <w:rPr>
          <w:rFonts w:ascii="Arial" w:cs="Arial" w:eastAsia="Arial" w:hAnsi="Arial"/>
          <w:sz w:val="19"/>
          <w:szCs w:val="19"/>
          <w:i w:val="1"/>
          <w:iCs w:val="1"/>
          <w:color w:val="231F20"/>
        </w:rPr>
        <w:t xml:space="preserve"> </w:t>
      </w:r>
      <w:r>
        <w:rPr>
          <w:rFonts w:ascii="Arial" w:cs="Arial" w:eastAsia="Arial" w:hAnsi="Arial"/>
          <w:sz w:val="19"/>
          <w:szCs w:val="19"/>
          <w:color w:val="231F20"/>
        </w:rPr>
        <w:t>consideration, completed contracts and contract modifications. The effective date and transition requirements for ASU 2016-20, ASU 2016-08 and ASU 2016-10 are the same as the effective date and transition requirements for ASU 2014-09.</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231F20"/>
        </w:rPr>
        <w:t>The Company is still assessing all potential impacts of the new standard on its consolidated financial statements. Given the comprehensive nature of the standard, the Company has already taken steps to begin assessing the impact on its consolidated financial results. It has completed a preliminary diagnostic, in order to highlight potential differences between current accounting policies and the new standard, and has begun drafting memos to document its accounting positions. Additionally, the Company engaged a third-party service provider to assist in its evaluation of customer contracts and to identify the attributes that could result in a different accounting treatment under ASU 2014-09. From an information technology perspective, the Company has identified a new technology solution which meets its business requirements and will be implemented to comply with ASC 2014-09. The Company has not reached a conclusion as to whether the quantitative effect of the adoption of the new standard on its revenue streams will be material. It will continue to monitor and assess the impact of the changes of the new standard and the related interpretations of its application as they become available.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3. Discontinued Operations</w:t>
      </w:r>
    </w:p>
    <w:p>
      <w:pPr>
        <w:spacing w:after="0" w:line="266" w:lineRule="exact"/>
        <w:rPr>
          <w:sz w:val="20"/>
          <w:szCs w:val="20"/>
          <w:color w:val="auto"/>
        </w:rPr>
      </w:pPr>
    </w:p>
    <w:p>
      <w:pPr>
        <w:ind w:right="220" w:firstLine="648"/>
        <w:spacing w:after="0" w:line="294" w:lineRule="auto"/>
        <w:rPr>
          <w:sz w:val="20"/>
          <w:szCs w:val="20"/>
          <w:color w:val="auto"/>
        </w:rPr>
      </w:pPr>
      <w:r>
        <w:rPr>
          <w:rFonts w:ascii="Arial" w:cs="Arial" w:eastAsia="Arial" w:hAnsi="Arial"/>
          <w:sz w:val="19"/>
          <w:szCs w:val="19"/>
          <w:color w:val="231F20"/>
        </w:rPr>
        <w:t>On April 20, 2015, the Company created a wholly owned subsidiary, Republic Wireless, Inc. (“Republic”), which was incorporated in Delaware. On November 30, 2016, the Company completed a pro-rata distribution of the common stock of Republic to its stockholders of record as of the close of business (the “Spin-Off”). Each of its stockholders received one share of Republic common stock for each share of Bandwidth common or redeemable convertible preferred stock held as of the close of business on November 30, 2016. Accordingly, the results of operations, financial condition and cash flows of Republic have been presented as discontinued operations for all periods presented in the accompanying consolidated financial statements.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1"/>
          <w:szCs w:val="21"/>
          <w:color w:val="231F20"/>
        </w:rPr>
        <w:t xml:space="preserve">The table below provides the operating results of the discontinued operations for the </w:t>
      </w:r>
      <w:r>
        <w:rPr>
          <w:rFonts w:ascii="Arial" w:cs="Arial" w:eastAsia="Arial" w:hAnsi="Arial"/>
          <w:sz w:val="21"/>
          <w:szCs w:val="21"/>
          <w:color w:val="000000"/>
        </w:rPr>
        <w:t>three and nine</w:t>
      </w:r>
      <w:r>
        <w:rPr>
          <w:rFonts w:ascii="Arial" w:cs="Arial" w:eastAsia="Arial" w:hAnsi="Arial"/>
          <w:sz w:val="21"/>
          <w:szCs w:val="21"/>
          <w:color w:val="231F20"/>
        </w:rPr>
        <w:t xml:space="preserv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231F20"/>
        </w:rPr>
        <w:t>September 30, 2016:</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1880" w:type="dxa"/>
            <w:vAlign w:val="bottom"/>
          </w:tcPr>
          <w:p>
            <w:pPr>
              <w:jc w:val="right"/>
              <w:ind w:right="164"/>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7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September 30, 2016</w:t>
            </w:r>
          </w:p>
        </w:tc>
        <w:tc>
          <w:tcPr>
            <w:tcW w:w="180" w:type="dxa"/>
            <w:vAlign w:val="bottom"/>
          </w:tcPr>
          <w:p>
            <w:pPr>
              <w:spacing w:after="0"/>
              <w:rPr>
                <w:sz w:val="20"/>
                <w:szCs w:val="20"/>
                <w:color w:val="auto"/>
              </w:rPr>
            </w:pPr>
          </w:p>
        </w:tc>
        <w:tc>
          <w:tcPr>
            <w:tcW w:w="1880" w:type="dxa"/>
            <w:vAlign w:val="bottom"/>
          </w:tcPr>
          <w:p>
            <w:pPr>
              <w:jc w:val="right"/>
              <w:ind w:right="184"/>
              <w:spacing w:after="0"/>
              <w:rPr>
                <w:sz w:val="20"/>
                <w:szCs w:val="20"/>
                <w:color w:val="auto"/>
              </w:rPr>
            </w:pPr>
            <w:r>
              <w:rPr>
                <w:rFonts w:ascii="Arial" w:cs="Arial" w:eastAsia="Arial" w:hAnsi="Arial"/>
                <w:sz w:val="18"/>
                <w:szCs w:val="18"/>
                <w:b w:val="1"/>
                <w:bCs w:val="1"/>
                <w:color w:val="auto"/>
                <w:w w:val="93"/>
              </w:rPr>
              <w:t>September 30, 2016</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25,919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68,164</w:t>
            </w:r>
          </w:p>
        </w:tc>
      </w:tr>
      <w:tr>
        <w:trPr>
          <w:trHeight w:val="261"/>
        </w:trPr>
        <w:tc>
          <w:tcPr>
            <w:tcW w:w="7080" w:type="dxa"/>
            <w:vAlign w:val="bottom"/>
          </w:tcPr>
          <w:p>
            <w:pPr>
              <w:ind w:left="40"/>
              <w:spacing w:after="0"/>
              <w:rPr>
                <w:sz w:val="20"/>
                <w:szCs w:val="20"/>
                <w:color w:val="auto"/>
              </w:rPr>
            </w:pPr>
            <w:r>
              <w:rPr>
                <w:rFonts w:ascii="Arial" w:cs="Arial" w:eastAsia="Arial" w:hAnsi="Arial"/>
                <w:sz w:val="20"/>
                <w:szCs w:val="20"/>
                <w:color w:val="auto"/>
              </w:rPr>
              <w:t>Direct costs of network services and equipment</w:t>
            </w:r>
          </w:p>
        </w:tc>
        <w:tc>
          <w:tcPr>
            <w:tcW w:w="18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(19,335)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(50,823)</w:t>
            </w:r>
          </w:p>
        </w:tc>
      </w:tr>
      <w:tr>
        <w:trPr>
          <w:trHeight w:val="23"/>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Operating expense</w:t>
            </w:r>
          </w:p>
        </w:tc>
        <w:tc>
          <w:tcPr>
            <w:tcW w:w="1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(7,072)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(20,312)</w:t>
            </w:r>
          </w:p>
        </w:tc>
      </w:tr>
      <w:tr>
        <w:trPr>
          <w:trHeight w:val="261"/>
        </w:trPr>
        <w:tc>
          <w:tcPr>
            <w:tcW w:w="7080" w:type="dxa"/>
            <w:vAlign w:val="bottom"/>
          </w:tcPr>
          <w:p>
            <w:pPr>
              <w:ind w:left="40"/>
              <w:spacing w:after="0"/>
              <w:rPr>
                <w:sz w:val="20"/>
                <w:szCs w:val="20"/>
                <w:color w:val="auto"/>
              </w:rPr>
            </w:pPr>
            <w:r>
              <w:rPr>
                <w:rFonts w:ascii="Arial" w:cs="Arial" w:eastAsia="Arial" w:hAnsi="Arial"/>
                <w:sz w:val="20"/>
                <w:szCs w:val="20"/>
                <w:color w:val="auto"/>
              </w:rPr>
              <w:t>Depreciation and interest</w:t>
            </w:r>
          </w:p>
        </w:tc>
        <w:tc>
          <w:tcPr>
            <w:tcW w:w="18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(240)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(768)</w:t>
            </w:r>
          </w:p>
        </w:tc>
      </w:tr>
      <w:tr>
        <w:trPr>
          <w:trHeight w:val="23"/>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72"/>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Loss from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(3,739)</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Fair Value of Financial Instruments</w:t>
      </w:r>
    </w:p>
    <w:p>
      <w:pPr>
        <w:spacing w:after="0" w:line="266" w:lineRule="exact"/>
        <w:rPr>
          <w:sz w:val="20"/>
          <w:szCs w:val="20"/>
          <w:color w:val="auto"/>
        </w:rPr>
      </w:pPr>
    </w:p>
    <w:p>
      <w:pPr>
        <w:ind w:right="700" w:firstLine="648"/>
        <w:spacing w:after="0" w:line="312" w:lineRule="auto"/>
        <w:rPr>
          <w:sz w:val="20"/>
          <w:szCs w:val="20"/>
          <w:color w:val="auto"/>
        </w:rPr>
      </w:pPr>
      <w:r>
        <w:rPr>
          <w:rFonts w:ascii="Arial" w:cs="Arial" w:eastAsia="Arial" w:hAnsi="Arial"/>
          <w:sz w:val="19"/>
          <w:szCs w:val="19"/>
          <w:color w:val="auto"/>
        </w:rPr>
        <w:t>The carrying amounts of cash and cash equivalents, accounts receivable, accounts payable and accrued expenses approximate fair value as of December 31, 2016 and September 30, 2017 because of the relatively short duration of these instruments. The carrying value of long-term debt approximates fair value given the interest rates are based on market rates.</w:t>
      </w:r>
    </w:p>
    <w:p>
      <w:pPr>
        <w:spacing w:after="0" w:line="134"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The Company evaluated its financial assets and liabilities subject to fair value measurements on a recurring basis to determine the appropriate level in which to classify them for each reporting period. The following table summarizes the assets and liabilities measured at fair value as of December 31, 2016 and September 30, 2017</w:t>
      </w:r>
      <w:r>
        <w:rPr>
          <w:rFonts w:ascii="Arial" w:cs="Arial" w:eastAsia="Arial" w:hAnsi="Arial"/>
          <w:sz w:val="19"/>
          <w:szCs w:val="19"/>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2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on a Recurring Basis</w:t>
            </w:r>
          </w:p>
        </w:tc>
        <w:tc>
          <w:tcPr>
            <w:tcW w:w="112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88"/>
              </w:rPr>
              <w:t>December 31, 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Level 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Level 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5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Account</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Shareholders’ anti-dilutive arrangement</w:t>
            </w:r>
          </w:p>
        </w:tc>
        <w:tc>
          <w:tcPr>
            <w:tcW w:w="112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2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on a Recurring Basis</w:t>
            </w:r>
          </w:p>
        </w:tc>
        <w:tc>
          <w:tcPr>
            <w:tcW w:w="112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0"/>
              </w:rPr>
              <w:t>September 30, 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Level 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Level 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5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Account</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Shareholders’ anti-dilutive arrangement</w:t>
            </w:r>
          </w:p>
        </w:tc>
        <w:tc>
          <w:tcPr>
            <w:tcW w:w="112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(873)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(873)</w:t>
            </w:r>
          </w:p>
        </w:tc>
      </w:tr>
    </w:tbl>
    <w:p>
      <w:pPr>
        <w:spacing w:after="0" w:line="200" w:lineRule="exact"/>
        <w:rPr>
          <w:sz w:val="20"/>
          <w:szCs w:val="20"/>
          <w:color w:val="auto"/>
        </w:rPr>
      </w:pPr>
    </w:p>
    <w:p>
      <w:pPr>
        <w:spacing w:after="0" w:line="278"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There were no transfers between Levels 1, 2 or 3 during the year ended December 31, 2016 or the nine months ended September 30, 2017.</w:t>
      </w:r>
    </w:p>
    <w:p>
      <w:pPr>
        <w:spacing w:after="0" w:line="200" w:lineRule="exact"/>
        <w:rPr>
          <w:sz w:val="20"/>
          <w:szCs w:val="20"/>
          <w:color w:val="auto"/>
        </w:rPr>
      </w:pPr>
    </w:p>
    <w:p>
      <w:pPr>
        <w:spacing w:after="0" w:line="218"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The money market account is included in cash and cash equivalents in the consolidated balance sheets as of December 31, 2016 and September 30, 2017.</w:t>
      </w:r>
    </w:p>
    <w:p>
      <w:pPr>
        <w:spacing w:after="0" w:line="200" w:lineRule="exact"/>
        <w:rPr>
          <w:sz w:val="20"/>
          <w:szCs w:val="20"/>
          <w:color w:val="auto"/>
        </w:rPr>
      </w:pPr>
    </w:p>
    <w:p>
      <w:pPr>
        <w:spacing w:after="0" w:line="218" w:lineRule="exact"/>
        <w:rPr>
          <w:sz w:val="20"/>
          <w:szCs w:val="20"/>
          <w:color w:val="auto"/>
        </w:rPr>
      </w:pPr>
    </w:p>
    <w:p>
      <w:pPr>
        <w:ind w:right="320" w:firstLine="648"/>
        <w:spacing w:after="0" w:line="260" w:lineRule="auto"/>
        <w:rPr>
          <w:sz w:val="20"/>
          <w:szCs w:val="20"/>
          <w:color w:val="auto"/>
        </w:rPr>
      </w:pPr>
      <w:r>
        <w:rPr>
          <w:rFonts w:ascii="Arial" w:cs="Arial" w:eastAsia="Arial" w:hAnsi="Arial"/>
          <w:sz w:val="21"/>
          <w:szCs w:val="21"/>
          <w:color w:val="auto"/>
        </w:rPr>
        <w:t>On February 22, 2011, the Company entered into an agreement with the Principal Non-Founder Stockholders ("Principal Stockholders"). Under the terms of the agreement, the Principal Stockholders received the right (“shareholders' anti-dilutive arrangement”) to purchase a pro-rata number of shares based on their ownership percentage of outstanding shares, when certain option holders exercise his or her stock option. The price at which the Principal Stockholders may purchase their pro-rata shares matches the exercise price of the option exercised. The Principal Stockholders have 90 days from the date of receipt of notice to inform the Company of their intention to purchase stock under the terms of the agreement. On a quarterly basis, the Company adjusts this liability to fair value.</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agreement terminates by one of the following events:</w:t>
      </w:r>
    </w:p>
    <w:p>
      <w:pPr>
        <w:spacing w:after="0" w:line="200" w:lineRule="exact"/>
        <w:rPr>
          <w:sz w:val="20"/>
          <w:szCs w:val="20"/>
          <w:color w:val="auto"/>
        </w:rPr>
      </w:pPr>
    </w:p>
    <w:p>
      <w:pPr>
        <w:spacing w:after="0" w:line="263" w:lineRule="exact"/>
        <w:rPr>
          <w:sz w:val="20"/>
          <w:szCs w:val="20"/>
          <w:color w:val="auto"/>
        </w:rPr>
      </w:pPr>
    </w:p>
    <w:p>
      <w:pPr>
        <w:ind w:left="1300" w:hanging="320"/>
        <w:spacing w:after="0" w:line="263"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closing of a “Qualified Public Offering,” which is defined as one resulting in aggregate net proceeds to the Company equal to or greater than $20 million, or</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“true sale” as defined in the Investors’ Rights Agreement.</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termination of the agreement, this liability would terminate.</w:t>
      </w:r>
    </w:p>
    <w:p>
      <w:pPr>
        <w:spacing w:after="0" w:line="247" w:lineRule="exact"/>
        <w:rPr>
          <w:sz w:val="20"/>
          <w:szCs w:val="20"/>
          <w:color w:val="auto"/>
        </w:rPr>
      </w:pPr>
    </w:p>
    <w:p>
      <w:pPr>
        <w:ind w:right="60" w:firstLine="648"/>
        <w:spacing w:after="0" w:line="254" w:lineRule="auto"/>
        <w:rPr>
          <w:sz w:val="20"/>
          <w:szCs w:val="20"/>
          <w:color w:val="auto"/>
        </w:rPr>
      </w:pPr>
      <w:r>
        <w:rPr>
          <w:rFonts w:ascii="Arial" w:cs="Arial" w:eastAsia="Arial" w:hAnsi="Arial"/>
          <w:sz w:val="22"/>
          <w:szCs w:val="22"/>
          <w:color w:val="auto"/>
        </w:rPr>
        <w:t xml:space="preserve">The shareholders’ anti-dilutive arrangement is included in other liabilities in the consolidated balance sheets as of December 31, 2016 and September 30, 2017. The change in fair value of the Level 3 liability resulted in $136 </w:t>
      </w:r>
      <w:r>
        <w:rPr>
          <w:rFonts w:ascii="Arial" w:cs="Arial" w:eastAsia="Arial" w:hAnsi="Arial"/>
          <w:sz w:val="18"/>
          <w:szCs w:val="18"/>
          <w:color w:val="auto"/>
        </w:rPr>
        <w:t>and</w:t>
      </w:r>
      <w:r>
        <w:rPr>
          <w:rFonts w:ascii="Arial" w:cs="Arial" w:eastAsia="Arial" w:hAnsi="Arial"/>
          <w:sz w:val="22"/>
          <w:szCs w:val="22"/>
          <w:color w:val="auto"/>
        </w:rPr>
        <w:t xml:space="preserve"> $689 of additional expense for the three and nine months ended September 30, 2017, respectively, which is recorded in other expense in the condensed consolidated statements of operations and comprehensive income.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The fair value of the shareholders’ anti-dilutive arrangement is estimated using the Black-Scholes-Merton option pricing model. The significant unobservable inputs used in the fair value measurement of the shareholders’ anti-dilutive arrangement are the fair value of the Company’s stock and the expected term of the options. The expected term is calculated as a weighted average of the estimated time to IPO as of the measurement date and the historical average term of options subject to the agreement which were vested and expired or were exercised. Volatility is based on the historical volatility of certain public entities that are similar to the Company as the Company does not have sufficient historical transactions of its own shares on which to base expected volatility. Significant increases (decreases) in the fair value of the Company’s stock price would result in a significantly larger (smaller) fair value liability measurement. Significant increases (decreases) in the expected term would result in a larger (smaller) fair value liability measurement.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Financial Statement Components</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Accounts receivable, net of allowance for doubtful accounts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40,351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Unbilled accounts receivable</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7,859</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accounts receivable</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532</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9"/>
          <w:szCs w:val="19"/>
          <w:color w:val="auto"/>
        </w:rPr>
        <w:t>Accounts receivable are stated at realizable value, net of an allowance for doubtful accounts. The allowance for doubtful accounts is based on management’s assessment of the collectability of its accounts receivable. The Company regularly reviews the composition of the accounts receivable aging, historical bad debts, changes in payment patterns, customer creditworthiness and current economic trends. If the financial condition of customers were to deteriorate, resulting in their inability to make required payments, additional provisions for doubtful accounts would be required and would increase bad debt expense. Management has evaluated the collectability of trade accounts receivable and determined that allowances of approximately $22,571 and $30,040 for uncollectible accounts and customer balances that are disputed were required as of December 31, 2016 and September 30, 2017, respectively. The allowance for doubtful accounts primarily relates to billings for CABS services where collectability was not probable. A roll forward of the components of the allowance for doubtful accounts for the three and nine months ended September 30, 2016 and 2017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Allowance for doubtful accounts: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3"/>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3"/>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Charged to bad debt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Deductions(1)</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620" w:right="4720" w:hanging="5126"/>
        <w:spacing w:after="0" w:line="587" w:lineRule="auto"/>
        <w:tabs>
          <w:tab w:leader="none" w:pos="745" w:val="left"/>
        </w:tabs>
        <w:numPr>
          <w:ilvl w:val="0"/>
          <w:numId w:val="5"/>
        </w:numPr>
        <w:rPr>
          <w:rFonts w:ascii="Arial" w:cs="Arial" w:eastAsia="Arial" w:hAnsi="Arial"/>
          <w:sz w:val="17"/>
          <w:szCs w:val="17"/>
          <w:color w:val="auto"/>
        </w:rPr>
      </w:pPr>
      <w:r>
        <w:rPr>
          <w:rFonts w:ascii="Arial" w:cs="Arial" w:eastAsia="Arial" w:hAnsi="Arial"/>
          <w:sz w:val="17"/>
          <w:szCs w:val="17"/>
          <w:color w:val="auto"/>
        </w:rPr>
        <w:t>Write off of uncollectible accounts after all collection efforts have been exhausted. 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4"/>
          </w:tcPr>
          <w:p>
            <w:pPr>
              <w:jc w:val="right"/>
              <w:ind w:right="90"/>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33"/>
        </w:trPr>
        <w:tc>
          <w:tcPr>
            <w:tcW w:w="55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Allowance for CABS revenue: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3"/>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22,316</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Billings deemed not probable of collection(1)</w:t>
            </w: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5,119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Deductions(2)</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20,759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29,864</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20,759</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17145</wp:posOffset>
            </wp:positionV>
            <wp:extent cx="3636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-95885</wp:posOffset>
            </wp:positionV>
            <wp:extent cx="36360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 w:lineRule="exact"/>
        <w:rPr>
          <w:sz w:val="20"/>
          <w:szCs w:val="20"/>
          <w:color w:val="auto"/>
        </w:rPr>
      </w:pPr>
    </w:p>
    <w:p>
      <w:pPr>
        <w:ind w:left="60" w:right="240" w:firstLine="488"/>
        <w:spacing w:after="0" w:line="249" w:lineRule="auto"/>
        <w:tabs>
          <w:tab w:leader="none" w:pos="801"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amounts billed but where collectibility is not probable based on customers collection experience. Amounts were charged to a contra-revenue account.</w:t>
      </w:r>
    </w:p>
    <w:p>
      <w:pPr>
        <w:spacing w:after="0" w:line="1" w:lineRule="exact"/>
        <w:rPr>
          <w:rFonts w:ascii="Arial" w:cs="Arial" w:eastAsia="Arial" w:hAnsi="Arial"/>
          <w:sz w:val="18"/>
          <w:szCs w:val="18"/>
          <w:color w:val="auto"/>
        </w:rPr>
      </w:pPr>
    </w:p>
    <w:p>
      <w:pPr>
        <w:ind w:left="800" w:hanging="25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Write off of uncollectible accounts after all collection efforts have been exhausted.</w:t>
      </w:r>
    </w:p>
    <w:p>
      <w:pPr>
        <w:sectPr>
          <w:pgSz w:w="11900" w:h="16838" w:orient="portrait"/>
          <w:cols w:equalWidth="0" w:num="1">
            <w:col w:w="11420"/>
          </w:cols>
          <w:pgMar w:left="240" w:top="121" w:right="239" w:bottom="0" w:gutter="0" w:footer="0" w:header="0"/>
        </w:sectPr>
      </w:pPr>
    </w:p>
    <w:p>
      <w:pPr>
        <w:spacing w:after="0" w:line="157"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Three Months Ended</w:t>
      </w:r>
    </w:p>
    <w:p>
      <w:pPr>
        <w:spacing w:after="0" w:line="49"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62" w:lineRule="exact"/>
        <w:rPr>
          <w:sz w:val="20"/>
          <w:szCs w:val="20"/>
          <w:color w:val="auto"/>
        </w:rPr>
      </w:pPr>
    </w:p>
    <w:p>
      <w:pPr>
        <w:sectPr>
          <w:pgSz w:w="11900" w:h="16838" w:orient="portrait"/>
          <w:cols w:equalWidth="0" w:num="2">
            <w:col w:w="7980" w:space="720"/>
            <w:col w:w="272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55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CABS revenue:</w:t>
            </w: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deemed not probable of collection(1)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right="280" w:firstLine="494"/>
        <w:spacing w:after="0" w:line="324" w:lineRule="auto"/>
        <w:tabs>
          <w:tab w:leader="none" w:pos="741"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billed but where collectibility is not probable based on customers collection experience. Amounts were charged to a contra-revenue account.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Accrued expenses and other current liabilities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compensation and benefits(1)</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use, and telecom related taxes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right="200" w:firstLine="656"/>
        <w:spacing w:after="0" w:line="259" w:lineRule="auto"/>
        <w:tabs>
          <w:tab w:leader="none" w:pos="903" w:val="left"/>
        </w:tabs>
        <w:numPr>
          <w:ilvl w:val="1"/>
          <w:numId w:val="8"/>
        </w:numPr>
        <w:rPr>
          <w:rFonts w:ascii="Arial" w:cs="Arial" w:eastAsia="Arial" w:hAnsi="Arial"/>
          <w:sz w:val="18"/>
          <w:szCs w:val="18"/>
          <w:color w:val="auto"/>
        </w:rPr>
      </w:pPr>
      <w:r>
        <w:rPr>
          <w:rFonts w:ascii="Arial" w:cs="Arial" w:eastAsia="Arial" w:hAnsi="Arial"/>
          <w:sz w:val="18"/>
          <w:szCs w:val="18"/>
          <w:color w:val="auto"/>
        </w:rPr>
        <w:t>On September 1, 2017, the Company reached a separation agreement with one of its executives. The agreement resulted in a severance liability of approximately $660 as of September 30, 2017.</w:t>
      </w:r>
    </w:p>
    <w:p>
      <w:pPr>
        <w:spacing w:after="0" w:line="186"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Property and Equipment</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Property and equipment, net consisted of the following:</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7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Computer and office equipment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7,525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Telecommunications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453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Software development costs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Automobile</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40,681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Less—accumulated depreciation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(28,292)</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center"/>
        <w:ind w:right="620"/>
        <w:spacing w:after="0"/>
        <w:rPr>
          <w:sz w:val="20"/>
          <w:szCs w:val="20"/>
          <w:color w:val="auto"/>
        </w:rPr>
      </w:pPr>
      <w:r>
        <w:rPr>
          <w:rFonts w:ascii="Arial" w:cs="Arial" w:eastAsia="Arial" w:hAnsi="Arial"/>
          <w:sz w:val="22"/>
          <w:szCs w:val="22"/>
          <w:color w:val="auto"/>
        </w:rPr>
        <w:t>The Company capitalized $612 and $1,537 of software development costs in the three and nine months ended</w:t>
      </w:r>
    </w:p>
    <w:p>
      <w:pPr>
        <w:spacing w:after="0" w:line="22" w:lineRule="exact"/>
        <w:rPr>
          <w:sz w:val="20"/>
          <w:szCs w:val="20"/>
          <w:color w:val="auto"/>
        </w:rPr>
      </w:pPr>
    </w:p>
    <w:p>
      <w:pPr>
        <w:jc w:val="center"/>
        <w:ind w:right="560"/>
        <w:spacing w:after="0"/>
        <w:rPr>
          <w:sz w:val="20"/>
          <w:szCs w:val="20"/>
          <w:color w:val="auto"/>
        </w:rPr>
      </w:pPr>
      <w:r>
        <w:rPr>
          <w:rFonts w:ascii="Arial" w:cs="Arial" w:eastAsia="Arial" w:hAnsi="Arial"/>
          <w:sz w:val="19"/>
          <w:szCs w:val="19"/>
          <w:color w:val="auto"/>
        </w:rPr>
        <w:t>September 30, 2016, respectively, and $988 and $2,586 in the three and nine months ended September 30, 2017, respectively.</w:t>
      </w:r>
    </w:p>
    <w:p>
      <w:pPr>
        <w:spacing w:after="0" w:line="263" w:lineRule="exact"/>
        <w:rPr>
          <w:sz w:val="20"/>
          <w:szCs w:val="20"/>
          <w:color w:val="auto"/>
        </w:rPr>
      </w:pPr>
    </w:p>
    <w:p>
      <w:pPr>
        <w:ind w:right="480" w:firstLine="648"/>
        <w:spacing w:after="0" w:line="343" w:lineRule="auto"/>
        <w:rPr>
          <w:sz w:val="20"/>
          <w:szCs w:val="20"/>
          <w:color w:val="auto"/>
        </w:rPr>
      </w:pPr>
      <w:r>
        <w:rPr>
          <w:rFonts w:ascii="Arial" w:cs="Arial" w:eastAsia="Arial" w:hAnsi="Arial"/>
          <w:sz w:val="19"/>
          <w:szCs w:val="19"/>
          <w:color w:val="auto"/>
        </w:rPr>
        <w:t>Amortization of capitalized software development costs was $929 and $2,766 for the three and nine months ended September 30, 2016, respectively, and $524 and $1,659 for the three and nine months ended September 30, 2017, respectively.</w:t>
      </w:r>
    </w:p>
    <w:p>
      <w:pPr>
        <w:spacing w:after="0" w:line="13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recognized depreciation expense, which includes amortization of capitalized software development costs, as follows:</w:t>
      </w:r>
    </w:p>
    <w:p>
      <w:pPr>
        <w:sectPr>
          <w:pgSz w:w="11900" w:h="16838" w:orient="portrait"/>
          <w:cols w:equalWidth="0" w:num="1">
            <w:col w:w="11420"/>
          </w:cols>
          <w:pgMar w:left="240" w:top="121" w:right="239" w:bottom="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368"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0"/>
              </w:rPr>
              <w:t>September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7"/>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327</w:t>
            </w:r>
          </w:p>
        </w:tc>
      </w:tr>
      <w:tr>
        <w:trPr>
          <w:trHeight w:val="27"/>
        </w:trPr>
        <w:tc>
          <w:tcPr>
            <w:tcW w:w="5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depreciation expense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1,325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Intangible Assets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Intangible assets consisted of the following as of December 31, 2016:</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Net Carrying</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7,364</w:t>
            </w: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Domain name and related trademarks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 amortizable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2–5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Licenses, indefinite lived</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3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Intangible assets consisted of the following as of September 30, 2017:</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Net Carrying</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6,974</w:t>
            </w: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Domain name and related trademarks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 amortizable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2–5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Licenses, indefinite lived</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7,853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Amortization expense for definite lived intangible assets was $222 and $669 in the three and nine months ended September 30, 2016, respectively, and $210 and $629 in the three and nine months ended September 30, 2017, respectively. The weighted average amortization period for all definite lived intangible assets is 19 years.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Future estimated amortization expense subsequent to September 30, 2017 is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94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Amount</w:t>
            </w:r>
          </w:p>
        </w:tc>
      </w:tr>
      <w:tr>
        <w:trPr>
          <w:trHeight w:val="297"/>
        </w:trPr>
        <w:tc>
          <w:tcPr>
            <w:tcW w:w="94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2017 (remaining three months)</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209</w:t>
            </w:r>
          </w:p>
        </w:tc>
      </w:tr>
      <w:tr>
        <w:trPr>
          <w:trHeight w:val="289"/>
        </w:trPr>
        <w:tc>
          <w:tcPr>
            <w:tcW w:w="9440" w:type="dxa"/>
            <w:vAlign w:val="bottom"/>
          </w:tcPr>
          <w:p>
            <w:pPr>
              <w:ind w:left="40"/>
              <w:spacing w:after="0"/>
              <w:rPr>
                <w:sz w:val="20"/>
                <w:szCs w:val="20"/>
                <w:color w:val="auto"/>
              </w:rPr>
            </w:pPr>
            <w:r>
              <w:rPr>
                <w:rFonts w:ascii="Arial" w:cs="Arial" w:eastAsia="Arial" w:hAnsi="Arial"/>
                <w:sz w:val="22"/>
                <w:szCs w:val="22"/>
                <w:color w:val="auto"/>
              </w:rPr>
              <w:t>2018</w:t>
            </w:r>
          </w:p>
        </w:tc>
        <w:tc>
          <w:tcPr>
            <w:tcW w:w="380" w:type="dxa"/>
            <w:vAlign w:val="bottom"/>
          </w:tcPr>
          <w:p>
            <w:pPr>
              <w:spacing w:after="0"/>
              <w:rPr>
                <w:sz w:val="24"/>
                <w:szCs w:val="24"/>
                <w:color w:val="auto"/>
              </w:rPr>
            </w:pPr>
          </w:p>
        </w:tc>
        <w:tc>
          <w:tcPr>
            <w:tcW w:w="1580" w:type="dxa"/>
            <w:vAlign w:val="bottom"/>
          </w:tcPr>
          <w:p>
            <w:pPr>
              <w:jc w:val="right"/>
              <w:ind w:right="12"/>
              <w:spacing w:after="0"/>
              <w:rPr>
                <w:sz w:val="20"/>
                <w:szCs w:val="20"/>
                <w:color w:val="auto"/>
              </w:rPr>
            </w:pPr>
            <w:r>
              <w:rPr>
                <w:rFonts w:ascii="Arial" w:cs="Arial" w:eastAsia="Arial" w:hAnsi="Arial"/>
                <w:sz w:val="22"/>
                <w:szCs w:val="22"/>
                <w:color w:val="auto"/>
              </w:rPr>
              <w:t>555</w:t>
            </w:r>
          </w:p>
        </w:tc>
      </w:tr>
      <w:tr>
        <w:trPr>
          <w:trHeight w:val="306"/>
        </w:trPr>
        <w:tc>
          <w:tcPr>
            <w:tcW w:w="94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2019</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520</w:t>
            </w:r>
          </w:p>
        </w:tc>
      </w:tr>
      <w:tr>
        <w:trPr>
          <w:trHeight w:val="289"/>
        </w:trPr>
        <w:tc>
          <w:tcPr>
            <w:tcW w:w="9440" w:type="dxa"/>
            <w:vAlign w:val="bottom"/>
          </w:tcPr>
          <w:p>
            <w:pPr>
              <w:ind w:left="40"/>
              <w:spacing w:after="0"/>
              <w:rPr>
                <w:sz w:val="20"/>
                <w:szCs w:val="20"/>
                <w:color w:val="auto"/>
              </w:rPr>
            </w:pPr>
            <w:r>
              <w:rPr>
                <w:rFonts w:ascii="Arial" w:cs="Arial" w:eastAsia="Arial" w:hAnsi="Arial"/>
                <w:sz w:val="22"/>
                <w:szCs w:val="22"/>
                <w:color w:val="auto"/>
              </w:rPr>
              <w:t>2020</w:t>
            </w:r>
          </w:p>
        </w:tc>
        <w:tc>
          <w:tcPr>
            <w:tcW w:w="380" w:type="dxa"/>
            <w:vAlign w:val="bottom"/>
          </w:tcPr>
          <w:p>
            <w:pPr>
              <w:spacing w:after="0"/>
              <w:rPr>
                <w:sz w:val="24"/>
                <w:szCs w:val="24"/>
                <w:color w:val="auto"/>
              </w:rPr>
            </w:pPr>
          </w:p>
        </w:tc>
        <w:tc>
          <w:tcPr>
            <w:tcW w:w="1580" w:type="dxa"/>
            <w:vAlign w:val="bottom"/>
          </w:tcPr>
          <w:p>
            <w:pPr>
              <w:jc w:val="right"/>
              <w:ind w:right="12"/>
              <w:spacing w:after="0"/>
              <w:rPr>
                <w:sz w:val="20"/>
                <w:szCs w:val="20"/>
                <w:color w:val="auto"/>
              </w:rPr>
            </w:pPr>
            <w:r>
              <w:rPr>
                <w:rFonts w:ascii="Arial" w:cs="Arial" w:eastAsia="Arial" w:hAnsi="Arial"/>
                <w:sz w:val="22"/>
                <w:szCs w:val="22"/>
                <w:color w:val="auto"/>
              </w:rPr>
              <w:t>520</w:t>
            </w:r>
          </w:p>
        </w:tc>
      </w:tr>
      <w:tr>
        <w:trPr>
          <w:trHeight w:val="306"/>
        </w:trPr>
        <w:tc>
          <w:tcPr>
            <w:tcW w:w="94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2021</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520</w:t>
            </w:r>
          </w:p>
        </w:tc>
      </w:tr>
      <w:tr>
        <w:trPr>
          <w:trHeight w:val="291"/>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Thereafter</w:t>
            </w: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4,765</w:t>
            </w:r>
          </w:p>
        </w:tc>
      </w:tr>
      <w:tr>
        <w:trPr>
          <w:trHeight w:val="291"/>
        </w:trPr>
        <w:tc>
          <w:tcPr>
            <w:tcW w:w="94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7,089</w:t>
            </w:r>
          </w:p>
        </w:tc>
      </w:tr>
      <w:tr>
        <w:trPr>
          <w:trHeight w:val="20"/>
        </w:trPr>
        <w:tc>
          <w:tcPr>
            <w:tcW w:w="9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Debt</w:t>
      </w:r>
    </w:p>
    <w:p>
      <w:pPr>
        <w:spacing w:after="0" w:line="253" w:lineRule="exact"/>
        <w:rPr>
          <w:sz w:val="20"/>
          <w:szCs w:val="20"/>
          <w:color w:val="auto"/>
        </w:rPr>
      </w:pPr>
    </w:p>
    <w:p>
      <w:pPr>
        <w:ind w:right="220" w:firstLine="432"/>
        <w:spacing w:after="0" w:line="247" w:lineRule="auto"/>
        <w:rPr>
          <w:sz w:val="20"/>
          <w:szCs w:val="20"/>
          <w:color w:val="auto"/>
        </w:rPr>
      </w:pPr>
      <w:r>
        <w:rPr>
          <w:rFonts w:ascii="Arial" w:cs="Arial" w:eastAsia="Arial" w:hAnsi="Arial"/>
          <w:sz w:val="22"/>
          <w:szCs w:val="22"/>
          <w:color w:val="auto"/>
        </w:rPr>
        <w:t>As of December 31, 2016 and September 30, 2017, the Company had $40,000 and $38,500, respectively, outstanding on the term loan and $5,000 and $0, respectively, on the revolving loan and was in compliance with all financial and non-financial covenants for all periods presented. The available borrowing under the Credit and Security Agreement was $25,000 as of September 30, 2017. Beginning on March 31, 2017, the term loan is payable in consecutive equal quarterly installments with the balance payable in full on the term loan maturity date (November 3, 2021). Future payments under the term loan subsequent to September 30, 2017 are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93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Amount</w:t>
            </w:r>
          </w:p>
        </w:tc>
      </w:tr>
      <w:tr>
        <w:trPr>
          <w:trHeight w:val="297"/>
        </w:trPr>
        <w:tc>
          <w:tcPr>
            <w:tcW w:w="93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2017 (remaining three months)</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500</w:t>
            </w:r>
          </w:p>
        </w:tc>
      </w:tr>
      <w:tr>
        <w:trPr>
          <w:trHeight w:val="289"/>
        </w:trPr>
        <w:tc>
          <w:tcPr>
            <w:tcW w:w="9340" w:type="dxa"/>
            <w:vAlign w:val="bottom"/>
          </w:tcPr>
          <w:p>
            <w:pPr>
              <w:ind w:left="40"/>
              <w:spacing w:after="0"/>
              <w:rPr>
                <w:sz w:val="20"/>
                <w:szCs w:val="20"/>
                <w:color w:val="auto"/>
              </w:rPr>
            </w:pPr>
            <w:r>
              <w:rPr>
                <w:rFonts w:ascii="Arial" w:cs="Arial" w:eastAsia="Arial" w:hAnsi="Arial"/>
                <w:sz w:val="22"/>
                <w:szCs w:val="22"/>
                <w:color w:val="auto"/>
              </w:rPr>
              <w:t>2018</w:t>
            </w:r>
          </w:p>
        </w:tc>
        <w:tc>
          <w:tcPr>
            <w:tcW w:w="4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22"/>
                <w:szCs w:val="22"/>
                <w:color w:val="auto"/>
              </w:rPr>
              <w:t>3,000</w:t>
            </w:r>
          </w:p>
        </w:tc>
      </w:tr>
      <w:tr>
        <w:trPr>
          <w:trHeight w:val="306"/>
        </w:trPr>
        <w:tc>
          <w:tcPr>
            <w:tcW w:w="93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2019</w:t>
            </w: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3,000</w:t>
            </w:r>
          </w:p>
        </w:tc>
      </w:tr>
      <w:tr>
        <w:trPr>
          <w:trHeight w:val="289"/>
        </w:trPr>
        <w:tc>
          <w:tcPr>
            <w:tcW w:w="9340" w:type="dxa"/>
            <w:vAlign w:val="bottom"/>
          </w:tcPr>
          <w:p>
            <w:pPr>
              <w:ind w:left="40"/>
              <w:spacing w:after="0"/>
              <w:rPr>
                <w:sz w:val="20"/>
                <w:szCs w:val="20"/>
                <w:color w:val="auto"/>
              </w:rPr>
            </w:pPr>
            <w:r>
              <w:rPr>
                <w:rFonts w:ascii="Arial" w:cs="Arial" w:eastAsia="Arial" w:hAnsi="Arial"/>
                <w:sz w:val="22"/>
                <w:szCs w:val="22"/>
                <w:color w:val="auto"/>
              </w:rPr>
              <w:t>2020</w:t>
            </w:r>
          </w:p>
        </w:tc>
        <w:tc>
          <w:tcPr>
            <w:tcW w:w="4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22"/>
                <w:szCs w:val="22"/>
                <w:color w:val="auto"/>
              </w:rPr>
              <w:t>4,000</w:t>
            </w:r>
          </w:p>
        </w:tc>
      </w:tr>
      <w:tr>
        <w:trPr>
          <w:trHeight w:val="299"/>
        </w:trPr>
        <w:tc>
          <w:tcPr>
            <w:tcW w:w="93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2021</w:t>
            </w:r>
          </w:p>
        </w:tc>
        <w:tc>
          <w:tcPr>
            <w:tcW w:w="40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28,000</w:t>
            </w:r>
          </w:p>
        </w:tc>
      </w:tr>
      <w:tr>
        <w:trPr>
          <w:trHeight w:val="291"/>
        </w:trPr>
        <w:tc>
          <w:tcPr>
            <w:tcW w:w="9340" w:type="dxa"/>
            <w:vAlign w:val="bottom"/>
          </w:tcPr>
          <w:p>
            <w:pPr>
              <w:spacing w:after="0"/>
              <w:rPr>
                <w:sz w:val="24"/>
                <w:szCs w:val="24"/>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38,500</w:t>
            </w:r>
          </w:p>
        </w:tc>
      </w:tr>
      <w:tr>
        <w:trPr>
          <w:trHeight w:val="20"/>
        </w:trPr>
        <w:tc>
          <w:tcPr>
            <w:tcW w:w="9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300" w:firstLine="432"/>
        <w:spacing w:after="0" w:line="312" w:lineRule="auto"/>
        <w:rPr>
          <w:sz w:val="20"/>
          <w:szCs w:val="20"/>
          <w:color w:val="auto"/>
        </w:rPr>
      </w:pPr>
      <w:r>
        <w:rPr>
          <w:rFonts w:ascii="Arial" w:cs="Arial" w:eastAsia="Arial" w:hAnsi="Arial"/>
          <w:sz w:val="19"/>
          <w:szCs w:val="19"/>
          <w:color w:val="auto"/>
        </w:rPr>
        <w:t>As of December 31, 2016 and September 30, 2017, the outstanding unamortized loan fees for the revolving loan were $199 and $163, respectively, and were included in other long-term assets. As of December 31, 2016 and September 30, 2017, unamortized loan fees for the term loan were $326 and $266, respectively, which are netted against long-term debt.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Capital Leases</w:t>
      </w:r>
    </w:p>
    <w:p>
      <w:pPr>
        <w:spacing w:after="0" w:line="247" w:lineRule="exact"/>
        <w:rPr>
          <w:sz w:val="20"/>
          <w:szCs w:val="20"/>
          <w:color w:val="auto"/>
        </w:rPr>
      </w:pPr>
    </w:p>
    <w:p>
      <w:pPr>
        <w:ind w:right="40" w:firstLine="432"/>
        <w:spacing w:after="0" w:line="302" w:lineRule="auto"/>
        <w:rPr>
          <w:sz w:val="20"/>
          <w:szCs w:val="20"/>
          <w:color w:val="auto"/>
        </w:rPr>
      </w:pPr>
      <w:r>
        <w:rPr>
          <w:rFonts w:ascii="Arial" w:cs="Arial" w:eastAsia="Arial" w:hAnsi="Arial"/>
          <w:sz w:val="19"/>
          <w:szCs w:val="19"/>
          <w:color w:val="auto"/>
        </w:rPr>
        <w:t>The Company leases various equipment under leases accounted for as capital leases with expiration dates ranging from March 2016 through October 2018. As of December 31, 2016, cost and accumulated depreciation of the assets under capital leases recorded by the Company were $1,951 and $1,807, respectively. As of September 30, 2017, cost and accumulated depreciation of the assets under capital leases recorded by the Company were $1,951 and $1,865, respectively.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Remaining payments due on the Company’s capital lease obligations as of September 30, 2017,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93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Amount</w:t>
            </w:r>
          </w:p>
        </w:tc>
      </w:tr>
      <w:tr>
        <w:trPr>
          <w:trHeight w:val="297"/>
        </w:trPr>
        <w:tc>
          <w:tcPr>
            <w:tcW w:w="93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2017</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25</w:t>
            </w:r>
          </w:p>
        </w:tc>
      </w:tr>
      <w:tr>
        <w:trPr>
          <w:trHeight w:val="289"/>
        </w:trPr>
        <w:tc>
          <w:tcPr>
            <w:tcW w:w="9340" w:type="dxa"/>
            <w:vAlign w:val="bottom"/>
          </w:tcPr>
          <w:p>
            <w:pPr>
              <w:ind w:left="40"/>
              <w:spacing w:after="0"/>
              <w:rPr>
                <w:sz w:val="20"/>
                <w:szCs w:val="20"/>
                <w:color w:val="auto"/>
              </w:rPr>
            </w:pPr>
            <w:r>
              <w:rPr>
                <w:rFonts w:ascii="Arial" w:cs="Arial" w:eastAsia="Arial" w:hAnsi="Arial"/>
                <w:sz w:val="22"/>
                <w:szCs w:val="22"/>
                <w:color w:val="auto"/>
              </w:rPr>
              <w:t>2018</w:t>
            </w:r>
          </w:p>
        </w:tc>
        <w:tc>
          <w:tcPr>
            <w:tcW w:w="4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22"/>
                <w:szCs w:val="22"/>
                <w:color w:val="auto"/>
              </w:rPr>
              <w:t>91</w:t>
            </w:r>
          </w:p>
        </w:tc>
      </w:tr>
      <w:tr>
        <w:trPr>
          <w:trHeight w:val="299"/>
        </w:trPr>
        <w:tc>
          <w:tcPr>
            <w:tcW w:w="9340" w:type="dxa"/>
            <w:vAlign w:val="bottom"/>
            <w:shd w:val="clear" w:color="auto" w:fill="CCEEFF"/>
          </w:tcPr>
          <w:p>
            <w:pPr>
              <w:ind w:left="40"/>
              <w:spacing w:after="0"/>
              <w:rPr>
                <w:sz w:val="20"/>
                <w:szCs w:val="20"/>
                <w:color w:val="auto"/>
              </w:rPr>
            </w:pPr>
            <w:r>
              <w:rPr>
                <w:rFonts w:ascii="Arial" w:cs="Arial" w:eastAsia="Arial" w:hAnsi="Arial"/>
                <w:sz w:val="22"/>
                <w:szCs w:val="22"/>
                <w:color w:val="auto"/>
              </w:rPr>
              <w:t>Less amount representing interest</w:t>
            </w:r>
          </w:p>
        </w:tc>
        <w:tc>
          <w:tcPr>
            <w:tcW w:w="40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w:t>
            </w:r>
          </w:p>
        </w:tc>
      </w:tr>
      <w:tr>
        <w:trPr>
          <w:trHeight w:val="289"/>
        </w:trPr>
        <w:tc>
          <w:tcPr>
            <w:tcW w:w="9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22"/>
                <w:szCs w:val="22"/>
                <w:color w:val="auto"/>
              </w:rPr>
              <w:t>116</w:t>
            </w:r>
          </w:p>
        </w:tc>
      </w:tr>
      <w:tr>
        <w:trPr>
          <w:trHeight w:val="299"/>
        </w:trPr>
        <w:tc>
          <w:tcPr>
            <w:tcW w:w="9340" w:type="dxa"/>
            <w:vAlign w:val="bottom"/>
            <w:shd w:val="clear" w:color="auto" w:fill="CCEEFF"/>
          </w:tcPr>
          <w:p>
            <w:pPr>
              <w:ind w:left="40"/>
              <w:spacing w:after="0"/>
              <w:rPr>
                <w:sz w:val="20"/>
                <w:szCs w:val="20"/>
                <w:color w:val="auto"/>
              </w:rPr>
            </w:pPr>
            <w:r>
              <w:rPr>
                <w:rFonts w:ascii="Arial" w:cs="Arial" w:eastAsia="Arial" w:hAnsi="Arial"/>
                <w:sz w:val="22"/>
                <w:szCs w:val="22"/>
                <w:color w:val="auto"/>
              </w:rPr>
              <w:t>Less current maturities</w:t>
            </w:r>
          </w:p>
        </w:tc>
        <w:tc>
          <w:tcPr>
            <w:tcW w:w="40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99</w:t>
            </w:r>
          </w:p>
        </w:tc>
      </w:tr>
      <w:tr>
        <w:trPr>
          <w:trHeight w:val="291"/>
        </w:trPr>
        <w:tc>
          <w:tcPr>
            <w:tcW w:w="9340" w:type="dxa"/>
            <w:vAlign w:val="bottom"/>
          </w:tcPr>
          <w:p>
            <w:pPr>
              <w:spacing w:after="0"/>
              <w:rPr>
                <w:sz w:val="24"/>
                <w:szCs w:val="24"/>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w:t>
            </w:r>
          </w:p>
        </w:tc>
      </w:tr>
      <w:tr>
        <w:trPr>
          <w:trHeight w:val="20"/>
        </w:trPr>
        <w:tc>
          <w:tcPr>
            <w:tcW w:w="9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Segment and Geographic Information</w:t>
      </w:r>
    </w:p>
    <w:p>
      <w:pPr>
        <w:spacing w:after="0" w:line="253" w:lineRule="exact"/>
        <w:rPr>
          <w:sz w:val="20"/>
          <w:szCs w:val="20"/>
          <w:color w:val="auto"/>
        </w:rPr>
      </w:pPr>
    </w:p>
    <w:p>
      <w:pPr>
        <w:ind w:right="300" w:firstLine="648"/>
        <w:spacing w:after="0" w:line="248" w:lineRule="auto"/>
        <w:rPr>
          <w:sz w:val="20"/>
          <w:szCs w:val="20"/>
          <w:color w:val="auto"/>
        </w:rPr>
      </w:pPr>
      <w:r>
        <w:rPr>
          <w:rFonts w:ascii="Arial" w:cs="Arial" w:eastAsia="Arial" w:hAnsi="Arial"/>
          <w:sz w:val="22"/>
          <w:szCs w:val="22"/>
          <w:color w:val="auto"/>
        </w:rPr>
        <w:t>The Company has two reportable segments CPaaS and Other. Segments are evaluated based on revenue and gross profit. The Company does not allocate operating expenses, interest expense or income tax expense to its segments. Accordingly, the Company does not report such information. Additionally, the Chief Operating Decision Maker ("CODM") does not evaluate the Company’s operating segments using discrete asset information. The segments share the majority of the Company’s assets. Therefore, no segment asset information is reported.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CPaaS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30,249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33,397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86,900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96,591</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18,197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53,576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56,394</w:t>
            </w:r>
          </w:p>
        </w:tc>
      </w:tr>
      <w:tr>
        <w:trPr>
          <w:trHeight w:val="237"/>
        </w:trPr>
        <w:tc>
          <w:tcPr>
            <w:tcW w:w="514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12,052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14,150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33,324</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40,197</w:t>
            </w:r>
          </w:p>
        </w:tc>
      </w:tr>
      <w:tr>
        <w:trPr>
          <w:trHeight w:val="67"/>
        </w:trPr>
        <w:tc>
          <w:tcPr>
            <w:tcW w:w="51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8,354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7,941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26,473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23,898</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10,037</w:t>
            </w:r>
          </w:p>
        </w:tc>
      </w:tr>
      <w:tr>
        <w:trPr>
          <w:trHeight w:val="237"/>
        </w:trPr>
        <w:tc>
          <w:tcPr>
            <w:tcW w:w="514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5,037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4,617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15,872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13,861</w:t>
            </w:r>
          </w:p>
        </w:tc>
      </w:tr>
      <w:tr>
        <w:trPr>
          <w:trHeight w:val="67"/>
        </w:trPr>
        <w:tc>
          <w:tcPr>
            <w:tcW w:w="51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Consolidated</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38,603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41,338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113,373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120,489</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64,177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66,431</w:t>
            </w:r>
          </w:p>
        </w:tc>
      </w:tr>
      <w:tr>
        <w:trPr>
          <w:trHeight w:val="237"/>
        </w:trPr>
        <w:tc>
          <w:tcPr>
            <w:tcW w:w="514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17,089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49,196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54,058</w:t>
            </w:r>
          </w:p>
        </w:tc>
      </w:tr>
      <w:tr>
        <w:trPr>
          <w:trHeight w:val="27"/>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All assets were held in the United States as of December 31, 2016 and September 30, 2017.</w:t>
      </w:r>
    </w:p>
    <w:p>
      <w:pPr>
        <w:spacing w:after="0" w:line="24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22"/>
          <w:szCs w:val="22"/>
          <w:color w:val="auto"/>
        </w:rPr>
        <w:t>The Company generates its revenue primarily in the United States. Revenue by geographical area is detailed in the table below (which is determined based on the customer billing address):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1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3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12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120,090</w:t>
            </w: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399</w:t>
            </w:r>
          </w:p>
        </w:tc>
      </w:tr>
      <w:tr>
        <w:trPr>
          <w:trHeight w:val="27"/>
        </w:trPr>
        <w:tc>
          <w:tcPr>
            <w:tcW w:w="12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38,603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113,373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120,489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Redeemable Convertible Preferred Stock and Stockholders’ Deficit</w:t>
      </w:r>
    </w:p>
    <w:p>
      <w:pPr>
        <w:spacing w:after="0" w:line="25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On October 19, 2017, the Company’s Board of Directors approved, and on October 23, 2017 the Company effected, a 2.50-to-1 split of its common stock. In connection with the common stock split, each share of outstanding common stock, option to purchase common stock and warrant to purchase common stock was increased to 2.50 shares of common stock and the exercise price of each outstanding option or warrant to purchase common stock was proportionately decreased. The stock split has been reflected retrospectively in these condensed consolidated financial statements. In connection with the stock split, the conversion ratio of each share of outstanding redeemable convertible preferred stock was also adjusted such that each share of outstanding redeemable convertible preferred stock converts into 2.50 shares of Old Class A common stock after the 2.50-to-1 split.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8"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Redeemable Convertible Preferred Stock</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of December 31, 2016 and September 30, 2017, 710,000 shares of redeemable convertible preferred stock ("Series A preferred stock") were issued and outstanding. The holders of Series A preferred stock shall be entitled to cast the number of votes equal to the number of whole shares of common stock into which the shares of Series A preferred stock are convertible as of the record date for determining stockholders entitled to vote on such matter. Holders of Series A preferred stock shall vote together with the holders of common stock as a single class.</w:t>
      </w:r>
    </w:p>
    <w:p>
      <w:pPr>
        <w:spacing w:after="0" w:line="219"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Each share of Series A preferred stock shall be convertible, at the option of the shareholder, into such number of fully paid and non-assessable shares of common stock as is determined by dividing the Series A original issue price by the Series A conversion price in effect at the time of the conversion. The Series A conversion price was initially equal to $30.8358 and is subject to adjustment related to dilutive transactions. As a result of the stock split referred to above, the conversion ratio of each share of outstanding preferred stock also was adjusted subsequent to September 30, 2017, such that each share of outstanding preferred stock converts into 2.50 shares of Old Class A common stock at a conversion price of $12.3343.</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Common Stock</w:t>
      </w:r>
    </w:p>
    <w:p>
      <w:pPr>
        <w:spacing w:after="0" w:line="247" w:lineRule="exact"/>
        <w:rPr>
          <w:sz w:val="20"/>
          <w:szCs w:val="20"/>
          <w:color w:val="auto"/>
        </w:rPr>
      </w:pPr>
    </w:p>
    <w:p>
      <w:pPr>
        <w:ind w:right="400" w:firstLine="648"/>
        <w:spacing w:after="0" w:line="253" w:lineRule="auto"/>
        <w:rPr>
          <w:sz w:val="20"/>
          <w:szCs w:val="20"/>
          <w:color w:val="auto"/>
        </w:rPr>
      </w:pPr>
      <w:r>
        <w:rPr>
          <w:rFonts w:ascii="Arial" w:cs="Arial" w:eastAsia="Arial" w:hAnsi="Arial"/>
          <w:sz w:val="22"/>
          <w:szCs w:val="22"/>
          <w:color w:val="auto"/>
        </w:rPr>
        <w:t>As of December 31, 2016 and September 30, 2017, the Company had two classes of common stock: (1) Old Class A common stock and (2) Old Class B common stock. The Old Class A common stock had one vote per share and the Old Class B common stock was non-voting.</w:t>
      </w:r>
    </w:p>
    <w:p>
      <w:pPr>
        <w:spacing w:after="0" w:line="213"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As of December 31, 2016 and September 30, 2017, 11,779,975 and 11,811,480 shares of Old Class A common stock were issued and outstanding at $0.001 par value per share, respectively.</w:t>
      </w:r>
    </w:p>
    <w:p>
      <w:pPr>
        <w:spacing w:after="0" w:line="202"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As of December 31, 2016 and September 30, 2017, 18,590 and 34,840 shares of Old Class B common stock were issued and outstanding at $0.001 par value per share, respectively.</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Pursuant to the Company’s second amended and restated certificate of incorporation and the effectiveness of its second amended and restated bylaws, which were effective on November 9, 2017 (i) each share of Old Class A common stock, including those shares of Old Class A common stock issued upon the conversion of then-outstanding Series A preferred stock, was reclassified as one share of New Class B common stock, with each share of New Class B common stock having ten votes per share,</w:t>
      </w:r>
    </w:p>
    <w:p>
      <w:pPr>
        <w:spacing w:after="0" w:line="3" w:lineRule="exact"/>
        <w:rPr>
          <w:sz w:val="20"/>
          <w:szCs w:val="20"/>
          <w:color w:val="auto"/>
        </w:rPr>
      </w:pPr>
    </w:p>
    <w:p>
      <w:pPr>
        <w:jc w:val="both"/>
        <w:ind w:firstLine="8"/>
        <w:spacing w:after="0" w:line="244" w:lineRule="auto"/>
        <w:tabs>
          <w:tab w:leader="none" w:pos="321" w:val="left"/>
        </w:tabs>
        <w:numPr>
          <w:ilvl w:val="0"/>
          <w:numId w:val="10"/>
        </w:numPr>
        <w:rPr>
          <w:rFonts w:ascii="Arial" w:cs="Arial" w:eastAsia="Arial" w:hAnsi="Arial"/>
          <w:sz w:val="22"/>
          <w:szCs w:val="22"/>
          <w:color w:val="auto"/>
        </w:rPr>
      </w:pPr>
      <w:r>
        <w:rPr>
          <w:rFonts w:ascii="Arial" w:cs="Arial" w:eastAsia="Arial" w:hAnsi="Arial"/>
          <w:sz w:val="22"/>
          <w:szCs w:val="22"/>
          <w:color w:val="auto"/>
        </w:rPr>
        <w:t>each share of Old Class B common stock was reclassified as one share of New Class A common stock, with each share of New Class A common stock having one vote per share. Subsequent to the effectiveness of the Company’s second amended and restated certificate of incorporation, the Company’s common stock consists of 120,000,000 authorized shares, par value $0.001 per share, of which the authorized New Class A common stock will consist of 100,000,000 shares and the authorized New Class B common stock will consist of 20,000,000 shares.</w:t>
      </w:r>
    </w:p>
    <w:p>
      <w:pPr>
        <w:spacing w:after="0" w:line="22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On November 9, 2017, the Series A preferred stock was converted at the option of the holder into 1,775,000 shares of New Class B common stock.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Stock Purchase Warrants</w:t>
      </w:r>
    </w:p>
    <w:p>
      <w:pPr>
        <w:spacing w:after="0" w:line="247"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As of December 31, 2016 and September 30, 2017, a total of 64,691 shares of common stock were reserved for the issuance of stock purchase warrants.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Stock Based Compensation</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2001 and 2010 Stock Option Plans</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During 2001, the Company adopted the Bandwidth Inc. Stock Option Plan (the 2001 Plan). As of July 26, 2010, the Company adopted the 2010 Equity Compensation Plan (the 2010 Plan). On August 24, 2017, the 2010 Plan was amended to provide for a total of 3,466,275 shares of common stock reserved for issuance under the 2010 Plan.</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Eligible plan participants include employees, directors and consultants. The 2001 Plan and the 2010 Plan each permit the granting of incentive stock options and non-qualified stock options.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terms of the stock option grants are determined by the Company’s Board of Directors. The Company’s stock options vest based on terms in the stock option agreements, which is generally over four years. The stock options have a contractual life of ten years.</w:t>
      </w:r>
    </w:p>
    <w:p>
      <w:pPr>
        <w:spacing w:after="0" w:line="213"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The fair value of options granted is estimated on the date of grant using the Black-Scholes-Merton option pricing model based on the assumptions in the table below:</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36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3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6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w w:val="89"/>
              </w:rPr>
              <w:t>September 30,</w:t>
            </w:r>
          </w:p>
        </w:tc>
        <w:tc>
          <w:tcPr>
            <w:tcW w:w="3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42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2016</w:t>
            </w:r>
          </w:p>
        </w:tc>
        <w:tc>
          <w:tcPr>
            <w:tcW w:w="236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20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92"/>
              </w:rPr>
              <w:t>0%</w:t>
            </w:r>
          </w:p>
        </w:tc>
        <w:tc>
          <w:tcPr>
            <w:tcW w:w="2360" w:type="dxa"/>
            <w:vAlign w:val="bottom"/>
            <w:tcBorders>
              <w:bottom w:val="single" w:sz="8" w:color="CCEEFF"/>
            </w:tcBorders>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200" w:type="dxa"/>
            <w:vAlign w:val="bottom"/>
          </w:tcPr>
          <w:p>
            <w:pPr>
              <w:jc w:val="center"/>
              <w:ind w:left="430"/>
              <w:spacing w:after="0"/>
              <w:rPr>
                <w:sz w:val="20"/>
                <w:szCs w:val="20"/>
                <w:color w:val="auto"/>
              </w:rPr>
            </w:pPr>
            <w:r>
              <w:rPr>
                <w:rFonts w:ascii="Arial" w:cs="Arial" w:eastAsia="Arial" w:hAnsi="Arial"/>
                <w:sz w:val="18"/>
                <w:szCs w:val="18"/>
                <w:color w:val="auto"/>
                <w:w w:val="88"/>
              </w:rPr>
              <w:t>44%</w:t>
            </w:r>
          </w:p>
        </w:tc>
        <w:tc>
          <w:tcPr>
            <w:tcW w:w="2360" w:type="dxa"/>
            <w:vAlign w:val="bottom"/>
            <w:gridSpan w:val="3"/>
          </w:tcPr>
          <w:p>
            <w:pPr>
              <w:jc w:val="center"/>
              <w:ind w:left="550"/>
              <w:spacing w:after="0"/>
              <w:rPr>
                <w:sz w:val="20"/>
                <w:szCs w:val="20"/>
                <w:color w:val="auto"/>
              </w:rPr>
            </w:pPr>
            <w:r>
              <w:rPr>
                <w:rFonts w:ascii="Arial" w:cs="Arial" w:eastAsia="Arial" w:hAnsi="Arial"/>
                <w:sz w:val="18"/>
                <w:szCs w:val="18"/>
                <w:color w:val="auto"/>
                <w:w w:val="92"/>
              </w:rPr>
              <w:t>47%-49%</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44%</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44%-49%</w:t>
            </w:r>
          </w:p>
        </w:tc>
      </w:tr>
      <w:tr>
        <w:trPr>
          <w:trHeight w:val="27"/>
        </w:trPr>
        <w:tc>
          <w:tcPr>
            <w:tcW w:w="4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risk-free interest rate</w:t>
            </w:r>
          </w:p>
        </w:tc>
        <w:tc>
          <w:tcPr>
            <w:tcW w:w="120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1.3%</w:t>
            </w:r>
          </w:p>
        </w:tc>
        <w:tc>
          <w:tcPr>
            <w:tcW w:w="2360" w:type="dxa"/>
            <w:vAlign w:val="bottom"/>
            <w:tcBorders>
              <w:bottom w:val="single" w:sz="8" w:color="CCEEFF"/>
            </w:tcBorders>
            <w:gridSpan w:val="3"/>
            <w:shd w:val="clear" w:color="auto" w:fill="CCEEFF"/>
          </w:tcPr>
          <w:p>
            <w:pPr>
              <w:jc w:val="center"/>
              <w:ind w:left="530"/>
              <w:spacing w:after="0"/>
              <w:rPr>
                <w:sz w:val="20"/>
                <w:szCs w:val="20"/>
                <w:color w:val="auto"/>
              </w:rPr>
            </w:pPr>
            <w:r>
              <w:rPr>
                <w:rFonts w:ascii="Arial" w:cs="Arial" w:eastAsia="Arial" w:hAnsi="Arial"/>
                <w:sz w:val="18"/>
                <w:szCs w:val="18"/>
                <w:color w:val="auto"/>
                <w:w w:val="92"/>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1.3%–1.6%</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1.9%–2.3%</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200" w:type="dxa"/>
            <w:vAlign w:val="bottom"/>
          </w:tcPr>
          <w:p>
            <w:pPr>
              <w:ind w:left="540"/>
              <w:spacing w:after="0"/>
              <w:rPr>
                <w:sz w:val="20"/>
                <w:szCs w:val="20"/>
                <w:color w:val="auto"/>
              </w:rPr>
            </w:pPr>
            <w:r>
              <w:rPr>
                <w:rFonts w:ascii="Arial" w:cs="Arial" w:eastAsia="Arial" w:hAnsi="Arial"/>
                <w:sz w:val="18"/>
                <w:szCs w:val="18"/>
                <w:color w:val="auto"/>
                <w:w w:val="86"/>
              </w:rPr>
              <w:t>6.2 years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ind w:left="540"/>
              <w:spacing w:after="0"/>
              <w:rPr>
                <w:sz w:val="20"/>
                <w:szCs w:val="20"/>
                <w:color w:val="auto"/>
              </w:rPr>
            </w:pPr>
            <w:r>
              <w:rPr>
                <w:rFonts w:ascii="Arial" w:cs="Arial" w:eastAsia="Arial" w:hAnsi="Arial"/>
                <w:sz w:val="18"/>
                <w:szCs w:val="18"/>
                <w:color w:val="auto"/>
              </w:rPr>
              <w:t>6.2 years</w:t>
            </w:r>
          </w:p>
        </w:tc>
        <w:tc>
          <w:tcPr>
            <w:tcW w:w="1820" w:type="dxa"/>
            <w:vAlign w:val="bottom"/>
            <w:gridSpan w:val="2"/>
          </w:tcPr>
          <w:p>
            <w:pPr>
              <w:ind w:left="520"/>
              <w:spacing w:after="0"/>
              <w:rPr>
                <w:sz w:val="20"/>
                <w:szCs w:val="20"/>
                <w:color w:val="auto"/>
              </w:rPr>
            </w:pPr>
            <w:r>
              <w:rPr>
                <w:rFonts w:ascii="Arial" w:cs="Arial" w:eastAsia="Arial" w:hAnsi="Arial"/>
                <w:sz w:val="18"/>
                <w:szCs w:val="18"/>
                <w:color w:val="auto"/>
              </w:rPr>
              <w:t>6.2 years</w:t>
            </w:r>
          </w:p>
        </w:tc>
        <w:tc>
          <w:tcPr>
            <w:tcW w:w="1700" w:type="dxa"/>
            <w:vAlign w:val="bottom"/>
          </w:tcPr>
          <w:p>
            <w:pPr>
              <w:ind w:left="520"/>
              <w:spacing w:after="0"/>
              <w:rPr>
                <w:sz w:val="20"/>
                <w:szCs w:val="20"/>
                <w:color w:val="auto"/>
              </w:rPr>
            </w:pPr>
            <w:r>
              <w:rPr>
                <w:rFonts w:ascii="Arial" w:cs="Arial" w:eastAsia="Arial" w:hAnsi="Arial"/>
                <w:sz w:val="18"/>
                <w:szCs w:val="18"/>
                <w:color w:val="auto"/>
              </w:rPr>
              <w:t>6.2 years</w:t>
            </w:r>
          </w:p>
        </w:tc>
      </w:tr>
      <w:tr>
        <w:trPr>
          <w:trHeight w:val="27"/>
        </w:trPr>
        <w:tc>
          <w:tcPr>
            <w:tcW w:w="4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common stock</w:t>
            </w:r>
          </w:p>
        </w:tc>
        <w:tc>
          <w:tcPr>
            <w:tcW w:w="12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8"/>
              </w:rPr>
              <w:t>$9.57</w:t>
            </w:r>
          </w:p>
        </w:tc>
        <w:tc>
          <w:tcPr>
            <w:tcW w:w="2360" w:type="dxa"/>
            <w:vAlign w:val="bottom"/>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89"/>
              </w:rPr>
              <w:t>$18.40-$20.83</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$9.57</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$9.60-$20.83</w:t>
            </w:r>
          </w:p>
        </w:tc>
      </w:tr>
      <w:tr>
        <w:trPr>
          <w:trHeight w:val="27"/>
        </w:trPr>
        <w:tc>
          <w:tcPr>
            <w:tcW w:w="4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Company uses the simplified method for purposes of determining the expected life of the options. The risk-free interest rate is based on the U.S. Treasury rates at the date of grant with maturity dates approximately equal to the expected life at the grant date. Volatility is based on the historical volatility of certain public entities that are similar to the Company, as the Company does not have sufficient historical transactions of its own shares on which to base expected volatility. The Company historically has not issued any dividends and does not expect to in the future.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summarizes the stock option activity for the periods presented:</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88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8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 Life</w:t>
            </w:r>
          </w:p>
        </w:tc>
        <w:tc>
          <w:tcPr>
            <w:tcW w:w="140" w:type="dxa"/>
            <w:vAlign w:val="bottom"/>
          </w:tcPr>
          <w:p>
            <w:pPr>
              <w:spacing w:after="0"/>
              <w:rPr>
                <w:sz w:val="12"/>
                <w:szCs w:val="12"/>
                <w:color w:val="auto"/>
              </w:rPr>
            </w:pPr>
          </w:p>
        </w:tc>
        <w:tc>
          <w:tcPr>
            <w:tcW w:w="8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4"/>
              </w:rPr>
              <w:t>value (in</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(per share)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2016</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3,582,241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11,049</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Grants</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179,922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Forfeited or cancelled</w:t>
            </w:r>
          </w:p>
        </w:tc>
        <w:tc>
          <w:tcPr>
            <w:tcW w:w="1140" w:type="dxa"/>
            <w:vAlign w:val="bottom"/>
          </w:tcPr>
          <w:p>
            <w:pPr>
              <w:jc w:val="right"/>
              <w:spacing w:after="0"/>
              <w:rPr>
                <w:sz w:val="20"/>
                <w:szCs w:val="20"/>
                <w:color w:val="auto"/>
              </w:rPr>
            </w:pPr>
            <w:r>
              <w:rPr>
                <w:rFonts w:ascii="Arial" w:cs="Arial" w:eastAsia="Arial" w:hAnsi="Arial"/>
                <w:sz w:val="16"/>
                <w:szCs w:val="16"/>
                <w:color w:val="auto"/>
              </w:rPr>
              <w:t>(41,115)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September 30, 2017</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3,662,886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51,292</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Options vested and exercisable at September 30, 2017</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3,159,450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46,326</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Options vested and expected to vest as of September 30, 2017</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3,640,526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51,092</w:t>
            </w:r>
          </w:p>
        </w:tc>
        <w:tc>
          <w:tcPr>
            <w:tcW w:w="0" w:type="dxa"/>
            <w:vAlign w:val="bottom"/>
          </w:tcPr>
          <w:p>
            <w:pPr>
              <w:spacing w:after="0"/>
              <w:rPr>
                <w:sz w:val="1"/>
                <w:szCs w:val="1"/>
                <w:color w:val="auto"/>
              </w:rPr>
            </w:pPr>
          </w:p>
        </w:tc>
      </w:tr>
      <w:tr>
        <w:trPr>
          <w:trHeight w:val="33"/>
        </w:trPr>
        <w:tc>
          <w:tcPr>
            <w:tcW w:w="6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Aggregate intrinsic value represents the total pre-tax intrinsic value, which is computed based on the difference between the option exercise price and the estimated fair value of the Company’s common stock. This amount changes based on the fair value of the Company’s stock.</w:t>
      </w:r>
    </w:p>
    <w:p>
      <w:pPr>
        <w:spacing w:after="0" w:line="213"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The weighted average grant-date fair value of stock options granted was $4.03 and $4.04 for the three and nine months ended September 30, 2016, and $9.45 and $7.48 for the three and nine months ended September 30, 2017 respectively.</w:t>
      </w:r>
    </w:p>
    <w:p>
      <w:pPr>
        <w:spacing w:after="0" w:line="13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total estimated grant date fair value of options vested was $188 and $1,900 for the three and nine months ended September 30, 2016, respectively, and $443 and $1,070 for the three and nine months ended September 30, 2017, respectively.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recognized total stock-based compensation expense in continuing operations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5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0"/>
              </w:rPr>
              <w:t>September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General and administrative(1)</w:t>
            </w:r>
          </w:p>
        </w:tc>
        <w:tc>
          <w:tcPr>
            <w:tcW w:w="9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36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right="120" w:firstLine="656"/>
        <w:spacing w:after="0" w:line="301" w:lineRule="auto"/>
        <w:tabs>
          <w:tab w:leader="none" w:pos="903"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September 1, 2017, the Company reached a separation agreement with one of its executives. The agreement resulted in a modification of the former employee's 194,234 outstanding options to purchase common stock to accelerate the vesting period and extend the exercise period, which resulted in the recognition of $394 in additional stock compensation expense for the three months and nine months ended September 30, 2017.</w:t>
      </w:r>
    </w:p>
    <w:p>
      <w:pPr>
        <w:spacing w:after="0" w:line="190"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The Company will recognize $2,191 of compensation cost in the future for stock-based employee compensation over the weighted-average of 2.7 years for stock options granted before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Commitments and Contingencies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Operating Leases</w:t>
      </w:r>
    </w:p>
    <w:p>
      <w:pPr>
        <w:spacing w:after="0" w:line="247" w:lineRule="exact"/>
        <w:rPr>
          <w:sz w:val="20"/>
          <w:szCs w:val="20"/>
          <w:color w:val="auto"/>
        </w:rPr>
      </w:pPr>
    </w:p>
    <w:p>
      <w:pPr>
        <w:ind w:right="120" w:firstLine="648"/>
        <w:spacing w:after="0" w:line="260" w:lineRule="auto"/>
        <w:rPr>
          <w:sz w:val="20"/>
          <w:szCs w:val="20"/>
          <w:color w:val="auto"/>
        </w:rPr>
      </w:pPr>
      <w:r>
        <w:rPr>
          <w:rFonts w:ascii="Arial" w:cs="Arial" w:eastAsia="Arial" w:hAnsi="Arial"/>
          <w:sz w:val="21"/>
          <w:szCs w:val="21"/>
          <w:color w:val="auto"/>
        </w:rPr>
        <w:t>The Company leases office space under operating lease agreements that expire at various dates beginning in 2016 and extend through 2022 in several locations within the United States including its headquarters, which is located in Raleigh, NC. On September 26, 2016, the Company amended its operating lease agreement with one of its landlords. The 63-month lease, which begins on April 14, 2017, provides for an additional 40,657 square feet of office space as well as an extension of the termination date for the lease of approximately 128,200 square feet of office space. The leases contain escalation clauses and various landlord concessions including a tenant improvement allowance. The Company recognizes the total minimum lease payments on a straight-line basis over the term of the lease.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Future minimum lease payments required under operating leases as of September 30, 2017, for each of the years ending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December 31, are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93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Amount</w:t>
            </w:r>
          </w:p>
        </w:tc>
      </w:tr>
      <w:tr>
        <w:trPr>
          <w:trHeight w:val="297"/>
        </w:trPr>
        <w:tc>
          <w:tcPr>
            <w:tcW w:w="93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2017</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905</w:t>
            </w:r>
          </w:p>
        </w:tc>
      </w:tr>
      <w:tr>
        <w:trPr>
          <w:trHeight w:val="289"/>
        </w:trPr>
        <w:tc>
          <w:tcPr>
            <w:tcW w:w="9340" w:type="dxa"/>
            <w:vAlign w:val="bottom"/>
          </w:tcPr>
          <w:p>
            <w:pPr>
              <w:ind w:left="40"/>
              <w:spacing w:after="0"/>
              <w:rPr>
                <w:sz w:val="20"/>
                <w:szCs w:val="20"/>
                <w:color w:val="auto"/>
              </w:rPr>
            </w:pPr>
            <w:r>
              <w:rPr>
                <w:rFonts w:ascii="Arial" w:cs="Arial" w:eastAsia="Arial" w:hAnsi="Arial"/>
                <w:sz w:val="22"/>
                <w:szCs w:val="22"/>
                <w:color w:val="auto"/>
              </w:rPr>
              <w:t>2018</w:t>
            </w:r>
          </w:p>
        </w:tc>
        <w:tc>
          <w:tcPr>
            <w:tcW w:w="4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22"/>
                <w:szCs w:val="22"/>
                <w:color w:val="auto"/>
              </w:rPr>
              <w:t>3,631</w:t>
            </w:r>
          </w:p>
        </w:tc>
      </w:tr>
      <w:tr>
        <w:trPr>
          <w:trHeight w:val="306"/>
        </w:trPr>
        <w:tc>
          <w:tcPr>
            <w:tcW w:w="93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2019</w:t>
            </w: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3,700</w:t>
            </w:r>
          </w:p>
        </w:tc>
      </w:tr>
      <w:tr>
        <w:trPr>
          <w:trHeight w:val="289"/>
        </w:trPr>
        <w:tc>
          <w:tcPr>
            <w:tcW w:w="9340" w:type="dxa"/>
            <w:vAlign w:val="bottom"/>
          </w:tcPr>
          <w:p>
            <w:pPr>
              <w:ind w:left="40"/>
              <w:spacing w:after="0"/>
              <w:rPr>
                <w:sz w:val="20"/>
                <w:szCs w:val="20"/>
                <w:color w:val="auto"/>
              </w:rPr>
            </w:pPr>
            <w:r>
              <w:rPr>
                <w:rFonts w:ascii="Arial" w:cs="Arial" w:eastAsia="Arial" w:hAnsi="Arial"/>
                <w:sz w:val="22"/>
                <w:szCs w:val="22"/>
                <w:color w:val="auto"/>
              </w:rPr>
              <w:t>2020</w:t>
            </w:r>
          </w:p>
        </w:tc>
        <w:tc>
          <w:tcPr>
            <w:tcW w:w="4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22"/>
                <w:szCs w:val="22"/>
                <w:color w:val="auto"/>
              </w:rPr>
              <w:t>3,838</w:t>
            </w:r>
          </w:p>
        </w:tc>
      </w:tr>
      <w:tr>
        <w:trPr>
          <w:trHeight w:val="306"/>
        </w:trPr>
        <w:tc>
          <w:tcPr>
            <w:tcW w:w="93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2021</w:t>
            </w: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3,873</w:t>
            </w:r>
          </w:p>
        </w:tc>
      </w:tr>
      <w:tr>
        <w:trPr>
          <w:trHeight w:val="291"/>
        </w:trPr>
        <w:tc>
          <w:tcPr>
            <w:tcW w:w="93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2022 and thereafter</w:t>
            </w: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2,018</w:t>
            </w:r>
          </w:p>
        </w:tc>
      </w:tr>
      <w:tr>
        <w:trPr>
          <w:trHeight w:val="291"/>
        </w:trPr>
        <w:tc>
          <w:tcPr>
            <w:tcW w:w="93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17,965</w:t>
            </w:r>
          </w:p>
        </w:tc>
      </w:tr>
      <w:tr>
        <w:trPr>
          <w:trHeight w:val="20"/>
        </w:trPr>
        <w:tc>
          <w:tcPr>
            <w:tcW w:w="9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The Company incurred rent expense of $666 and $1,512 for the three and nine months ended September 30, 2016, respectively, and $1,034 and $2,414 for the three and nine months ended September 30, 2017, respectively, which is included in general and administrative expenses in the condensed consolidated statements of operations and comprehensive income.</w:t>
      </w:r>
    </w:p>
    <w:p>
      <w:pPr>
        <w:spacing w:after="0" w:line="1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conjunction with the Spin-Off, the Company signed a Facilities Service Agreement with Republic in which the Company agreed to sub-lease 40,657 square feet of office space to Republic. The sub-lease is non-cancellable and extends to May 2022. The Company recorded a reduction of rent expense of $251 and $697 for the three and nine months ended September 30, 2017, respectively, which is included in general and administrative expenses in the condensed consolidated statements of operations and comprehensive income. No sub-lease payments were received for the nine months ended September 30, 2016 due to the Spin-Off having an effective date of November 30, 2016.</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440"/>
        <w:spacing w:after="0"/>
        <w:rPr>
          <w:sz w:val="20"/>
          <w:szCs w:val="20"/>
          <w:color w:val="auto"/>
        </w:rPr>
      </w:pPr>
      <w:r>
        <w:rPr>
          <w:rFonts w:ascii="Arial" w:cs="Arial" w:eastAsia="Arial" w:hAnsi="Arial"/>
          <w:sz w:val="19"/>
          <w:szCs w:val="19"/>
          <w:color w:val="auto"/>
        </w:rPr>
        <w:t>Future minimum sub-lease receipts as of September 30, 2017 for each of the years ending December 31,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93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Amount</w:t>
            </w:r>
          </w:p>
        </w:tc>
      </w:tr>
      <w:tr>
        <w:trPr>
          <w:trHeight w:val="297"/>
        </w:trPr>
        <w:tc>
          <w:tcPr>
            <w:tcW w:w="93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2017</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251</w:t>
            </w:r>
          </w:p>
        </w:tc>
      </w:tr>
      <w:tr>
        <w:trPr>
          <w:trHeight w:val="289"/>
        </w:trPr>
        <w:tc>
          <w:tcPr>
            <w:tcW w:w="9340" w:type="dxa"/>
            <w:vAlign w:val="bottom"/>
          </w:tcPr>
          <w:p>
            <w:pPr>
              <w:ind w:left="40"/>
              <w:spacing w:after="0"/>
              <w:rPr>
                <w:sz w:val="20"/>
                <w:szCs w:val="20"/>
                <w:color w:val="auto"/>
              </w:rPr>
            </w:pPr>
            <w:r>
              <w:rPr>
                <w:rFonts w:ascii="Arial" w:cs="Arial" w:eastAsia="Arial" w:hAnsi="Arial"/>
                <w:sz w:val="22"/>
                <w:szCs w:val="22"/>
                <w:color w:val="auto"/>
              </w:rPr>
              <w:t>2018</w:t>
            </w:r>
          </w:p>
        </w:tc>
        <w:tc>
          <w:tcPr>
            <w:tcW w:w="4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22"/>
                <w:szCs w:val="22"/>
                <w:color w:val="auto"/>
              </w:rPr>
              <w:t>1,020</w:t>
            </w:r>
          </w:p>
        </w:tc>
      </w:tr>
      <w:tr>
        <w:trPr>
          <w:trHeight w:val="306"/>
        </w:trPr>
        <w:tc>
          <w:tcPr>
            <w:tcW w:w="93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2019</w:t>
            </w: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1,042</w:t>
            </w:r>
          </w:p>
        </w:tc>
      </w:tr>
      <w:tr>
        <w:trPr>
          <w:trHeight w:val="289"/>
        </w:trPr>
        <w:tc>
          <w:tcPr>
            <w:tcW w:w="9340" w:type="dxa"/>
            <w:vAlign w:val="bottom"/>
          </w:tcPr>
          <w:p>
            <w:pPr>
              <w:ind w:left="40"/>
              <w:spacing w:after="0"/>
              <w:rPr>
                <w:sz w:val="20"/>
                <w:szCs w:val="20"/>
                <w:color w:val="auto"/>
              </w:rPr>
            </w:pPr>
            <w:r>
              <w:rPr>
                <w:rFonts w:ascii="Arial" w:cs="Arial" w:eastAsia="Arial" w:hAnsi="Arial"/>
                <w:sz w:val="22"/>
                <w:szCs w:val="22"/>
                <w:color w:val="auto"/>
              </w:rPr>
              <w:t>2020</w:t>
            </w:r>
          </w:p>
        </w:tc>
        <w:tc>
          <w:tcPr>
            <w:tcW w:w="4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22"/>
                <w:szCs w:val="22"/>
                <w:color w:val="auto"/>
              </w:rPr>
              <w:t>1,065</w:t>
            </w:r>
          </w:p>
        </w:tc>
      </w:tr>
      <w:tr>
        <w:trPr>
          <w:trHeight w:val="306"/>
        </w:trPr>
        <w:tc>
          <w:tcPr>
            <w:tcW w:w="934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2021</w:t>
            </w: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1,089</w:t>
            </w:r>
          </w:p>
        </w:tc>
      </w:tr>
      <w:tr>
        <w:trPr>
          <w:trHeight w:val="291"/>
        </w:trPr>
        <w:tc>
          <w:tcPr>
            <w:tcW w:w="934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2022 and thereafter</w:t>
            </w: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594</w:t>
            </w:r>
          </w:p>
        </w:tc>
      </w:tr>
      <w:tr>
        <w:trPr>
          <w:trHeight w:val="291"/>
        </w:trPr>
        <w:tc>
          <w:tcPr>
            <w:tcW w:w="93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5,061</w:t>
            </w:r>
          </w:p>
        </w:tc>
      </w:tr>
      <w:tr>
        <w:trPr>
          <w:trHeight w:val="20"/>
        </w:trPr>
        <w:tc>
          <w:tcPr>
            <w:tcW w:w="9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Contractual Obligations</w:t>
      </w:r>
    </w:p>
    <w:p>
      <w:pPr>
        <w:spacing w:after="0" w:line="2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In addition, the Company has other non-cancellable purchase obligations totaling $5,308 as of September 30, 2017, which consists primarily of network equipment to be received in less than one year.</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Legal Matters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207"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In April 2016, the Company filed counterclaims against MCI Communications Services, Inc. d/b/a Verizon Business and Verizon Select Services, Inc. (collectively, “Verizon”) in the United States District Court for the Northern District of Texas. The Company is pursuing collection of unpaid intercarrier compensation charges for providing switched access services related to the exchange of telecommunications traffic with Verizon entities across the United States. As of October 27, 2017, Verizon has asserted a counterclaim against the Company. The Company intends to contest such counterclaim vigorously. Verizon’s prior September 2014 complaint against the Company and other defendants regarding intercarrier compensation charges for providing switched access services related to the exchange of telecommunications traffic has been dismissed without prejudice, but remains subject to appeal.</w:t>
      </w:r>
    </w:p>
    <w:p>
      <w:pPr>
        <w:spacing w:after="0" w:line="222" w:lineRule="exact"/>
        <w:rPr>
          <w:sz w:val="20"/>
          <w:szCs w:val="20"/>
          <w:color w:val="auto"/>
        </w:rPr>
      </w:pPr>
    </w:p>
    <w:p>
      <w:pPr>
        <w:ind w:right="180" w:firstLine="648"/>
        <w:spacing w:after="0" w:line="343" w:lineRule="auto"/>
        <w:rPr>
          <w:sz w:val="20"/>
          <w:szCs w:val="20"/>
          <w:color w:val="auto"/>
        </w:rPr>
      </w:pPr>
      <w:r>
        <w:rPr>
          <w:rFonts w:ascii="Arial" w:cs="Arial" w:eastAsia="Arial" w:hAnsi="Arial"/>
          <w:sz w:val="19"/>
          <w:szCs w:val="19"/>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Employee Benefit Plan</w:t>
      </w:r>
    </w:p>
    <w:p>
      <w:pPr>
        <w:spacing w:after="0" w:line="253"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The Company sponsors a defined contribution 401(k) plan which allows eligible employees to defer a portion of their compensation. The Company, at its discretion, may make matching contributions. The Company made matching contributions of $161 and $543 for the three and nine months ended September 30, 2016, respectively, and $181 and $596 for the three and nine months ended September 30, 2017, respectively.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Income Taxes</w:t>
      </w:r>
    </w:p>
    <w:p>
      <w:pPr>
        <w:spacing w:after="0" w:line="253"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At the end of each interim reporting period, the Company determines the income tax provision by using an estimate of the annual effective tax rate, adjusted for discrete items occurring in the quarter. The Company’s effective tax rate was 3.3% and 35.5% for the three months ended September 30, 2016 and September 30, 2017, respectively, compared to 3.4% and 37.2% for the nine months ended September 30, 2016 and September 30, 2017, respectively. The difference in tax rate for the three and nine months ended September 30, 2016, compared to the three and nine months ended September 30, 2017, is because the Company had a full valuation allowance for the nine months ended September 30, 2016. The effective income tax rate reflects the effect of federal and state income taxes and the permanent impacts of differences in book and tax accounting. The Company’s effective tax rate for this period is higher than the U.S. federal statutory rate of 34% primarily due to state taxes.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Related Parties</w:t>
      </w:r>
    </w:p>
    <w:p>
      <w:pPr>
        <w:spacing w:after="0" w:line="253"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Because investors in Republic have disproportionate voting rights, the Company concluded that Republic is a variable interest entity (“VIE”) but Bandwidth is not a primary beneficiary. The Company’s maximum exposure to loss relating to this variable interest entity is limited to amounts due under the service agreements between the Company and Republic.</w:t>
      </w:r>
    </w:p>
    <w:p>
      <w:pPr>
        <w:spacing w:after="0" w:line="187"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For the three and nine months ended September 30, 2017, the Company received net compensation under the Transition Services Agreement of $37 and $548, respectively. In addition, there was approximately $35 due from Republic under the Transition Services Agreement as of September 30, 2017, which was recorded within accounts receivable in the accompanying condensed consolidated balance sheet.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480" w:firstLine="648"/>
        <w:spacing w:after="0" w:line="265" w:lineRule="auto"/>
        <w:rPr>
          <w:sz w:val="20"/>
          <w:szCs w:val="20"/>
          <w:color w:val="auto"/>
        </w:rPr>
      </w:pPr>
      <w:r>
        <w:rPr>
          <w:rFonts w:ascii="Arial" w:cs="Arial" w:eastAsia="Arial" w:hAnsi="Arial"/>
          <w:sz w:val="21"/>
          <w:szCs w:val="21"/>
          <w:color w:val="auto"/>
        </w:rPr>
        <w:t>For the three and nine months ended September 30, 2017, the Company received rental payments under the Facilities Sharing Agreement of $251 and $697, respectively, which is included in general and administrative expenses in the condensed consolidated statements of operations and comprehensive income. No amounts were due to the Company under the Facilities Sharing Agreement as of December 31, 2016 and September 30, 2017.</w:t>
      </w:r>
    </w:p>
    <w:p>
      <w:pPr>
        <w:spacing w:after="0" w:line="203" w:lineRule="exact"/>
        <w:rPr>
          <w:sz w:val="20"/>
          <w:szCs w:val="20"/>
          <w:color w:val="auto"/>
        </w:rPr>
      </w:pPr>
    </w:p>
    <w:p>
      <w:pPr>
        <w:ind w:right="1300" w:firstLine="648"/>
        <w:spacing w:after="0" w:line="263" w:lineRule="auto"/>
        <w:rPr>
          <w:sz w:val="20"/>
          <w:szCs w:val="20"/>
          <w:color w:val="auto"/>
        </w:rPr>
      </w:pPr>
      <w:r>
        <w:rPr>
          <w:rFonts w:ascii="Arial" w:cs="Arial" w:eastAsia="Arial" w:hAnsi="Arial"/>
          <w:sz w:val="22"/>
          <w:szCs w:val="22"/>
          <w:color w:val="auto"/>
        </w:rPr>
        <w:t>There are no amounts outstanding or payable under the Tax Sharing Agreement as of December 31, 2016 and September 30, 2017.</w:t>
      </w:r>
    </w:p>
    <w:p>
      <w:pPr>
        <w:spacing w:after="0" w:line="202" w:lineRule="exact"/>
        <w:rPr>
          <w:sz w:val="20"/>
          <w:szCs w:val="20"/>
          <w:color w:val="auto"/>
        </w:rPr>
      </w:pPr>
    </w:p>
    <w:p>
      <w:pPr>
        <w:ind w:right="180" w:firstLine="648"/>
        <w:spacing w:after="0" w:line="263" w:lineRule="auto"/>
        <w:rPr>
          <w:sz w:val="20"/>
          <w:szCs w:val="20"/>
          <w:color w:val="auto"/>
        </w:rPr>
      </w:pPr>
      <w:r>
        <w:rPr>
          <w:rFonts w:ascii="Arial" w:cs="Arial" w:eastAsia="Arial" w:hAnsi="Arial"/>
          <w:sz w:val="21"/>
          <w:szCs w:val="21"/>
          <w:color w:val="auto"/>
        </w:rPr>
        <w:t>During the three and nine months ended September 30, 2017, the Company provided telecommunication service under the Master Services Agreement to Republic of $550 and $1,623, respectively. The Company recognized such amounts as revenue in the accompanying condensed consolidated statement of operations and comprehensive income. In addition, there was approximately $193 due from Republic under the Master Services Agreement as of September 30, 2017, which was recorded within accounts receivable in the accompanying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Basic and Diluted Income (Loss) per Common Share</w:t>
      </w:r>
    </w:p>
    <w:p>
      <w:pPr>
        <w:spacing w:after="0" w:line="253"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The Company uses the two-class method to compute net income per common share, because it has issued securities, other than common stock, that contractually entitle the holders to participate in dividends and earnings. These participating securities include the Company’s redeemable convertible preferred stock which have non-forfeitable rights to participate in any dividends declared on the Company’s common stock. The two-class method requires earnings for the period to be allocated between common stock and participating securities based upon their respective rights to receive distributed and undistributed earnings.</w:t>
      </w:r>
    </w:p>
    <w:p>
      <w:pPr>
        <w:spacing w:after="0" w:line="174" w:lineRule="exact"/>
        <w:rPr>
          <w:sz w:val="20"/>
          <w:szCs w:val="20"/>
          <w:color w:val="auto"/>
        </w:rPr>
      </w:pPr>
    </w:p>
    <w:p>
      <w:pPr>
        <w:ind w:right="160" w:firstLine="648"/>
        <w:spacing w:after="0" w:line="261" w:lineRule="auto"/>
        <w:rPr>
          <w:sz w:val="20"/>
          <w:szCs w:val="20"/>
          <w:color w:val="auto"/>
        </w:rPr>
      </w:pPr>
      <w:r>
        <w:rPr>
          <w:rFonts w:ascii="Arial" w:cs="Arial" w:eastAsia="Arial" w:hAnsi="Arial"/>
          <w:sz w:val="21"/>
          <w:szCs w:val="21"/>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period earnings that the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w:t>
      </w:r>
    </w:p>
    <w:p>
      <w:pPr>
        <w:spacing w:after="0" w:line="207"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Diluted net income (loss) per common share is computed under the two-class method by using the weighted average number of shares of common stock outstanding, plus, for periods with net income attributable to common stockholders, the potential dilutive effects of stock options and warrants. The Company analyzed the potential dilutive effect of any outstanding dilutive securities under the “if-converted” method and treasury-stock method when calculating diluted earnings per share, in which it is assumed that the outstanding participating securities convert into common stock at the beginning of the period or date of issuance, if later. The Company reports the more dilutive of the approaches (two-class or “if-converted”) as its diluted net income per share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components of basic and diluted earnings per share, or EPS, are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11,589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9"/>
        </w:trPr>
        <w:tc>
          <w:tcPr>
            <w:tcW w:w="5140" w:type="dxa"/>
            <w:vAlign w:val="bottom"/>
          </w:tcPr>
          <w:p>
            <w:pPr>
              <w:ind w:left="40"/>
              <w:spacing w:after="0"/>
              <w:rPr>
                <w:sz w:val="20"/>
                <w:szCs w:val="20"/>
                <w:color w:val="auto"/>
              </w:rPr>
            </w:pPr>
            <w:r>
              <w:rPr>
                <w:rFonts w:ascii="Arial" w:cs="Arial" w:eastAsia="Arial" w:hAnsi="Arial"/>
                <w:sz w:val="18"/>
                <w:szCs w:val="18"/>
                <w:color w:val="auto"/>
              </w:rPr>
              <w:t>Income from continuing operations attributable to common</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8"/>
                <w:szCs w:val="18"/>
                <w:color w:val="auto"/>
              </w:rPr>
            </w:pPr>
          </w:p>
        </w:tc>
        <w:tc>
          <w:tcPr>
            <w:tcW w:w="52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10,056</w:t>
            </w:r>
          </w:p>
        </w:tc>
        <w:tc>
          <w:tcPr>
            <w:tcW w:w="100" w:type="dxa"/>
            <w:vAlign w:val="bottom"/>
          </w:tcPr>
          <w:p>
            <w:pPr>
              <w:spacing w:after="0"/>
              <w:rPr>
                <w:sz w:val="18"/>
                <w:szCs w:val="18"/>
                <w:color w:val="auto"/>
              </w:rPr>
            </w:pPr>
          </w:p>
        </w:tc>
        <w:tc>
          <w:tcPr>
            <w:tcW w:w="54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stockholders</w:t>
            </w:r>
          </w:p>
        </w:tc>
        <w:tc>
          <w:tcPr>
            <w:tcW w:w="34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Income from continuing operations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Loss from Discontinued Operations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Less: loss allocated to participating securities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attributable to common</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34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 from discontinued operations per share attributable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stockholders: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7,850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Weighted Average Number of Common Shares Outstanding</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11,600,189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11,828,657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11,643,664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11,814,045</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Dilutive effect of stock options and warrants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1,210,190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1,424,080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1,185,230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1,673,604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12,810,379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13,252,737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12,828,894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13,487,649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The following common share equivalents have been excluded from the calculation of weighted-average common shares outstanding, because the effect is anti-dilutive for the periods presented: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26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September 30,</w:t>
            </w:r>
          </w:p>
        </w:tc>
        <w:tc>
          <w:tcPr>
            <w:tcW w:w="26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1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5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Anti-dilutive Disclosure</w:t>
            </w:r>
          </w:p>
        </w:tc>
        <w:tc>
          <w:tcPr>
            <w:tcW w:w="9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Series A redeemable convertible preferred stock outstanding</w:t>
            </w:r>
          </w:p>
        </w:tc>
        <w:tc>
          <w:tcPr>
            <w:tcW w:w="2180" w:type="dxa"/>
            <w:vAlign w:val="bottom"/>
            <w:gridSpan w:val="2"/>
          </w:tcPr>
          <w:p>
            <w:pPr>
              <w:jc w:val="right"/>
              <w:ind w:right="30"/>
              <w:spacing w:after="0"/>
              <w:rPr>
                <w:sz w:val="20"/>
                <w:szCs w:val="20"/>
                <w:color w:val="auto"/>
              </w:rPr>
            </w:pPr>
            <w:r>
              <w:rPr>
                <w:rFonts w:ascii="Arial" w:cs="Arial" w:eastAsia="Arial" w:hAnsi="Arial"/>
                <w:sz w:val="18"/>
                <w:szCs w:val="18"/>
                <w:color w:val="auto"/>
              </w:rPr>
              <w:t>1,775,000</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1,775,000</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1,775,000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1,775,000</w:t>
            </w:r>
          </w:p>
        </w:tc>
      </w:tr>
      <w:tr>
        <w:trPr>
          <w:trHeight w:val="27"/>
        </w:trPr>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issued and outstanding</w:t>
            </w:r>
          </w:p>
        </w:tc>
        <w:tc>
          <w:tcPr>
            <w:tcW w:w="21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569,947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110,125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569,947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110,125</w:t>
            </w:r>
          </w:p>
        </w:tc>
      </w:tr>
      <w:tr>
        <w:trPr>
          <w:trHeight w:val="702"/>
        </w:trPr>
        <w:tc>
          <w:tcPr>
            <w:tcW w:w="5140" w:type="dxa"/>
            <w:vAlign w:val="bottom"/>
          </w:tcPr>
          <w:p>
            <w:pPr>
              <w:spacing w:after="0"/>
              <w:rPr>
                <w:sz w:val="24"/>
                <w:szCs w:val="24"/>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Subsequent Events</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 October 6, 2017, the Company was notified that certain additional jurisdictions within the state of Georgia intend to initiate legal proceedings against the Company in response to allegations that the Company failed to bill, collect and remit certain taxes and surcharges associated with the provision of 911 services. On October 13, 2017, the Company signed a tolling agreement with certain additional jurisdictions regarding such allegations.</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On October 19, 2017, the Company approved, and on October 23, 2017, the Company amended its Certificate of Incorporation allowing the Company to change the number of authorized shares as follows: (i) 30,000,000 shares of common stock, $0.001 par value per share of which 25,000,000 shares were designated as Old Class A common stock, and of which 5,000,000 shares were designated as Old Class B common stock and (ii) 1,200,000 shares of preferred stock, $0.001 par value.</w:t>
      </w:r>
    </w:p>
    <w:p>
      <w:pPr>
        <w:spacing w:after="0" w:line="17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On October 19, 2017, the Company’s Board of Directors approved, and on October 23, 2017, the Company effected, a 2.50-to-1 split of its common stock. In connection with the common stock split, each share of outstanding common stock, option to purchase common stock and warrant to purchase common stock was increased to 2.50 shares of common stock and the exercise price of each outstanding option or warrant to purchase common stock was proportionately decreased. The stock split has been reflected retrospectively in these consolidated financial statements. In connection with the stock split, the conversion ratio of each share of outstanding Series A preferred stock was also adjusted such that each share of outstanding Series A preferred stock converts into 2.50 shares of Old Class A common stock after the 2.50-to-1 split.</w:t>
      </w:r>
    </w:p>
    <w:p>
      <w:pPr>
        <w:spacing w:after="0" w:line="17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On October 27, 2017, the United States District Court for the Northern District of Texas granted Verizon’s motion to permit it to assert counterclaims against the Company in connection with the ongoing complaint related to unpaid intercarrier compensation charges.</w:t>
      </w:r>
    </w:p>
    <w:p>
      <w:pPr>
        <w:spacing w:after="0" w:line="213"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On November 9, 2017, the Company filed a second amended and restated certificate of incorporation. As a result of this amendment, the Company’s common stock consists of 120,000,000 authorized shares, par value $0.001 per share, of which the authorized New Class A common stock consists of 100,000,000 shares and the authorized New Class B common stock consists of 20,000,000 shares.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On November 10, 2017, the Company sold 4,000,000 shares of its New Class A common stock at a public offering price of $20.00 per share. The Company received proceeds of $74,400, after deducting underwriting discounts and commissions of $5,600. Immediately prior to the pricing of the IPO on November 9, 2017, all shares of the Company’s then-outstanding Series A preferred stock converted into an aggregate of 1,775,000 shares of New Class B common stock and an aggregate of 11,811,480 shares of Old Class A common stock converted into New Class B common stock for a total of 13,586,480 shares outstanding of New Class B common stock. In addition, an aggregate of 34,840 shares of Old Class B common stock converted into New Class A common stock and warrants exercisable into shares of Old Class A common stock became exercisable into shares of New Class B common stock.</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On November 10, 2017 as a result of the Company's IPO the liability related to the Shareholders' anti-dilutive arrangement was terminated under the original terms of the agreement.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On November 14, 2017, the Company paid in full its outstanding term loan of $38,500 with the proceeds from the IPO and wrote-off the unamortized loan fees associate with the term loan. The revolving loan remains in effect.</w:t>
      </w:r>
    </w:p>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On November 28, 2017, the Underwriters exercised their option to sell 162,991 shares of the Company's Class A common stock under the options granted to them under the Underwriting Agreement. As a result of this transaction, shares of New Class B common stock held by selling stockholders were converted into New Class A common stock. There were no additional proceeds to the Company as a result of the shares of New Class A common stock sold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53" w:lineRule="exact"/>
        <w:rPr>
          <w:sz w:val="20"/>
          <w:szCs w:val="20"/>
          <w:color w:val="auto"/>
        </w:rPr>
      </w:pPr>
    </w:p>
    <w:p>
      <w:pPr>
        <w:ind w:right="140" w:firstLine="432"/>
        <w:spacing w:after="0" w:line="247" w:lineRule="auto"/>
        <w:rPr>
          <w:sz w:val="20"/>
          <w:szCs w:val="20"/>
          <w:color w:val="auto"/>
        </w:rPr>
      </w:pPr>
      <w:r>
        <w:rPr>
          <w:rFonts w:ascii="Arial" w:cs="Arial" w:eastAsia="Arial" w:hAnsi="Arial"/>
          <w:sz w:val="22"/>
          <w:szCs w:val="22"/>
          <w:i w:val="1"/>
          <w:iCs w:val="1"/>
          <w:color w:val="231F20"/>
        </w:rPr>
        <w:t>The following discussion and analysis of our financial condition and results of operations should be read in conjunction with our condensed consolidated financial statements and related notes that are included elsewhere in this Quarterly Report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Form 10-Q. Our fiscal year ends on December 31.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53" w:lineRule="exact"/>
        <w:rPr>
          <w:sz w:val="20"/>
          <w:szCs w:val="20"/>
          <w:color w:val="auto"/>
        </w:rPr>
      </w:pPr>
    </w:p>
    <w:p>
      <w:pPr>
        <w:ind w:firstLine="432"/>
        <w:spacing w:after="0" w:line="258" w:lineRule="auto"/>
        <w:rPr>
          <w:sz w:val="20"/>
          <w:szCs w:val="20"/>
          <w:color w:val="auto"/>
        </w:rPr>
      </w:pPr>
      <w:r>
        <w:rPr>
          <w:rFonts w:ascii="Arial" w:cs="Arial" w:eastAsia="Arial" w:hAnsi="Arial"/>
          <w:sz w:val="21"/>
          <w:szCs w:val="21"/>
          <w:color w:val="auto"/>
        </w:rPr>
        <w:t>We are a leading cloud-based communications platform for enterprises in the United States. Our solutions include a broad range of software application programming interfaces ("APIs') for voice and text functionality and our owned and managed, purpose- 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213" w:lineRule="exact"/>
        <w:rPr>
          <w:sz w:val="20"/>
          <w:szCs w:val="20"/>
          <w:color w:val="auto"/>
        </w:rPr>
      </w:pPr>
    </w:p>
    <w:p>
      <w:pPr>
        <w:ind w:right="20" w:firstLine="432"/>
        <w:spacing w:after="0" w:line="248" w:lineRule="auto"/>
        <w:rPr>
          <w:sz w:val="20"/>
          <w:szCs w:val="20"/>
          <w:color w:val="auto"/>
        </w:rPr>
      </w:pPr>
      <w:r>
        <w:rPr>
          <w:rFonts w:ascii="Arial" w:cs="Arial" w:eastAsia="Arial" w:hAnsi="Arial"/>
          <w:sz w:val="22"/>
          <w:szCs w:val="22"/>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219" w:lineRule="exact"/>
        <w:rPr>
          <w:sz w:val="20"/>
          <w:szCs w:val="20"/>
          <w:color w:val="auto"/>
        </w:rPr>
      </w:pPr>
    </w:p>
    <w:p>
      <w:pPr>
        <w:ind w:firstLine="432"/>
        <w:spacing w:after="0" w:line="247" w:lineRule="auto"/>
        <w:rPr>
          <w:sz w:val="20"/>
          <w:szCs w:val="20"/>
          <w:color w:val="auto"/>
        </w:rPr>
      </w:pPr>
      <w:r>
        <w:rPr>
          <w:rFonts w:ascii="Arial" w:cs="Arial" w:eastAsia="Arial" w:hAnsi="Arial"/>
          <w:sz w:val="22"/>
          <w:szCs w:val="22"/>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221" w:lineRule="exact"/>
        <w:rPr>
          <w:sz w:val="20"/>
          <w:szCs w:val="20"/>
          <w:color w:val="auto"/>
        </w:rPr>
      </w:pPr>
    </w:p>
    <w:p>
      <w:pPr>
        <w:ind w:right="20" w:firstLine="432"/>
        <w:spacing w:after="0" w:line="248" w:lineRule="auto"/>
        <w:rPr>
          <w:sz w:val="20"/>
          <w:szCs w:val="20"/>
          <w:color w:val="auto"/>
        </w:rPr>
      </w:pPr>
      <w:r>
        <w:rPr>
          <w:rFonts w:ascii="Arial" w:cs="Arial" w:eastAsia="Arial" w:hAnsi="Arial"/>
          <w:sz w:val="22"/>
          <w:szCs w:val="22"/>
          <w:color w:val="auto"/>
        </w:rPr>
        <w:t>For the three months ended September 30, 2017 and 2016, total revenue was $41.3 million and $38.6 million, respectively. CPaaS revenue for the three months ended September 30, 2017 and 2016 was $33.4 million and $30.2 million, respectively, representing a growth rate of 10%. Net income for the three months ended September 30, 2017 and 2016 was $1.6 million and $3.3 million, respectively. The number of active CPaaS customer accounts increased to 918 as of September 30, 2017, up 18% from 781 active CPaaS customer accounts as of September 30, 2016.</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Performance Indicators</w:t>
      </w:r>
    </w:p>
    <w:p>
      <w:pPr>
        <w:spacing w:after="0" w:line="253" w:lineRule="exact"/>
        <w:rPr>
          <w:sz w:val="20"/>
          <w:szCs w:val="20"/>
          <w:color w:val="auto"/>
        </w:rPr>
      </w:pPr>
    </w:p>
    <w:p>
      <w:pPr>
        <w:ind w:right="420" w:firstLine="432"/>
        <w:spacing w:after="0" w:line="287" w:lineRule="auto"/>
        <w:rPr>
          <w:sz w:val="20"/>
          <w:szCs w:val="20"/>
          <w:color w:val="auto"/>
        </w:rPr>
      </w:pPr>
      <w:r>
        <w:rPr>
          <w:rFonts w:ascii="Arial" w:cs="Arial" w:eastAsia="Arial" w:hAnsi="Arial"/>
          <w:sz w:val="21"/>
          <w:szCs w:val="21"/>
          <w:color w:val="auto"/>
        </w:rPr>
        <w:t>We monitor the following KPIs to help us evaluate our business, identify trends affecting our business, formulate business plans, and make strategic decisions. We believe the following KPIs are useful in evaluating our business:</w:t>
      </w:r>
    </w:p>
    <w:p>
      <w:pPr>
        <w:spacing w:after="0" w:line="330" w:lineRule="exact"/>
        <w:rPr>
          <w:sz w:val="20"/>
          <w:szCs w:val="20"/>
          <w:color w:val="auto"/>
        </w:rPr>
      </w:pPr>
    </w:p>
    <w:p>
      <w:pPr>
        <w:jc w:val="center"/>
        <w:ind w:left="75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5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22860</wp:posOffset>
            </wp:positionV>
            <wp:extent cx="2470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32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(Dollars in thousands)</w:t>
            </w:r>
          </w:p>
        </w:tc>
        <w:tc>
          <w:tcPr>
            <w:tcW w:w="68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Active CPaaS customers (as of period end)</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781</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Dollar-based net retention rate</w:t>
            </w:r>
          </w:p>
        </w:tc>
        <w:tc>
          <w:tcPr>
            <w:tcW w:w="1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1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7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3,288</w:t>
            </w:r>
          </w:p>
        </w:tc>
        <w:tc>
          <w:tcPr>
            <w:tcW w:w="128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6,201</w:t>
            </w:r>
          </w:p>
        </w:tc>
        <w:tc>
          <w:tcPr>
            <w:tcW w:w="128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5,180</w:t>
            </w:r>
          </w:p>
        </w:tc>
      </w:tr>
      <w:tr>
        <w:trPr>
          <w:trHeight w:val="27"/>
        </w:trPr>
        <w:tc>
          <w:tcPr>
            <w:tcW w:w="7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2,174</w:t>
            </w:r>
          </w:p>
        </w:tc>
        <w:tc>
          <w:tcPr>
            <w:tcW w:w="128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4,766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Free cash flow</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1,317</w:t>
            </w:r>
          </w:p>
        </w:tc>
        <w:tc>
          <w:tcPr>
            <w:tcW w:w="128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-1191260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Number of Active CPaaS Customer Accounts</w:t>
      </w:r>
    </w:p>
    <w:p>
      <w:pPr>
        <w:spacing w:after="0" w:line="247"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231F20"/>
        </w:rPr>
        <w:t>We believe that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185" w:lineRule="exact"/>
        <w:rPr>
          <w:sz w:val="20"/>
          <w:szCs w:val="20"/>
          <w:color w:val="auto"/>
        </w:rPr>
      </w:pPr>
    </w:p>
    <w:p>
      <w:pPr>
        <w:ind w:right="1120" w:firstLine="216"/>
        <w:spacing w:after="0" w:line="276" w:lineRule="auto"/>
        <w:rPr>
          <w:sz w:val="20"/>
          <w:szCs w:val="20"/>
          <w:color w:val="auto"/>
        </w:rPr>
      </w:pPr>
      <w:r>
        <w:rPr>
          <w:rFonts w:ascii="Arial" w:cs="Arial" w:eastAsia="Arial" w:hAnsi="Arial"/>
          <w:sz w:val="22"/>
          <w:szCs w:val="22"/>
          <w:color w:val="231F20"/>
        </w:rPr>
        <w:t xml:space="preserve">In the three months ending September 30, 2016 </w:t>
      </w:r>
      <w:r>
        <w:rPr>
          <w:rFonts w:ascii="Arial" w:cs="Arial" w:eastAsia="Arial" w:hAnsi="Arial"/>
          <w:sz w:val="22"/>
          <w:szCs w:val="22"/>
          <w:color w:val="000000"/>
        </w:rPr>
        <w:t>and 2017</w:t>
      </w:r>
      <w:r>
        <w:rPr>
          <w:rFonts w:ascii="Arial" w:cs="Arial" w:eastAsia="Arial" w:hAnsi="Arial"/>
          <w:sz w:val="22"/>
          <w:szCs w:val="22"/>
          <w:color w:val="231F20"/>
        </w:rPr>
        <w:t xml:space="preserve"> revenue from active CPaaS customer accounts represented approximately </w:t>
      </w:r>
      <w:r>
        <w:rPr>
          <w:rFonts w:ascii="Arial" w:cs="Arial" w:eastAsia="Arial" w:hAnsi="Arial"/>
          <w:sz w:val="22"/>
          <w:szCs w:val="22"/>
          <w:color w:val="000000"/>
        </w:rPr>
        <w:t>99%</w:t>
      </w:r>
      <w:r>
        <w:rPr>
          <w:rFonts w:ascii="Arial" w:cs="Arial" w:eastAsia="Arial" w:hAnsi="Arial"/>
          <w:sz w:val="22"/>
          <w:szCs w:val="22"/>
          <w:color w:val="231F20"/>
        </w:rPr>
        <w:t xml:space="preserve"> of total CPaaS revenue in each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Dollar-based Net Retention Rate</w:t>
      </w:r>
    </w:p>
    <w:p>
      <w:pPr>
        <w:spacing w:after="0" w:line="247"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231F20"/>
        </w:rPr>
        <w:t>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 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Key Components of Statements of Operations</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Revenue</w:t>
      </w:r>
    </w:p>
    <w:p>
      <w:pPr>
        <w:spacing w:after="0" w:line="24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 For the three months ended September 30, 2016 and 2017, we generated 57% and 58% of our CPaaS revenue, respectively, from usage-based fees. We also earn monthly fees from services such as phone number services and 911 access service. For the three months ended September 30, 2016 and 2017, we generated 40% of our CPaaS revenue in each period from monthly per unit fees.</w:t>
      </w:r>
    </w:p>
    <w:p>
      <w:pPr>
        <w:spacing w:after="0" w:line="177" w:lineRule="exact"/>
        <w:rPr>
          <w:sz w:val="20"/>
          <w:szCs w:val="20"/>
          <w:color w:val="auto"/>
        </w:rPr>
      </w:pPr>
    </w:p>
    <w:p>
      <w:pPr>
        <w:jc w:val="both"/>
        <w:ind w:right="280" w:firstLine="648"/>
        <w:spacing w:after="0" w:line="343" w:lineRule="auto"/>
        <w:rPr>
          <w:sz w:val="20"/>
          <w:szCs w:val="20"/>
          <w:color w:val="auto"/>
        </w:rPr>
      </w:pPr>
      <w:r>
        <w:rPr>
          <w:rFonts w:ascii="Arial" w:cs="Arial" w:eastAsia="Arial" w:hAnsi="Arial"/>
          <w:sz w:val="19"/>
          <w:szCs w:val="19"/>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132"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We recognize accounts receivable at the time the customer is invoiced. Additionally, we record a receivable and revenue for unbilled revenue if the services have been delivered and are billable in subsequent periods. Unbilled revenue made up 44% and 42% of outstanding accounts receivable, net of allowance for doubtful accounts as of September 30, 2016 and September 30, 2017, respectively.</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Cost of Revenue and Gross Margin</w:t>
      </w:r>
    </w:p>
    <w:p>
      <w:pPr>
        <w:spacing w:after="0" w:line="247" w:lineRule="exact"/>
        <w:rPr>
          <w:sz w:val="20"/>
          <w:szCs w:val="20"/>
          <w:color w:val="auto"/>
        </w:rPr>
      </w:pPr>
    </w:p>
    <w:p>
      <w:pPr>
        <w:ind w:right="180" w:firstLine="648"/>
        <w:spacing w:after="0" w:line="290" w:lineRule="auto"/>
        <w:rPr>
          <w:sz w:val="20"/>
          <w:szCs w:val="20"/>
          <w:color w:val="auto"/>
        </w:rPr>
      </w:pPr>
      <w:r>
        <w:rPr>
          <w:rFonts w:ascii="Arial" w:cs="Arial" w:eastAsia="Arial" w:hAnsi="Arial"/>
          <w:sz w:val="19"/>
          <w:szCs w:val="19"/>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213"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Operating Expenses</w:t>
      </w:r>
    </w:p>
    <w:p>
      <w:pPr>
        <w:spacing w:after="0" w:line="24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231F20"/>
        </w:rPr>
        <w:t>Research and Development</w:t>
      </w:r>
    </w:p>
    <w:p>
      <w:pPr>
        <w:spacing w:after="0" w:line="2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231F20"/>
        </w:rPr>
        <w:t>R&amp;D expenses consist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231F20"/>
        </w:rPr>
        <w:t>Sales and Marketing</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General and Administrative</w:t>
      </w:r>
    </w:p>
    <w:p>
      <w:pPr>
        <w:spacing w:after="0" w:line="247" w:lineRule="exact"/>
        <w:rPr>
          <w:sz w:val="20"/>
          <w:szCs w:val="20"/>
          <w:color w:val="auto"/>
        </w:rPr>
      </w:pPr>
    </w:p>
    <w:p>
      <w:pPr>
        <w:ind w:right="100" w:firstLine="648"/>
        <w:spacing w:after="0" w:line="260" w:lineRule="auto"/>
        <w:rPr>
          <w:sz w:val="20"/>
          <w:szCs w:val="20"/>
          <w:color w:val="auto"/>
        </w:rPr>
      </w:pPr>
      <w:r>
        <w:rPr>
          <w:rFonts w:ascii="Arial" w:cs="Arial" w:eastAsia="Arial" w:hAnsi="Arial"/>
          <w:sz w:val="21"/>
          <w:szCs w:val="21"/>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Income Taxes</w:t>
      </w:r>
    </w:p>
    <w:p>
      <w:pPr>
        <w:spacing w:after="0" w:line="247"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Our effective tax rate was 3.3% and 35.5% for the three months ended September 30, 2016 and September 30, 2017, respectively. The increase in our effective tax rate is due to the release of our valuation allowance against deferred tax assets in the fourth quarter of 2016.</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Non-GAAP Financial Measures</w:t>
      </w:r>
    </w:p>
    <w:p>
      <w:pPr>
        <w:spacing w:after="0" w:line="253"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231F20"/>
        </w:rPr>
        <w:t>We use adjusted EBITDA, Non-GAAP gross profit, Non-GAAP gross margin, Non-GAAP net income and free cash flow for financial and operational decision making and to evaluate period-to-period differences in our performance. Adjusted EBITDA, Non-GAAP gross profit, Non-GAAP gross margin, Non-GAAP net income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For a reconciliation of each of the non-GAAP financial measures described below, see “Reconciliation of Non-GAAP Financial Measures.”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22"/>
          <w:szCs w:val="22"/>
          <w:b w:val="1"/>
          <w:bCs w:val="1"/>
          <w:i w:val="1"/>
          <w:iCs w:val="1"/>
          <w:color w:val="231F20"/>
        </w:rPr>
        <w:t>Adjusted EBITDA</w:t>
      </w:r>
    </w:p>
    <w:p>
      <w:pPr>
        <w:spacing w:after="0" w:line="247" w:lineRule="exact"/>
        <w:rPr>
          <w:sz w:val="20"/>
          <w:szCs w:val="20"/>
          <w:color w:val="auto"/>
        </w:rPr>
      </w:pPr>
    </w:p>
    <w:p>
      <w:pPr>
        <w:ind w:right="840" w:firstLine="648"/>
        <w:spacing w:after="0" w:line="263" w:lineRule="auto"/>
        <w:rPr>
          <w:sz w:val="20"/>
          <w:szCs w:val="20"/>
          <w:color w:val="auto"/>
        </w:rPr>
      </w:pPr>
      <w:r>
        <w:rPr>
          <w:rFonts w:ascii="Arial" w:cs="Arial" w:eastAsia="Arial" w:hAnsi="Arial"/>
          <w:sz w:val="22"/>
          <w:szCs w:val="22"/>
          <w:color w:val="231F20"/>
        </w:rPr>
        <w:t>We define adjusted EBITDA as net income or losses from continuing operations, adjusted to reflect the addition or elimination of certain income statement items including, but not limited to:</w:t>
      </w:r>
    </w:p>
    <w:p>
      <w:pPr>
        <w:spacing w:after="0" w:line="202" w:lineRule="exact"/>
        <w:rPr>
          <w:sz w:val="20"/>
          <w:szCs w:val="20"/>
          <w:color w:val="auto"/>
        </w:rPr>
      </w:pPr>
    </w:p>
    <w:p>
      <w:pPr>
        <w:ind w:left="680" w:hanging="321"/>
        <w:spacing w:after="0"/>
        <w:tabs>
          <w:tab w:leader="none" w:pos="680" w:val="left"/>
        </w:tabs>
        <w:numPr>
          <w:ilvl w:val="0"/>
          <w:numId w:val="12"/>
        </w:numPr>
        <w:rPr>
          <w:rFonts w:ascii="Arial" w:cs="Arial" w:eastAsia="Arial" w:hAnsi="Arial"/>
          <w:sz w:val="22"/>
          <w:szCs w:val="22"/>
          <w:color w:val="231F20"/>
        </w:rPr>
      </w:pPr>
      <w:r>
        <w:rPr>
          <w:rFonts w:ascii="Arial" w:cs="Arial" w:eastAsia="Arial" w:hAnsi="Arial"/>
          <w:sz w:val="22"/>
          <w:szCs w:val="22"/>
          <w:color w:val="231F20"/>
        </w:rPr>
        <w:t>income tax expense (benefit);</w:t>
      </w:r>
    </w:p>
    <w:p>
      <w:pPr>
        <w:spacing w:after="0" w:line="246" w:lineRule="exact"/>
        <w:rPr>
          <w:rFonts w:ascii="Arial" w:cs="Arial" w:eastAsia="Arial" w:hAnsi="Arial"/>
          <w:sz w:val="22"/>
          <w:szCs w:val="22"/>
          <w:color w:val="231F20"/>
        </w:rPr>
      </w:pPr>
    </w:p>
    <w:p>
      <w:pPr>
        <w:ind w:left="680" w:hanging="321"/>
        <w:spacing w:after="0"/>
        <w:tabs>
          <w:tab w:leader="none" w:pos="680" w:val="left"/>
        </w:tabs>
        <w:numPr>
          <w:ilvl w:val="0"/>
          <w:numId w:val="12"/>
        </w:numPr>
        <w:rPr>
          <w:rFonts w:ascii="Arial" w:cs="Arial" w:eastAsia="Arial" w:hAnsi="Arial"/>
          <w:sz w:val="22"/>
          <w:szCs w:val="22"/>
          <w:color w:val="auto"/>
        </w:rPr>
      </w:pPr>
      <w:r>
        <w:rPr>
          <w:rFonts w:ascii="Arial" w:cs="Arial" w:eastAsia="Arial" w:hAnsi="Arial"/>
          <w:sz w:val="22"/>
          <w:szCs w:val="22"/>
          <w:color w:val="231F20"/>
        </w:rPr>
        <w:t>interest expense, net;</w:t>
      </w:r>
    </w:p>
    <w:p>
      <w:pPr>
        <w:spacing w:after="0" w:line="246" w:lineRule="exact"/>
        <w:rPr>
          <w:rFonts w:ascii="Arial" w:cs="Arial" w:eastAsia="Arial" w:hAnsi="Arial"/>
          <w:sz w:val="22"/>
          <w:szCs w:val="22"/>
          <w:color w:val="auto"/>
        </w:rPr>
      </w:pPr>
    </w:p>
    <w:p>
      <w:pPr>
        <w:ind w:left="680" w:hanging="321"/>
        <w:spacing w:after="0"/>
        <w:tabs>
          <w:tab w:leader="none" w:pos="680" w:val="left"/>
        </w:tabs>
        <w:numPr>
          <w:ilvl w:val="0"/>
          <w:numId w:val="12"/>
        </w:numPr>
        <w:rPr>
          <w:rFonts w:ascii="Arial" w:cs="Arial" w:eastAsia="Arial" w:hAnsi="Arial"/>
          <w:sz w:val="22"/>
          <w:szCs w:val="22"/>
          <w:color w:val="auto"/>
        </w:rPr>
      </w:pPr>
      <w:r>
        <w:rPr>
          <w:rFonts w:ascii="Arial" w:cs="Arial" w:eastAsia="Arial" w:hAnsi="Arial"/>
          <w:sz w:val="22"/>
          <w:szCs w:val="22"/>
          <w:color w:val="231F20"/>
        </w:rPr>
        <w:t>depreciation and amortization expense;</w:t>
      </w:r>
    </w:p>
    <w:p>
      <w:pPr>
        <w:spacing w:after="0" w:line="246" w:lineRule="exact"/>
        <w:rPr>
          <w:rFonts w:ascii="Arial" w:cs="Arial" w:eastAsia="Arial" w:hAnsi="Arial"/>
          <w:sz w:val="22"/>
          <w:szCs w:val="22"/>
          <w:color w:val="auto"/>
        </w:rPr>
      </w:pPr>
    </w:p>
    <w:p>
      <w:pPr>
        <w:ind w:left="680" w:hanging="321"/>
        <w:spacing w:after="0"/>
        <w:tabs>
          <w:tab w:leader="none" w:pos="680" w:val="left"/>
        </w:tabs>
        <w:numPr>
          <w:ilvl w:val="0"/>
          <w:numId w:val="12"/>
        </w:numPr>
        <w:rPr>
          <w:rFonts w:ascii="Arial" w:cs="Arial" w:eastAsia="Arial" w:hAnsi="Arial"/>
          <w:sz w:val="22"/>
          <w:szCs w:val="22"/>
          <w:color w:val="auto"/>
        </w:rPr>
      </w:pPr>
      <w:r>
        <w:rPr>
          <w:rFonts w:ascii="Arial" w:cs="Arial" w:eastAsia="Arial" w:hAnsi="Arial"/>
          <w:sz w:val="22"/>
          <w:szCs w:val="22"/>
          <w:color w:val="231F20"/>
        </w:rPr>
        <w:t>stock-based compensation expense;</w:t>
      </w:r>
    </w:p>
    <w:p>
      <w:pPr>
        <w:spacing w:after="0" w:line="246" w:lineRule="exact"/>
        <w:rPr>
          <w:rFonts w:ascii="Arial" w:cs="Arial" w:eastAsia="Arial" w:hAnsi="Arial"/>
          <w:sz w:val="22"/>
          <w:szCs w:val="22"/>
          <w:color w:val="auto"/>
        </w:rPr>
      </w:pPr>
    </w:p>
    <w:p>
      <w:pPr>
        <w:ind w:left="680" w:hanging="321"/>
        <w:spacing w:after="0"/>
        <w:tabs>
          <w:tab w:leader="none" w:pos="680" w:val="left"/>
        </w:tabs>
        <w:numPr>
          <w:ilvl w:val="0"/>
          <w:numId w:val="12"/>
        </w:numPr>
        <w:rPr>
          <w:rFonts w:ascii="Arial" w:cs="Arial" w:eastAsia="Arial" w:hAnsi="Arial"/>
          <w:sz w:val="22"/>
          <w:szCs w:val="22"/>
          <w:color w:val="auto"/>
        </w:rPr>
      </w:pPr>
      <w:r>
        <w:rPr>
          <w:rFonts w:ascii="Arial" w:cs="Arial" w:eastAsia="Arial" w:hAnsi="Arial"/>
          <w:sz w:val="22"/>
          <w:szCs w:val="22"/>
          <w:color w:val="231F20"/>
        </w:rPr>
        <w:t>impairment of intangible assets, if any;</w:t>
      </w:r>
    </w:p>
    <w:p>
      <w:pPr>
        <w:spacing w:after="0" w:line="246" w:lineRule="exact"/>
        <w:rPr>
          <w:rFonts w:ascii="Arial" w:cs="Arial" w:eastAsia="Arial" w:hAnsi="Arial"/>
          <w:sz w:val="22"/>
          <w:szCs w:val="22"/>
          <w:color w:val="auto"/>
        </w:rPr>
      </w:pPr>
    </w:p>
    <w:p>
      <w:pPr>
        <w:ind w:left="680" w:hanging="321"/>
        <w:spacing w:after="0"/>
        <w:tabs>
          <w:tab w:leader="none" w:pos="680" w:val="left"/>
        </w:tabs>
        <w:numPr>
          <w:ilvl w:val="0"/>
          <w:numId w:val="12"/>
        </w:numPr>
        <w:rPr>
          <w:rFonts w:ascii="Arial" w:cs="Arial" w:eastAsia="Arial" w:hAnsi="Arial"/>
          <w:sz w:val="22"/>
          <w:szCs w:val="22"/>
          <w:color w:val="auto"/>
        </w:rPr>
      </w:pPr>
      <w:r>
        <w:rPr>
          <w:rFonts w:ascii="Arial" w:cs="Arial" w:eastAsia="Arial" w:hAnsi="Arial"/>
          <w:sz w:val="22"/>
          <w:szCs w:val="22"/>
          <w:color w:val="231F20"/>
        </w:rPr>
        <w:t>loss (gain) from disposal of property and equipment; and</w:t>
      </w:r>
    </w:p>
    <w:p>
      <w:pPr>
        <w:spacing w:after="0" w:line="246" w:lineRule="exact"/>
        <w:rPr>
          <w:rFonts w:ascii="Arial" w:cs="Arial" w:eastAsia="Arial" w:hAnsi="Arial"/>
          <w:sz w:val="22"/>
          <w:szCs w:val="22"/>
          <w:color w:val="auto"/>
        </w:rPr>
      </w:pPr>
    </w:p>
    <w:p>
      <w:pPr>
        <w:ind w:left="680" w:hanging="321"/>
        <w:spacing w:after="0"/>
        <w:tabs>
          <w:tab w:leader="none" w:pos="680" w:val="left"/>
        </w:tabs>
        <w:numPr>
          <w:ilvl w:val="0"/>
          <w:numId w:val="12"/>
        </w:numPr>
        <w:rPr>
          <w:rFonts w:ascii="Arial" w:cs="Arial" w:eastAsia="Arial" w:hAnsi="Arial"/>
          <w:sz w:val="22"/>
          <w:szCs w:val="22"/>
          <w:color w:val="auto"/>
        </w:rPr>
      </w:pPr>
      <w:r>
        <w:rPr>
          <w:rFonts w:ascii="Arial" w:cs="Arial" w:eastAsia="Arial" w:hAnsi="Arial"/>
          <w:sz w:val="22"/>
          <w:szCs w:val="22"/>
          <w:color w:val="231F20"/>
        </w:rPr>
        <w:t>change in fair value of financial instruments, including any change in shareholders’ anti-dilutive arrangements.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Adjusted EBITDA is a key measure used by management to understand and evaluate our core operating performance and 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b w:val="1"/>
          <w:bCs w:val="1"/>
          <w:i w:val="1"/>
          <w:iCs w:val="1"/>
          <w:color w:val="231F20"/>
        </w:rPr>
        <w:t>Non-GAAP Gross Profit and Non-GAAP Gross Margin</w:t>
      </w:r>
    </w:p>
    <w:p>
      <w:pPr>
        <w:spacing w:after="0" w:line="24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9"/>
          <w:szCs w:val="19"/>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6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depreciation and amortization;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47"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that showing gross margin, as Non-GAAP to remove the impact of these non-cash expenses, such as depreciation, amortization and stock-based compensation, is helpful to investors in assessing our gross profit and gross margin performance in a way that is similar to how management assesses our performance.</w:t>
      </w:r>
    </w:p>
    <w:p>
      <w:pPr>
        <w:spacing w:after="0" w:line="221"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We calculate Non-GAAP gross margin by dividing Non-GAAP gross profit by revenue, expressed as a percentage of revenue.</w:t>
      </w:r>
    </w:p>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Management uses Non-GAAP gross profit and Non-GAAP gross margin to evaluate operating performance and to determine resource allocation among our various service offerings. We believe that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22"/>
          <w:szCs w:val="22"/>
          <w:b w:val="1"/>
          <w:bCs w:val="1"/>
          <w:i w:val="1"/>
          <w:iCs w:val="1"/>
          <w:color w:val="231F20"/>
        </w:rPr>
        <w:t>Non-GAAP Net Income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define Non-GAAP net income as net income adjusted for certain items affecting period-to-period comparability. Non-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GAAP net income excludes:</w:t>
      </w:r>
    </w:p>
    <w:p>
      <w:pPr>
        <w:spacing w:after="0" w:line="22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change in fair value of shareholders’ antidilutive arrangement;</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amortization of acquired intangible assets related to the Dash acquisition;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impairment charges of intangibles assets</w:t>
      </w:r>
      <w:r>
        <w:rPr>
          <w:rFonts w:ascii="Arial" w:cs="Arial" w:eastAsia="Arial" w:hAnsi="Arial"/>
          <w:sz w:val="22"/>
          <w:szCs w:val="22"/>
          <w:color w:val="231F20"/>
        </w:rPr>
        <w:t>, if any</w:t>
      </w:r>
      <w:r>
        <w:rPr>
          <w:rFonts w:ascii="Arial" w:cs="Arial" w:eastAsia="Arial" w:hAnsi="Arial"/>
          <w:sz w:val="22"/>
          <w:szCs w:val="22"/>
          <w:color w:val="auto"/>
        </w:rPr>
        <w: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loss (gain) on disposal of property and equipment; and</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estimated tax impact of above adjustments.</w:t>
      </w:r>
    </w:p>
    <w:p>
      <w:pPr>
        <w:spacing w:after="0" w:line="247"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22"/>
          <w:szCs w:val="22"/>
          <w:b w:val="1"/>
          <w:bCs w:val="1"/>
          <w:i w:val="1"/>
          <w:iCs w:val="1"/>
          <w:color w:val="231F20"/>
        </w:rPr>
        <w:t>Free Cash Flow</w:t>
      </w:r>
    </w:p>
    <w:p>
      <w:pPr>
        <w:spacing w:after="0" w:line="247" w:lineRule="exact"/>
        <w:rPr>
          <w:sz w:val="20"/>
          <w:szCs w:val="20"/>
          <w:color w:val="auto"/>
        </w:rPr>
      </w:pPr>
    </w:p>
    <w:p>
      <w:pPr>
        <w:ind w:right="180" w:firstLine="648"/>
        <w:spacing w:after="0" w:line="294" w:lineRule="auto"/>
        <w:rPr>
          <w:sz w:val="20"/>
          <w:szCs w:val="20"/>
          <w:color w:val="auto"/>
        </w:rPr>
      </w:pPr>
      <w:r>
        <w:rPr>
          <w:rFonts w:ascii="Arial" w:cs="Arial" w:eastAsia="Arial" w:hAnsi="Arial"/>
          <w:sz w:val="19"/>
          <w:szCs w:val="19"/>
          <w:color w:val="auto"/>
        </w:rPr>
        <w:t>Free cash flow represents net cash provided by (used in) operating activities from continuing operations less net cash used in investing activities from continuing operations.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nor does it represent the residual cash flows available for discretionary expenditures. Therefore, it is important to evaluate free cash flow along with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 of Non-GAAP Financial Measures</w:t>
      </w:r>
    </w:p>
    <w:p>
      <w:pPr>
        <w:spacing w:after="0" w:line="253" w:lineRule="exact"/>
        <w:rPr>
          <w:sz w:val="20"/>
          <w:szCs w:val="20"/>
          <w:color w:val="auto"/>
        </w:rPr>
      </w:pPr>
    </w:p>
    <w:p>
      <w:pPr>
        <w:ind w:right="320" w:firstLine="432"/>
        <w:spacing w:after="0" w:line="263" w:lineRule="auto"/>
        <w:rPr>
          <w:sz w:val="20"/>
          <w:szCs w:val="20"/>
          <w:color w:val="auto"/>
        </w:rPr>
      </w:pPr>
      <w:r>
        <w:rPr>
          <w:rFonts w:ascii="Arial" w:cs="Arial" w:eastAsia="Arial" w:hAnsi="Arial"/>
          <w:sz w:val="22"/>
          <w:szCs w:val="22"/>
          <w:color w:val="auto"/>
        </w:rPr>
        <w:t>Reconciliations of the above mentioned non-GAAP financial measures to the most directly comparable GAAP financial measures are presented in the tables below (in thousands):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Non-GAAP Gross Profit and Non-GAAP Gross Margin</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Consolidated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8"/>
                <w:szCs w:val="18"/>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24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ind w:left="52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Gross Profit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54,058</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3,245</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r>
      <w:tr>
        <w:trPr>
          <w:trHeight w:val="297"/>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Gross Profit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18,260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19,945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52,754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57,360</w:t>
            </w:r>
          </w:p>
        </w:tc>
      </w:tr>
      <w:tr>
        <w:trPr>
          <w:trHeight w:val="23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Non-GAAP Gross Margin %</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r>
      <w:tr>
        <w:trPr>
          <w:trHeight w:val="27"/>
        </w:trPr>
        <w:tc>
          <w:tcPr>
            <w:tcW w:w="5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-1071245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-1071245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-1071245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0"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By Segment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22"/>
          <w:szCs w:val="22"/>
          <w:u w:val="single" w:color="auto"/>
          <w:color w:val="auto"/>
        </w:rPr>
        <w:t>CPaaS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8"/>
                <w:szCs w:val="18"/>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24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ind w:left="52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CPaaS Gross Profit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12,052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40,197</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3,245</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r>
      <w:tr>
        <w:trPr>
          <w:trHeight w:val="297"/>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Gross Profit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13,224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15,328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36,882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43,499</w:t>
            </w:r>
          </w:p>
        </w:tc>
      </w:tr>
      <w:tr>
        <w:trPr>
          <w:trHeight w:val="23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Non-GAAP Gross CPaaS Margin %</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r>
      <w:tr>
        <w:trPr>
          <w:trHeight w:val="27"/>
        </w:trPr>
        <w:tc>
          <w:tcPr>
            <w:tcW w:w="5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-1071245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-1071245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-1071245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u w:val="single" w:color="auto"/>
          <w:color w:val="auto"/>
        </w:rPr>
        <w:t>Other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are no non-GAAP adjustments to gross profit for the Other segment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125" w:right="5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Adjusted EBITDA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ind w:left="48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Change in fair value of shareholders' anti-dilutive arrangement (1)</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18,470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17,835</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-1861185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-1861185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-1861185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right="300" w:firstLine="494"/>
        <w:spacing w:after="0" w:line="259" w:lineRule="auto"/>
        <w:tabs>
          <w:tab w:leader="none" w:pos="741"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 xml:space="preserve">Relates to an anti-dilutive agreement which allows certain principal non-founder shareholders the ability to purchase additional common shares. See Note 4, </w:t>
      </w:r>
      <w:r>
        <w:rPr>
          <w:rFonts w:ascii="Arial" w:cs="Arial" w:eastAsia="Arial" w:hAnsi="Arial"/>
          <w:sz w:val="18"/>
          <w:szCs w:val="18"/>
          <w:i w:val="1"/>
          <w:iCs w:val="1"/>
          <w:color w:val="231F20"/>
        </w:rPr>
        <w:t>Fair Value of Financial Instruments</w:t>
      </w:r>
      <w:r>
        <w:rPr>
          <w:rFonts w:ascii="Arial" w:cs="Arial" w:eastAsia="Arial" w:hAnsi="Arial"/>
          <w:sz w:val="18"/>
          <w:szCs w:val="18"/>
          <w:color w:val="231F20"/>
        </w:rPr>
        <w:t>, for further explanation.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Non-GAAP Net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ind w:left="48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shareholders' anti-dilutive arrangement (1)</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Amortization related to acquisitions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Estimated tax effects of adjustments (2)</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Non-GAAP 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7,954</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Non-GAAP net income per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191"/>
        </w:trPr>
        <w:tc>
          <w:tcPr>
            <w:tcW w:w="6060" w:type="dxa"/>
            <w:vAlign w:val="bottom"/>
          </w:tcPr>
          <w:p>
            <w:pPr>
              <w:ind w:left="60"/>
              <w:spacing w:after="0"/>
              <w:rPr>
                <w:sz w:val="20"/>
                <w:szCs w:val="20"/>
                <w:color w:val="auto"/>
              </w:rPr>
            </w:pPr>
            <w:r>
              <w:rPr>
                <w:rFonts w:ascii="Arial" w:cs="Arial" w:eastAsia="Arial" w:hAnsi="Arial"/>
                <w:sz w:val="14"/>
                <w:szCs w:val="14"/>
                <w:b w:val="1"/>
                <w:bCs w:val="1"/>
                <w:color w:val="auto"/>
              </w:rPr>
              <w:t>________________________</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-2032635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-2032635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-2032635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right="300" w:firstLine="494"/>
        <w:spacing w:after="0" w:line="249" w:lineRule="auto"/>
        <w:tabs>
          <w:tab w:leader="none" w:pos="741"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Relates to an anti-dilutive agreement which allows certain principal non-founder shareholders the ability to purchase additional common shares. See Note 4</w:t>
      </w:r>
      <w:r>
        <w:rPr>
          <w:rFonts w:ascii="Arial" w:cs="Arial" w:eastAsia="Arial" w:hAnsi="Arial"/>
          <w:sz w:val="18"/>
          <w:szCs w:val="18"/>
          <w:i w:val="1"/>
          <w:iCs w:val="1"/>
          <w:color w:val="231F20"/>
        </w:rPr>
        <w:t>, Fair Value of Financial Instruments,</w:t>
      </w:r>
      <w:r>
        <w:rPr>
          <w:rFonts w:ascii="Arial" w:cs="Arial" w:eastAsia="Arial" w:hAnsi="Arial"/>
          <w:sz w:val="18"/>
          <w:szCs w:val="18"/>
          <w:color w:val="231F20"/>
        </w:rPr>
        <w:t xml:space="preserve"> for further explanation.</w:t>
      </w:r>
    </w:p>
    <w:p>
      <w:pPr>
        <w:spacing w:after="0" w:line="1"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The Company had a full valuation allowance against its deferred tax assets for the nine months ended September 30,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Free Cash Flow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ind w:left="48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operating activities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9,846</w:t>
            </w:r>
          </w:p>
        </w:tc>
      </w:tr>
      <w:tr>
        <w:trPr>
          <w:trHeight w:val="243"/>
        </w:trPr>
        <w:tc>
          <w:tcPr>
            <w:tcW w:w="6060" w:type="dxa"/>
            <w:vAlign w:val="bottom"/>
          </w:tcPr>
          <w:p>
            <w:pPr>
              <w:ind w:left="40"/>
              <w:spacing w:after="0"/>
              <w:rPr>
                <w:sz w:val="20"/>
                <w:szCs w:val="20"/>
                <w:color w:val="auto"/>
              </w:rPr>
            </w:pPr>
            <w:r>
              <w:rPr>
                <w:rFonts w:ascii="Arial" w:cs="Arial" w:eastAsia="Arial" w:hAnsi="Arial"/>
                <w:sz w:val="17"/>
                <w:szCs w:val="17"/>
                <w:color w:val="auto"/>
              </w:rPr>
              <w:t>Net cash used in investing activities from continuing operations(1)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(4,909)</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Free cash flow</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4,937</w:t>
            </w:r>
          </w:p>
        </w:tc>
      </w:tr>
      <w:tr>
        <w:trPr>
          <w:trHeight w:val="20"/>
        </w:trPr>
        <w:tc>
          <w:tcPr>
            <w:tcW w:w="60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-711200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-711200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-711200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-95885</wp:posOffset>
            </wp:positionV>
            <wp:extent cx="3404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Represents the acquisition cost of property, equipment and capitalized development costs for software for internal use.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Results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231F20"/>
        </w:rPr>
        <w:t>Consolidated Results of Operations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The following table sets forth the consolidated statements of operations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ind w:left="38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CPaaS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30,249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33,397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86,900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96,591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23,898</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38,603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41,338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113,373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120,489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CPaaS cost of revenue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56,394</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cost of revenue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10,037</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64,177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66,431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CPaaS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33,324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40,197</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49,196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54,058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7,862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8,099</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9,797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25,691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41,652</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12,406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shareholders’ anti-dilutive arrangement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10,456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11,589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6,570</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income tax</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6,570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6462395</wp:posOffset>
            </wp:positionH>
            <wp:positionV relativeFrom="paragraph">
              <wp:posOffset>-4724400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-4724400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-4724400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231F20"/>
        </w:rPr>
        <w:t>The following table sets forth our results of operations as a percentage of our total revenue for the periods presented.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6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25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256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CPaaS revenue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Other revenue</w:t>
            </w:r>
          </w:p>
        </w:tc>
        <w:tc>
          <w:tcPr>
            <w:tcW w:w="122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Cost of revenue:</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CPaaS cost of revenue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Other cost of revenue</w:t>
            </w:r>
          </w:p>
        </w:tc>
        <w:tc>
          <w:tcPr>
            <w:tcW w:w="122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CPaaS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Other</w:t>
            </w:r>
          </w:p>
        </w:tc>
        <w:tc>
          <w:tcPr>
            <w:tcW w:w="12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Other expense:</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Change in fair value of shareholders’ anti-dilutive arrangement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income tax</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 xml:space="preserve">Comparison of the Three Months Ended </w:t>
      </w:r>
      <w:r>
        <w:rPr>
          <w:rFonts w:ascii="Arial" w:cs="Arial" w:eastAsia="Arial" w:hAnsi="Arial"/>
          <w:sz w:val="22"/>
          <w:szCs w:val="22"/>
          <w:b w:val="1"/>
          <w:bCs w:val="1"/>
          <w:color w:val="000000"/>
        </w:rPr>
        <w:t>September 30, 2016 and 2017</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gridSpan w:val="2"/>
          </w:tcPr>
          <w:p>
            <w:pPr>
              <w:ind w:left="72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0"/>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CPaaS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30,249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88"/>
              </w:rPr>
              <w:t>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8,354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w:t>
            </w:r>
          </w:p>
        </w:tc>
        <w:tc>
          <w:tcPr>
            <w:tcW w:w="520" w:type="dxa"/>
            <w:vAlign w:val="bottom"/>
          </w:tcPr>
          <w:p>
            <w:pPr>
              <w:spacing w:after="0"/>
              <w:rPr>
                <w:sz w:val="21"/>
                <w:szCs w:val="21"/>
                <w:color w:val="auto"/>
              </w:rPr>
            </w:pPr>
          </w:p>
        </w:tc>
        <w:tc>
          <w:tcPr>
            <w:tcW w:w="1060" w:type="dxa"/>
            <w:vAlign w:val="bottom"/>
          </w:tcPr>
          <w:p>
            <w:pPr>
              <w:jc w:val="center"/>
              <w:ind w:right="310"/>
              <w:spacing w:after="0"/>
              <w:rPr>
                <w:sz w:val="20"/>
                <w:szCs w:val="20"/>
                <w:color w:val="auto"/>
              </w:rPr>
            </w:pPr>
            <w:r>
              <w:rPr>
                <w:rFonts w:ascii="Arial" w:cs="Arial" w:eastAsia="Arial" w:hAnsi="Arial"/>
                <w:sz w:val="18"/>
                <w:szCs w:val="18"/>
                <w:color w:val="auto"/>
                <w:w w:val="93"/>
              </w:rPr>
              <w:t>-5%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38,603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41,338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2,735</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92"/>
              </w:rPr>
              <w:t>7%</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-1156970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20" w:firstLine="432"/>
        <w:spacing w:after="0" w:line="286" w:lineRule="auto"/>
        <w:rPr>
          <w:sz w:val="20"/>
          <w:szCs w:val="20"/>
          <w:color w:val="auto"/>
        </w:rPr>
      </w:pPr>
      <w:r>
        <w:rPr>
          <w:rFonts w:ascii="Arial" w:cs="Arial" w:eastAsia="Arial" w:hAnsi="Arial"/>
          <w:sz w:val="19"/>
          <w:szCs w:val="19"/>
          <w:color w:val="auto"/>
        </w:rPr>
        <w:t xml:space="preserve">For the three months ended September 30, 2017, total revenue increased by $2.7 million, or 7%, compared to the same period in 2016. CPaaS revenue increased by $3.1 million, or 10%, compared to the same period in 2016. As a percentage of total revenue, CPaaS revenue increased from 78% to 81% from the three months ended September 30, 2016 to September 30, 2017. </w:t>
      </w:r>
      <w:r>
        <w:rPr>
          <w:rFonts w:ascii="Arial" w:cs="Arial" w:eastAsia="Arial" w:hAnsi="Arial"/>
          <w:sz w:val="19"/>
          <w:szCs w:val="19"/>
          <w:color w:val="231F20"/>
        </w:rPr>
        <w:t>The increase</w:t>
      </w:r>
      <w:r>
        <w:rPr>
          <w:rFonts w:ascii="Arial" w:cs="Arial" w:eastAsia="Arial" w:hAnsi="Arial"/>
          <w:sz w:val="19"/>
          <w:szCs w:val="19"/>
          <w:color w:val="auto"/>
        </w:rPr>
        <w:t xml:space="preserve"> </w:t>
      </w:r>
      <w:r>
        <w:rPr>
          <w:rFonts w:ascii="Arial" w:cs="Arial" w:eastAsia="Arial" w:hAnsi="Arial"/>
          <w:sz w:val="19"/>
          <w:szCs w:val="19"/>
          <w:color w:val="231F20"/>
        </w:rPr>
        <w:t xml:space="preserve">in CPaaS revenue was primarily attributable to an increase in the usage of all our service offerings, particularly our voice and messaging usage, which accounted for $5.6 million of the increase in CPaaS revenue, and additionally our phone number services and 911-enabled phone number services, which accounted for $0.6 million of the increase in CPaaS revenue. This overall increase in CPaaS revenue was partially offset by $3.1 million related to pricing decreases that we have implemented over time with our customers in the form of lower usage prices to increase the reach and scale of our platform. The changes in usage and price in the three months ended </w:t>
      </w:r>
      <w:r>
        <w:rPr>
          <w:rFonts w:ascii="Arial" w:cs="Arial" w:eastAsia="Arial" w:hAnsi="Arial"/>
          <w:sz w:val="19"/>
          <w:szCs w:val="19"/>
          <w:color w:val="000000"/>
        </w:rPr>
        <w:t>September 30, 2017</w:t>
      </w:r>
      <w:r>
        <w:rPr>
          <w:rFonts w:ascii="Arial" w:cs="Arial" w:eastAsia="Arial" w:hAnsi="Arial"/>
          <w:sz w:val="19"/>
          <w:szCs w:val="19"/>
          <w:color w:val="231F20"/>
        </w:rPr>
        <w:t xml:space="preserve"> were reflected in our dollar-based net retention rate of 105%. The decline in the dollar-based net retention rate in the </w:t>
      </w:r>
      <w:r>
        <w:rPr>
          <w:rFonts w:ascii="Arial" w:cs="Arial" w:eastAsia="Arial" w:hAnsi="Arial"/>
          <w:sz w:val="19"/>
          <w:szCs w:val="19"/>
          <w:color w:val="000000"/>
        </w:rPr>
        <w:t>three months ended September 30, 2017</w:t>
      </w:r>
      <w:r>
        <w:rPr>
          <w:rFonts w:ascii="Arial" w:cs="Arial" w:eastAsia="Arial" w:hAnsi="Arial"/>
          <w:sz w:val="19"/>
          <w:szCs w:val="19"/>
          <w:color w:val="231F20"/>
        </w:rPr>
        <w:t xml:space="preserve"> was primarily due to a strategic decision to no longer service a particular customer. The increase in usage was also attributable to an 18% increase in the number of active CPaaS customer accounts, from 781 as of </w:t>
      </w:r>
      <w:r>
        <w:rPr>
          <w:rFonts w:ascii="Arial" w:cs="Arial" w:eastAsia="Arial" w:hAnsi="Arial"/>
          <w:sz w:val="19"/>
          <w:szCs w:val="19"/>
          <w:color w:val="000000"/>
        </w:rPr>
        <w:t>September 30, 2016</w:t>
      </w:r>
      <w:r>
        <w:rPr>
          <w:rFonts w:ascii="Arial" w:cs="Arial" w:eastAsia="Arial" w:hAnsi="Arial"/>
          <w:sz w:val="19"/>
          <w:szCs w:val="19"/>
          <w:color w:val="231F20"/>
        </w:rPr>
        <w:t xml:space="preserve"> to 918 as of </w:t>
      </w:r>
      <w:r>
        <w:rPr>
          <w:rFonts w:ascii="Arial" w:cs="Arial" w:eastAsia="Arial" w:hAnsi="Arial"/>
          <w:sz w:val="19"/>
          <w:szCs w:val="19"/>
          <w:color w:val="000000"/>
        </w:rPr>
        <w:t>September 30, 2017</w:t>
      </w:r>
      <w:r>
        <w:rPr>
          <w:rFonts w:ascii="Arial" w:cs="Arial" w:eastAsia="Arial" w:hAnsi="Arial"/>
          <w:sz w:val="19"/>
          <w:szCs w:val="19"/>
          <w:color w:val="231F20"/>
        </w:rPr>
        <w:t xml:space="preserve">. In addition, revenue from new CPaaS customers contributed $1.5 million, or 5%, to CPaaS revenue for the </w:t>
      </w:r>
      <w:r>
        <w:rPr>
          <w:rFonts w:ascii="Arial" w:cs="Arial" w:eastAsia="Arial" w:hAnsi="Arial"/>
          <w:sz w:val="19"/>
          <w:szCs w:val="19"/>
          <w:color w:val="000000"/>
        </w:rPr>
        <w:t>three months ended September 30, 2017</w:t>
      </w:r>
      <w:r>
        <w:rPr>
          <w:rFonts w:ascii="Arial" w:cs="Arial" w:eastAsia="Arial" w:hAnsi="Arial"/>
          <w:sz w:val="19"/>
          <w:szCs w:val="19"/>
          <w:color w:val="231F20"/>
        </w:rPr>
        <w:t xml:space="preserve"> compared to $1.1 million, or 4%, to CPaaS revenue in the same period in </w:t>
      </w:r>
      <w:r>
        <w:rPr>
          <w:rFonts w:ascii="Arial" w:cs="Arial" w:eastAsia="Arial" w:hAnsi="Arial"/>
          <w:sz w:val="19"/>
          <w:szCs w:val="19"/>
          <w:color w:val="000000"/>
        </w:rPr>
        <w:t>2016</w:t>
      </w:r>
      <w:r>
        <w:rPr>
          <w:rFonts w:ascii="Arial" w:cs="Arial" w:eastAsia="Arial" w:hAnsi="Arial"/>
          <w:sz w:val="19"/>
          <w:szCs w:val="19"/>
          <w:color w:val="231F20"/>
        </w:rPr>
        <w:t>. Other revenue decreased by $0.4 million, driven by the expected decline in legacy services of $0.7 million, partially offset by an increase in indirect revenue of $0.3 million.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Cost of Revenue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gridSpan w:val="2"/>
          </w:tcPr>
          <w:p>
            <w:pPr>
              <w:ind w:left="72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CPaaS cost of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18,197</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19,247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520" w:type="dxa"/>
            <w:vAlign w:val="bottom"/>
          </w:tcPr>
          <w:p>
            <w:pPr>
              <w:spacing w:after="0"/>
              <w:rPr>
                <w:sz w:val="21"/>
                <w:szCs w:val="21"/>
                <w:color w:val="auto"/>
              </w:rPr>
            </w:pPr>
          </w:p>
        </w:tc>
        <w:tc>
          <w:tcPr>
            <w:tcW w:w="1060" w:type="dxa"/>
            <w:vAlign w:val="bottom"/>
          </w:tcPr>
          <w:p>
            <w:pPr>
              <w:jc w:val="center"/>
              <w:ind w:right="330"/>
              <w:spacing w:after="0"/>
              <w:rPr>
                <w:sz w:val="20"/>
                <w:szCs w:val="20"/>
                <w:color w:val="auto"/>
              </w:rPr>
            </w:pPr>
            <w:r>
              <w:rPr>
                <w:rFonts w:ascii="Arial" w:cs="Arial" w:eastAsia="Arial" w:hAnsi="Arial"/>
                <w:sz w:val="18"/>
                <w:szCs w:val="18"/>
                <w:color w:val="auto"/>
                <w:w w:val="92"/>
              </w:rPr>
              <w:t>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92"/>
              </w:rPr>
              <w:t>0%</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21,514</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22,571</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1,057</w:t>
            </w:r>
          </w:p>
        </w:tc>
        <w:tc>
          <w:tcPr>
            <w:tcW w:w="5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center"/>
              <w:ind w:right="330"/>
              <w:spacing w:after="0"/>
              <w:rPr>
                <w:sz w:val="20"/>
                <w:szCs w:val="20"/>
                <w:color w:val="auto"/>
              </w:rPr>
            </w:pPr>
            <w:r>
              <w:rPr>
                <w:rFonts w:ascii="Arial" w:cs="Arial" w:eastAsia="Arial" w:hAnsi="Arial"/>
                <w:sz w:val="18"/>
                <w:szCs w:val="18"/>
                <w:color w:val="auto"/>
                <w:w w:val="92"/>
              </w:rPr>
              <w:t>5%</w:t>
            </w:r>
          </w:p>
        </w:tc>
      </w:tr>
      <w:tr>
        <w:trPr>
          <w:trHeight w:val="251"/>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88"/>
              </w:rPr>
              <w:t>10%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-1097280</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Gross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CPaaS</w:t>
            </w:r>
          </w:p>
        </w:tc>
        <w:tc>
          <w:tcPr>
            <w:tcW w:w="31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40%</w:t>
            </w:r>
          </w:p>
        </w:tc>
        <w:tc>
          <w:tcPr>
            <w:tcW w:w="16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42%</w:t>
            </w:r>
          </w:p>
        </w:tc>
        <w:tc>
          <w:tcPr>
            <w:tcW w:w="3100" w:type="dxa"/>
            <w:vAlign w:val="bottom"/>
            <w:shd w:val="clear" w:color="auto" w:fill="CCEEFF"/>
          </w:tcPr>
          <w:p>
            <w:pPr>
              <w:jc w:val="center"/>
              <w:ind w:right="1450"/>
              <w:spacing w:after="0"/>
              <w:rPr>
                <w:sz w:val="20"/>
                <w:szCs w:val="20"/>
                <w:color w:val="auto"/>
              </w:rPr>
            </w:pPr>
            <w:r>
              <w:rPr>
                <w:rFonts w:ascii="Arial" w:cs="Arial" w:eastAsia="Arial" w:hAnsi="Arial"/>
                <w:sz w:val="18"/>
                <w:szCs w:val="18"/>
                <w:color w:val="auto"/>
                <w:w w:val="92"/>
              </w:rPr>
              <w:t>2%</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w:t>
            </w:r>
          </w:p>
        </w:tc>
        <w:tc>
          <w:tcPr>
            <w:tcW w:w="3160" w:type="dxa"/>
            <w:vAlign w:val="bottom"/>
          </w:tcPr>
          <w:p>
            <w:pPr>
              <w:jc w:val="right"/>
              <w:ind w:right="550"/>
              <w:spacing w:after="0"/>
              <w:rPr>
                <w:sz w:val="20"/>
                <w:szCs w:val="20"/>
                <w:color w:val="auto"/>
              </w:rPr>
            </w:pPr>
            <w:r>
              <w:rPr>
                <w:rFonts w:ascii="Arial" w:cs="Arial" w:eastAsia="Arial" w:hAnsi="Arial"/>
                <w:sz w:val="18"/>
                <w:szCs w:val="18"/>
                <w:color w:val="auto"/>
              </w:rPr>
              <w:t>60%</w:t>
            </w: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58%</w:t>
            </w:r>
          </w:p>
        </w:tc>
        <w:tc>
          <w:tcPr>
            <w:tcW w:w="3100" w:type="dxa"/>
            <w:vAlign w:val="bottom"/>
          </w:tcPr>
          <w:p>
            <w:pPr>
              <w:jc w:val="center"/>
              <w:ind w:right="1430"/>
              <w:spacing w:after="0"/>
              <w:rPr>
                <w:sz w:val="20"/>
                <w:szCs w:val="20"/>
                <w:color w:val="auto"/>
              </w:rPr>
            </w:pPr>
            <w:r>
              <w:rPr>
                <w:rFonts w:ascii="Arial" w:cs="Arial" w:eastAsia="Arial" w:hAnsi="Arial"/>
                <w:sz w:val="18"/>
                <w:szCs w:val="18"/>
                <w:color w:val="auto"/>
                <w:w w:val="93"/>
              </w:rPr>
              <w:t>-2%</w:t>
            </w:r>
          </w:p>
        </w:tc>
      </w:tr>
      <w:tr>
        <w:trPr>
          <w:trHeight w:val="27"/>
        </w:trPr>
        <w:tc>
          <w:tcPr>
            <w:tcW w:w="3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31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44%</w:t>
            </w:r>
          </w:p>
        </w:tc>
        <w:tc>
          <w:tcPr>
            <w:tcW w:w="16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45%</w:t>
            </w:r>
          </w:p>
        </w:tc>
        <w:tc>
          <w:tcPr>
            <w:tcW w:w="3100" w:type="dxa"/>
            <w:vAlign w:val="bottom"/>
            <w:shd w:val="clear" w:color="auto" w:fill="CCEEFF"/>
          </w:tcPr>
          <w:p>
            <w:pPr>
              <w:jc w:val="center"/>
              <w:ind w:right="1450"/>
              <w:spacing w:after="0"/>
              <w:rPr>
                <w:sz w:val="20"/>
                <w:szCs w:val="20"/>
                <w:color w:val="auto"/>
              </w:rPr>
            </w:pPr>
            <w:r>
              <w:rPr>
                <w:rFonts w:ascii="Arial" w:cs="Arial" w:eastAsia="Arial" w:hAnsi="Arial"/>
                <w:sz w:val="18"/>
                <w:szCs w:val="18"/>
                <w:color w:val="auto"/>
                <w:w w:val="92"/>
              </w:rPr>
              <w:t>1%</w:t>
            </w:r>
          </w:p>
        </w:tc>
      </w:tr>
      <w:tr>
        <w:trPr>
          <w:trHeight w:val="27"/>
        </w:trPr>
        <w:tc>
          <w:tcPr>
            <w:tcW w:w="356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r>
    </w:tbl>
    <w:p>
      <w:pPr>
        <w:spacing w:after="0" w:line="208"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 xml:space="preserve">For the three months ended September 30, 2017, total cost of revenue </w:t>
      </w:r>
      <w:r>
        <w:rPr>
          <w:rFonts w:ascii="Arial" w:cs="Arial" w:eastAsia="Arial" w:hAnsi="Arial"/>
          <w:sz w:val="19"/>
          <w:szCs w:val="19"/>
          <w:color w:val="231F20"/>
        </w:rPr>
        <w:t>increased</w:t>
      </w:r>
      <w:r>
        <w:rPr>
          <w:rFonts w:ascii="Arial" w:cs="Arial" w:eastAsia="Arial" w:hAnsi="Arial"/>
          <w:sz w:val="19"/>
          <w:szCs w:val="19"/>
          <w:color w:val="auto"/>
        </w:rPr>
        <w:t xml:space="preserve"> by $1.1 million and total gross margin </w:t>
      </w:r>
      <w:r>
        <w:rPr>
          <w:rFonts w:ascii="Arial" w:cs="Arial" w:eastAsia="Arial" w:hAnsi="Arial"/>
          <w:sz w:val="19"/>
          <w:szCs w:val="19"/>
          <w:color w:val="231F20"/>
        </w:rPr>
        <w:t xml:space="preserve">increased </w:t>
      </w:r>
      <w:r>
        <w:rPr>
          <w:rFonts w:ascii="Arial" w:cs="Arial" w:eastAsia="Arial" w:hAnsi="Arial"/>
          <w:sz w:val="19"/>
          <w:szCs w:val="19"/>
          <w:color w:val="000000"/>
        </w:rPr>
        <w:t>by 1% due to improved CPaaS gross margin. CPaaS cost of revenue increased by $1.1 million, or</w:t>
      </w:r>
      <w:r>
        <w:rPr>
          <w:rFonts w:ascii="Arial" w:cs="Arial" w:eastAsia="Arial" w:hAnsi="Arial"/>
          <w:sz w:val="19"/>
          <w:szCs w:val="19"/>
          <w:color w:val="231F20"/>
        </w:rPr>
        <w:t xml:space="preserve"> 6%</w:t>
      </w:r>
      <w:r>
        <w:rPr>
          <w:rFonts w:ascii="Arial" w:cs="Arial" w:eastAsia="Arial" w:hAnsi="Arial"/>
          <w:sz w:val="19"/>
          <w:szCs w:val="19"/>
          <w:color w:val="000000"/>
        </w:rPr>
        <w:t>. This increase in</w:t>
      </w:r>
      <w:r>
        <w:rPr>
          <w:rFonts w:ascii="Arial" w:cs="Arial" w:eastAsia="Arial" w:hAnsi="Arial"/>
          <w:sz w:val="19"/>
          <w:szCs w:val="19"/>
          <w:color w:val="231F20"/>
        </w:rPr>
        <w:t xml:space="preserve"> </w:t>
      </w:r>
      <w:r>
        <w:rPr>
          <w:rFonts w:ascii="Arial" w:cs="Arial" w:eastAsia="Arial" w:hAnsi="Arial"/>
          <w:sz w:val="19"/>
          <w:szCs w:val="19"/>
          <w:color w:val="000000"/>
        </w:rPr>
        <w:t>cost of revenue was attributable to increased customer usage and network costs, partially offset by a decline in unit costs for 911, phone numbers and voice services. CPaaS cost of revenue increases were comprised of $0.5 million increase in cost of voice minutes, $0.4 million increase in network costs, $0.1 million increase in cost of phone numbers, and a $0.1 million increase in cost of messaging. CPaaS gross margin increased from 40% for the three months ended September 30, 2016 to 42% for the three months ended September 30, 2017. Excluding the impact of depreciation of $1.2 million for the three months ended September 30, 2016 and depreciation of $1.2 million for the three months ended September 30, 2017, CPaaS Non-GAAP gross margin would have been 44% and 46% for the three months ended September 30, 2016 and 2017, respectively, and total Non-GAAP gross margin would have been 47% and 48% for the three months ended September 30, 2016 and 2017,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right="600"/>
        <w:spacing w:after="0" w:line="468" w:lineRule="auto"/>
        <w:rPr>
          <w:sz w:val="20"/>
          <w:szCs w:val="20"/>
          <w:color w:val="auto"/>
        </w:rPr>
      </w:pPr>
      <w:r>
        <w:rPr>
          <w:rFonts w:ascii="Arial" w:cs="Arial" w:eastAsia="Arial" w:hAnsi="Arial"/>
          <w:sz w:val="22"/>
          <w:szCs w:val="22"/>
          <w:color w:val="231F20"/>
        </w:rPr>
        <w:t xml:space="preserve">Other cost of revenue did not significantly change. Other gross margin decreased by 2% due to legacy revenue churn. </w:t>
      </w:r>
      <w:r>
        <w:rPr>
          <w:rFonts w:ascii="Arial" w:cs="Arial" w:eastAsia="Arial" w:hAnsi="Arial"/>
          <w:sz w:val="22"/>
          <w:szCs w:val="22"/>
          <w:b w:val="1"/>
          <w:bCs w:val="1"/>
          <w:i w:val="1"/>
          <w:iCs w:val="1"/>
          <w:color w:val="231F20"/>
        </w:rPr>
        <w:t>Operating Expenses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gridSpan w:val="2"/>
          </w:tcPr>
          <w:p>
            <w:pPr>
              <w:ind w:left="72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520" w:type="dxa"/>
            <w:vAlign w:val="bottom"/>
          </w:tcPr>
          <w:p>
            <w:pPr>
              <w:spacing w:after="0"/>
              <w:rPr>
                <w:sz w:val="21"/>
                <w:szCs w:val="21"/>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color w:val="auto"/>
              </w:rPr>
              <w:t>29%</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12,707</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15,696</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2,989</w:t>
            </w:r>
          </w:p>
        </w:tc>
        <w:tc>
          <w:tcPr>
            <w:tcW w:w="520" w:type="dxa"/>
            <w:vAlign w:val="bottom"/>
          </w:tcPr>
          <w:p>
            <w:pPr>
              <w:spacing w:after="0"/>
              <w:rPr>
                <w:sz w:val="22"/>
                <w:szCs w:val="22"/>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color w:val="auto"/>
              </w:rPr>
              <w:t>24%</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-899795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For the three months ended September 30, 2017, research and development expenses increased by $0.4 million, or 16%, compared to the same period in 2016. This increase is due primarily to an increase in research and development headcount.</w:t>
      </w:r>
    </w:p>
    <w:p>
      <w:pPr>
        <w:spacing w:after="0" w:line="105" w:lineRule="exact"/>
        <w:rPr>
          <w:sz w:val="20"/>
          <w:szCs w:val="20"/>
          <w:color w:val="auto"/>
        </w:rPr>
      </w:pPr>
    </w:p>
    <w:p>
      <w:pPr>
        <w:ind w:right="200" w:firstLine="648"/>
        <w:spacing w:after="0" w:line="343" w:lineRule="auto"/>
        <w:rPr>
          <w:sz w:val="20"/>
          <w:szCs w:val="20"/>
          <w:color w:val="auto"/>
        </w:rPr>
      </w:pPr>
      <w:r>
        <w:rPr>
          <w:rFonts w:ascii="Arial" w:cs="Arial" w:eastAsia="Arial" w:hAnsi="Arial"/>
          <w:sz w:val="19"/>
          <w:szCs w:val="19"/>
          <w:color w:val="auto"/>
        </w:rPr>
        <w:t>For the three months ended September 30, 2017, sales and marketing expenses increased by $0.7 million, compared to the same period in 2016, also due primarily to additional headcount in the sales organization to accelerate CPaaS revenue growth.</w:t>
      </w:r>
    </w:p>
    <w:p>
      <w:pPr>
        <w:spacing w:after="0" w:line="1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General and administrative expenses increased by $1.9 million for the three months ended September 30, 2017 compared to the same period in 2016. </w:t>
      </w:r>
      <w:r>
        <w:rPr>
          <w:rFonts w:ascii="Arial" w:cs="Arial" w:eastAsia="Arial" w:hAnsi="Arial"/>
          <w:sz w:val="21"/>
          <w:szCs w:val="21"/>
          <w:color w:val="231F20"/>
        </w:rPr>
        <w:t>This increase was partially due to an increase in headcount costs due to severance related to a separation</w:t>
      </w:r>
      <w:r>
        <w:rPr>
          <w:rFonts w:ascii="Arial" w:cs="Arial" w:eastAsia="Arial" w:hAnsi="Arial"/>
          <w:sz w:val="21"/>
          <w:szCs w:val="21"/>
          <w:color w:val="auto"/>
        </w:rPr>
        <w:t xml:space="preserve"> </w:t>
      </w:r>
      <w:r>
        <w:rPr>
          <w:rFonts w:ascii="Arial" w:cs="Arial" w:eastAsia="Arial" w:hAnsi="Arial"/>
          <w:sz w:val="21"/>
          <w:szCs w:val="21"/>
          <w:color w:val="231F20"/>
        </w:rPr>
        <w:t>agreement with one of the company's executives. The other portion of the increase was due to increased non-headcount expenses for hosted software costs, increased bad debt expense, and increased taxes.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Interest Expense, Net</w:t>
      </w:r>
    </w:p>
    <w:p>
      <w:pPr>
        <w:spacing w:after="0" w:line="1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231F20"/>
        </w:rPr>
        <w:t xml:space="preserve">For the three months ended </w:t>
      </w:r>
      <w:r>
        <w:rPr>
          <w:rFonts w:ascii="Arial" w:cs="Arial" w:eastAsia="Arial" w:hAnsi="Arial"/>
          <w:sz w:val="21"/>
          <w:szCs w:val="21"/>
          <w:color w:val="000000"/>
        </w:rPr>
        <w:t>September 30, 2017</w:t>
      </w:r>
      <w:r>
        <w:rPr>
          <w:rFonts w:ascii="Arial" w:cs="Arial" w:eastAsia="Arial" w:hAnsi="Arial"/>
          <w:sz w:val="21"/>
          <w:szCs w:val="21"/>
          <w:color w:val="231F20"/>
        </w:rPr>
        <w:t xml:space="preserve"> interest expense increased by $0.2 million, compared to the same period in </w:t>
      </w:r>
      <w:r>
        <w:rPr>
          <w:rFonts w:ascii="Arial" w:cs="Arial" w:eastAsia="Arial" w:hAnsi="Arial"/>
          <w:sz w:val="21"/>
          <w:szCs w:val="21"/>
          <w:color w:val="000000"/>
        </w:rPr>
        <w:t xml:space="preserve">2016 </w:t>
      </w:r>
      <w:r>
        <w:rPr>
          <w:rFonts w:ascii="Arial" w:cs="Arial" w:eastAsia="Arial" w:hAnsi="Arial"/>
          <w:sz w:val="21"/>
          <w:szCs w:val="21"/>
          <w:color w:val="231F20"/>
        </w:rPr>
        <w:t>due to an increased balance outstanding under our credit facility that we entered into in November 2016.</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Income Tax Expense</w:t>
      </w:r>
    </w:p>
    <w:p>
      <w:pPr>
        <w:spacing w:after="0" w:line="1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231F20"/>
        </w:rPr>
        <w:t xml:space="preserve">For the three months ended </w:t>
      </w:r>
      <w:r>
        <w:rPr>
          <w:rFonts w:ascii="Arial" w:cs="Arial" w:eastAsia="Arial" w:hAnsi="Arial"/>
          <w:sz w:val="22"/>
          <w:szCs w:val="22"/>
          <w:color w:val="000000"/>
        </w:rPr>
        <w:t>September 30, 2017</w:t>
      </w:r>
      <w:r>
        <w:rPr>
          <w:rFonts w:ascii="Arial" w:cs="Arial" w:eastAsia="Arial" w:hAnsi="Arial"/>
          <w:sz w:val="22"/>
          <w:szCs w:val="22"/>
          <w:color w:val="231F20"/>
        </w:rPr>
        <w:t xml:space="preserve"> income tax expense increased by $0.8 million compared to the same period in </w:t>
      </w:r>
      <w:r>
        <w:rPr>
          <w:rFonts w:ascii="Arial" w:cs="Arial" w:eastAsia="Arial" w:hAnsi="Arial"/>
          <w:sz w:val="22"/>
          <w:szCs w:val="22"/>
          <w:color w:val="000000"/>
        </w:rPr>
        <w:t>2016</w:t>
      </w:r>
      <w:r>
        <w:rPr>
          <w:rFonts w:ascii="Arial" w:cs="Arial" w:eastAsia="Arial" w:hAnsi="Arial"/>
          <w:sz w:val="22"/>
          <w:szCs w:val="22"/>
          <w:color w:val="231F20"/>
        </w:rPr>
        <w:t xml:space="preserve"> due to the valuation allowance against deferred tax assets which was released in December 2016 subsequent to the Spin-Off. The effective tax rate for the three months ended </w:t>
      </w:r>
      <w:r>
        <w:rPr>
          <w:rFonts w:ascii="Arial" w:cs="Arial" w:eastAsia="Arial" w:hAnsi="Arial"/>
          <w:sz w:val="22"/>
          <w:szCs w:val="22"/>
          <w:color w:val="000000"/>
        </w:rPr>
        <w:t>September 30, 2017</w:t>
      </w:r>
      <w:r>
        <w:rPr>
          <w:rFonts w:ascii="Arial" w:cs="Arial" w:eastAsia="Arial" w:hAnsi="Arial"/>
          <w:sz w:val="22"/>
          <w:szCs w:val="22"/>
          <w:color w:val="231F20"/>
        </w:rPr>
        <w:t xml:space="preserve"> was 35.5% compared to 3.3% for the three months ended </w:t>
      </w:r>
      <w:r>
        <w:rPr>
          <w:rFonts w:ascii="Arial" w:cs="Arial" w:eastAsia="Arial" w:hAnsi="Arial"/>
          <w:sz w:val="22"/>
          <w:szCs w:val="22"/>
          <w:color w:val="000000"/>
        </w:rPr>
        <w:t>September 30, 2016</w:t>
      </w:r>
      <w:r>
        <w:rPr>
          <w:rFonts w:ascii="Arial" w:cs="Arial" w:eastAsia="Arial" w:hAnsi="Arial"/>
          <w:sz w:val="22"/>
          <w:szCs w:val="22"/>
          <w:color w:val="231F20"/>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Loss from Discontinued Operations, Net of Income Taxes</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231F20"/>
        </w:rPr>
        <w:t xml:space="preserve">For the three months ended </w:t>
      </w:r>
      <w:r>
        <w:rPr>
          <w:rFonts w:ascii="Arial" w:cs="Arial" w:eastAsia="Arial" w:hAnsi="Arial"/>
          <w:sz w:val="22"/>
          <w:szCs w:val="22"/>
          <w:color w:val="000000"/>
        </w:rPr>
        <w:t>September 30, 2017</w:t>
      </w:r>
      <w:r>
        <w:rPr>
          <w:rFonts w:ascii="Arial" w:cs="Arial" w:eastAsia="Arial" w:hAnsi="Arial"/>
          <w:sz w:val="22"/>
          <w:szCs w:val="22"/>
          <w:color w:val="231F20"/>
        </w:rPr>
        <w:t xml:space="preserve"> loss from discontinued operations decreased by $0.7 million, compared to the same period in </w:t>
      </w:r>
      <w:r>
        <w:rPr>
          <w:rFonts w:ascii="Arial" w:cs="Arial" w:eastAsia="Arial" w:hAnsi="Arial"/>
          <w:sz w:val="22"/>
          <w:szCs w:val="22"/>
          <w:color w:val="000000"/>
        </w:rPr>
        <w:t>2016</w:t>
      </w:r>
      <w:r>
        <w:rPr>
          <w:rFonts w:ascii="Arial" w:cs="Arial" w:eastAsia="Arial" w:hAnsi="Arial"/>
          <w:sz w:val="22"/>
          <w:szCs w:val="22"/>
          <w:color w:val="231F20"/>
        </w:rPr>
        <w:t>. The Spin-Off occurred on November 30, 2016.</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Comparison of the Nine Months Ended September 30, 2016 and 2017</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gridSpan w:val="2"/>
          </w:tcPr>
          <w:p>
            <w:pPr>
              <w:ind w:left="74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CPaaS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9,691</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right="310"/>
              <w:spacing w:after="0"/>
              <w:rPr>
                <w:sz w:val="20"/>
                <w:szCs w:val="20"/>
                <w:color w:val="auto"/>
              </w:rPr>
            </w:pPr>
            <w:r>
              <w:rPr>
                <w:rFonts w:ascii="Arial" w:cs="Arial" w:eastAsia="Arial" w:hAnsi="Arial"/>
                <w:sz w:val="18"/>
                <w:szCs w:val="18"/>
                <w:color w:val="auto"/>
                <w:w w:val="88"/>
              </w:rPr>
              <w:t>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26,473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23,898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(2,575)</w:t>
            </w:r>
          </w:p>
        </w:tc>
        <w:tc>
          <w:tcPr>
            <w:tcW w:w="500" w:type="dxa"/>
            <w:vAlign w:val="bottom"/>
          </w:tcPr>
          <w:p>
            <w:pPr>
              <w:spacing w:after="0"/>
              <w:rPr>
                <w:sz w:val="21"/>
                <w:szCs w:val="21"/>
                <w:color w:val="auto"/>
              </w:rPr>
            </w:pPr>
          </w:p>
        </w:tc>
        <w:tc>
          <w:tcPr>
            <w:tcW w:w="1080" w:type="dxa"/>
            <w:vAlign w:val="bottom"/>
          </w:tcPr>
          <w:p>
            <w:pPr>
              <w:jc w:val="center"/>
              <w:ind w:right="310"/>
              <w:spacing w:after="0"/>
              <w:rPr>
                <w:sz w:val="20"/>
                <w:szCs w:val="20"/>
                <w:color w:val="auto"/>
              </w:rPr>
            </w:pPr>
            <w:r>
              <w:rPr>
                <w:rFonts w:ascii="Arial" w:cs="Arial" w:eastAsia="Arial" w:hAnsi="Arial"/>
                <w:sz w:val="18"/>
                <w:szCs w:val="18"/>
                <w:color w:val="auto"/>
                <w:w w:val="95"/>
              </w:rPr>
              <w:t>-10%</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113,373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120,489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7,116</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ind w:right="310"/>
              <w:spacing w:after="0"/>
              <w:rPr>
                <w:sz w:val="20"/>
                <w:szCs w:val="20"/>
                <w:color w:val="auto"/>
              </w:rPr>
            </w:pPr>
            <w:r>
              <w:rPr>
                <w:rFonts w:ascii="Arial" w:cs="Arial" w:eastAsia="Arial" w:hAnsi="Arial"/>
                <w:sz w:val="18"/>
                <w:szCs w:val="18"/>
                <w:color w:val="auto"/>
                <w:w w:val="92"/>
              </w:rPr>
              <w:t>6%</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-728345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For the nine months ended September 30, 2017, total revenue increased by $7.1 million, or 6%, compared to the same period in 2016. CPaaS revenue increased by $9.7 million, or 11%, compared to the same period in 2016. As a percentage of total revenue, CPaaS revenue increased from 77% to 80% from the nine months ended September 30, 2016 to September 30, 2017. </w:t>
      </w:r>
      <w:r>
        <w:rPr>
          <w:rFonts w:ascii="Arial" w:cs="Arial" w:eastAsia="Arial" w:hAnsi="Arial"/>
          <w:sz w:val="19"/>
          <w:szCs w:val="19"/>
          <w:color w:val="231F20"/>
        </w:rPr>
        <w:t>The</w:t>
      </w:r>
      <w:r>
        <w:rPr>
          <w:rFonts w:ascii="Arial" w:cs="Arial" w:eastAsia="Arial" w:hAnsi="Arial"/>
          <w:sz w:val="19"/>
          <w:szCs w:val="19"/>
          <w:color w:val="auto"/>
        </w:rPr>
        <w:t xml:space="preserve"> </w:t>
      </w:r>
      <w:r>
        <w:rPr>
          <w:rFonts w:ascii="Arial" w:cs="Arial" w:eastAsia="Arial" w:hAnsi="Arial"/>
          <w:sz w:val="19"/>
          <w:szCs w:val="19"/>
          <w:color w:val="231F20"/>
        </w:rPr>
        <w:t xml:space="preserve">increase in CPaaS revenue was primarily attributable to an increase in the usage of all our service offerings, particularly our voice and messaging usage, which accounted for $13.0 million of the increase in CPaaS revenue, and our phone number services and 911-enabled phone number services, which accounted for $2.4 million of the increase in CPaaS revenue. This overall increase in CPaaS revenue was partially offset by $5.7 million related to pricing decreases that we have implemented over time with our customers in the form of lower usage prices to increase the reach and scale of our platform. The changes in usage and price in the </w:t>
      </w:r>
      <w:r>
        <w:rPr>
          <w:rFonts w:ascii="Arial" w:cs="Arial" w:eastAsia="Arial" w:hAnsi="Arial"/>
          <w:sz w:val="19"/>
          <w:szCs w:val="19"/>
          <w:color w:val="000000"/>
        </w:rPr>
        <w:t xml:space="preserve">nine </w:t>
      </w:r>
      <w:r>
        <w:rPr>
          <w:rFonts w:ascii="Arial" w:cs="Arial" w:eastAsia="Arial" w:hAnsi="Arial"/>
          <w:sz w:val="19"/>
          <w:szCs w:val="19"/>
          <w:color w:val="231F20"/>
        </w:rPr>
        <w:t>months ended</w:t>
      </w:r>
      <w:r>
        <w:rPr>
          <w:rFonts w:ascii="Arial" w:cs="Arial" w:eastAsia="Arial" w:hAnsi="Arial"/>
          <w:sz w:val="19"/>
          <w:szCs w:val="19"/>
          <w:color w:val="000000"/>
        </w:rPr>
        <w:t xml:space="preserve"> September 30, 2017 </w:t>
      </w:r>
      <w:r>
        <w:rPr>
          <w:rFonts w:ascii="Arial" w:cs="Arial" w:eastAsia="Arial" w:hAnsi="Arial"/>
          <w:sz w:val="19"/>
          <w:szCs w:val="19"/>
          <w:color w:val="231F20"/>
        </w:rPr>
        <w:t>were reflected in our dollar-based net retention rate of 106%. The increase in usage was</w:t>
      </w:r>
      <w:r>
        <w:rPr>
          <w:rFonts w:ascii="Arial" w:cs="Arial" w:eastAsia="Arial" w:hAnsi="Arial"/>
          <w:sz w:val="19"/>
          <w:szCs w:val="19"/>
          <w:color w:val="000000"/>
        </w:rPr>
        <w:t xml:space="preserve"> </w:t>
      </w:r>
      <w:r>
        <w:rPr>
          <w:rFonts w:ascii="Arial" w:cs="Arial" w:eastAsia="Arial" w:hAnsi="Arial"/>
          <w:sz w:val="19"/>
          <w:szCs w:val="19"/>
          <w:color w:val="231F20"/>
        </w:rPr>
        <w:t xml:space="preserve">also attributable to an 18% increase in the number of active CPaaS customer accounts, from 781 as of </w:t>
      </w:r>
      <w:r>
        <w:rPr>
          <w:rFonts w:ascii="Arial" w:cs="Arial" w:eastAsia="Arial" w:hAnsi="Arial"/>
          <w:sz w:val="19"/>
          <w:szCs w:val="19"/>
          <w:color w:val="000000"/>
        </w:rPr>
        <w:t>September 30, 2016</w:t>
      </w:r>
      <w:r>
        <w:rPr>
          <w:rFonts w:ascii="Arial" w:cs="Arial" w:eastAsia="Arial" w:hAnsi="Arial"/>
          <w:sz w:val="19"/>
          <w:szCs w:val="19"/>
          <w:color w:val="231F20"/>
        </w:rPr>
        <w:t xml:space="preserve"> to 918 as of </w:t>
      </w:r>
      <w:r>
        <w:rPr>
          <w:rFonts w:ascii="Arial" w:cs="Arial" w:eastAsia="Arial" w:hAnsi="Arial"/>
          <w:sz w:val="19"/>
          <w:szCs w:val="19"/>
          <w:color w:val="000000"/>
        </w:rPr>
        <w:t>September 30, 2017</w:t>
      </w:r>
      <w:r>
        <w:rPr>
          <w:rFonts w:ascii="Arial" w:cs="Arial" w:eastAsia="Arial" w:hAnsi="Arial"/>
          <w:sz w:val="19"/>
          <w:szCs w:val="19"/>
          <w:color w:val="231F20"/>
        </w:rPr>
        <w:t xml:space="preserve">. In addition, revenue from new CPaaS customers contributed $4.2 million, or 5%, to CPaaS revenue for the </w:t>
      </w:r>
      <w:r>
        <w:rPr>
          <w:rFonts w:ascii="Arial" w:cs="Arial" w:eastAsia="Arial" w:hAnsi="Arial"/>
          <w:sz w:val="19"/>
          <w:szCs w:val="19"/>
          <w:color w:val="000000"/>
        </w:rPr>
        <w:t>nine</w:t>
      </w:r>
      <w:r>
        <w:rPr>
          <w:rFonts w:ascii="Arial" w:cs="Arial" w:eastAsia="Arial" w:hAnsi="Arial"/>
          <w:sz w:val="19"/>
          <w:szCs w:val="19"/>
          <w:color w:val="231F20"/>
        </w:rPr>
        <w:t xml:space="preserve"> months ended </w:t>
      </w:r>
      <w:r>
        <w:rPr>
          <w:rFonts w:ascii="Arial" w:cs="Arial" w:eastAsia="Arial" w:hAnsi="Arial"/>
          <w:sz w:val="19"/>
          <w:szCs w:val="19"/>
          <w:color w:val="000000"/>
        </w:rPr>
        <w:t>September 30, 2017</w:t>
      </w:r>
      <w:r>
        <w:rPr>
          <w:rFonts w:ascii="Arial" w:cs="Arial" w:eastAsia="Arial" w:hAnsi="Arial"/>
          <w:sz w:val="19"/>
          <w:szCs w:val="19"/>
          <w:color w:val="231F20"/>
        </w:rPr>
        <w:t xml:space="preserve"> compared to $3.2 million, or 4%, to CPaaS revenue in the same period in </w:t>
      </w:r>
      <w:r>
        <w:rPr>
          <w:rFonts w:ascii="Arial" w:cs="Arial" w:eastAsia="Arial" w:hAnsi="Arial"/>
          <w:sz w:val="19"/>
          <w:szCs w:val="19"/>
          <w:color w:val="000000"/>
        </w:rPr>
        <w:t>2016</w:t>
      </w:r>
      <w:r>
        <w:rPr>
          <w:rFonts w:ascii="Arial" w:cs="Arial" w:eastAsia="Arial" w:hAnsi="Arial"/>
          <w:sz w:val="19"/>
          <w:szCs w:val="19"/>
          <w:color w:val="231F20"/>
        </w:rPr>
        <w:t>. Other revenue decreased by $2.6 million, or 10%, due to declines in our legacy services of $2.3 million and decreases in indirect revenue of $0.3 million.</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Cost of Revenue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gridSpan w:val="2"/>
          </w:tcPr>
          <w:p>
            <w:pPr>
              <w:ind w:left="72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CPaaS cost of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53,576</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56,394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2,818</w:t>
            </w:r>
          </w:p>
        </w:tc>
        <w:tc>
          <w:tcPr>
            <w:tcW w:w="520" w:type="dxa"/>
            <w:vAlign w:val="bottom"/>
          </w:tcPr>
          <w:p>
            <w:pPr>
              <w:spacing w:after="0"/>
              <w:rPr>
                <w:sz w:val="21"/>
                <w:szCs w:val="21"/>
                <w:color w:val="auto"/>
              </w:rPr>
            </w:pPr>
          </w:p>
        </w:tc>
        <w:tc>
          <w:tcPr>
            <w:tcW w:w="1060" w:type="dxa"/>
            <w:vAlign w:val="bottom"/>
          </w:tcPr>
          <w:p>
            <w:pPr>
              <w:jc w:val="center"/>
              <w:ind w:right="330"/>
              <w:spacing w:after="0"/>
              <w:rPr>
                <w:sz w:val="20"/>
                <w:szCs w:val="20"/>
                <w:color w:val="auto"/>
              </w:rPr>
            </w:pPr>
            <w:r>
              <w:rPr>
                <w:rFonts w:ascii="Arial" w:cs="Arial" w:eastAsia="Arial" w:hAnsi="Arial"/>
                <w:sz w:val="18"/>
                <w:szCs w:val="18"/>
                <w:color w:val="auto"/>
                <w:w w:val="92"/>
              </w:rPr>
              <w:t>5%</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right="310"/>
              <w:spacing w:after="0"/>
              <w:rPr>
                <w:sz w:val="20"/>
                <w:szCs w:val="20"/>
                <w:color w:val="auto"/>
              </w:rPr>
            </w:pPr>
            <w:r>
              <w:rPr>
                <w:rFonts w:ascii="Arial" w:cs="Arial" w:eastAsia="Arial" w:hAnsi="Arial"/>
                <w:sz w:val="18"/>
                <w:szCs w:val="18"/>
                <w:color w:val="auto"/>
                <w:w w:val="93"/>
              </w:rPr>
              <w:t>-5%</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64,177</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66,431</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2,254</w:t>
            </w:r>
          </w:p>
        </w:tc>
        <w:tc>
          <w:tcPr>
            <w:tcW w:w="5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center"/>
              <w:ind w:right="330"/>
              <w:spacing w:after="0"/>
              <w:rPr>
                <w:sz w:val="20"/>
                <w:szCs w:val="20"/>
                <w:color w:val="auto"/>
              </w:rPr>
            </w:pPr>
            <w:r>
              <w:rPr>
                <w:rFonts w:ascii="Arial" w:cs="Arial" w:eastAsia="Arial" w:hAnsi="Arial"/>
                <w:sz w:val="18"/>
                <w:szCs w:val="18"/>
                <w:color w:val="auto"/>
                <w:w w:val="92"/>
              </w:rPr>
              <w:t>4%</w:t>
            </w:r>
          </w:p>
        </w:tc>
      </w:tr>
      <w:tr>
        <w:trPr>
          <w:trHeight w:val="251"/>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49,196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54,058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4,862</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88"/>
              </w:rPr>
              <w:t>10%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-1097280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Gross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CPaaS</w:t>
            </w:r>
          </w:p>
        </w:tc>
        <w:tc>
          <w:tcPr>
            <w:tcW w:w="32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38%</w:t>
            </w:r>
          </w:p>
        </w:tc>
        <w:tc>
          <w:tcPr>
            <w:tcW w:w="16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42%</w:t>
            </w:r>
          </w:p>
        </w:tc>
        <w:tc>
          <w:tcPr>
            <w:tcW w:w="3100" w:type="dxa"/>
            <w:vAlign w:val="bottom"/>
            <w:shd w:val="clear" w:color="auto" w:fill="CCEEFF"/>
          </w:tcPr>
          <w:p>
            <w:pPr>
              <w:jc w:val="center"/>
              <w:ind w:right="1450"/>
              <w:spacing w:after="0"/>
              <w:rPr>
                <w:sz w:val="20"/>
                <w:szCs w:val="20"/>
                <w:color w:val="auto"/>
              </w:rPr>
            </w:pPr>
            <w:r>
              <w:rPr>
                <w:rFonts w:ascii="Arial" w:cs="Arial" w:eastAsia="Arial" w:hAnsi="Arial"/>
                <w:sz w:val="18"/>
                <w:szCs w:val="18"/>
                <w:color w:val="auto"/>
                <w:w w:val="92"/>
              </w:rPr>
              <w:t>4%</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Other</w:t>
            </w:r>
          </w:p>
        </w:tc>
        <w:tc>
          <w:tcPr>
            <w:tcW w:w="3220" w:type="dxa"/>
            <w:vAlign w:val="bottom"/>
          </w:tcPr>
          <w:p>
            <w:pPr>
              <w:jc w:val="right"/>
              <w:ind w:right="550"/>
              <w:spacing w:after="0"/>
              <w:rPr>
                <w:sz w:val="20"/>
                <w:szCs w:val="20"/>
                <w:color w:val="auto"/>
              </w:rPr>
            </w:pPr>
            <w:r>
              <w:rPr>
                <w:rFonts w:ascii="Arial" w:cs="Arial" w:eastAsia="Arial" w:hAnsi="Arial"/>
                <w:sz w:val="18"/>
                <w:szCs w:val="18"/>
                <w:color w:val="auto"/>
              </w:rPr>
              <w:t>60%</w:t>
            </w: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58%</w:t>
            </w:r>
          </w:p>
        </w:tc>
        <w:tc>
          <w:tcPr>
            <w:tcW w:w="3100" w:type="dxa"/>
            <w:vAlign w:val="bottom"/>
          </w:tcPr>
          <w:p>
            <w:pPr>
              <w:jc w:val="center"/>
              <w:ind w:right="1430"/>
              <w:spacing w:after="0"/>
              <w:rPr>
                <w:sz w:val="20"/>
                <w:szCs w:val="20"/>
                <w:color w:val="auto"/>
              </w:rPr>
            </w:pPr>
            <w:r>
              <w:rPr>
                <w:rFonts w:ascii="Arial" w:cs="Arial" w:eastAsia="Arial" w:hAnsi="Arial"/>
                <w:sz w:val="18"/>
                <w:szCs w:val="18"/>
                <w:color w:val="auto"/>
                <w:w w:val="93"/>
              </w:rPr>
              <w:t>-2%</w:t>
            </w:r>
          </w:p>
        </w:tc>
      </w:tr>
      <w:tr>
        <w:trPr>
          <w:trHeight w:val="27"/>
        </w:trPr>
        <w:tc>
          <w:tcPr>
            <w:tcW w:w="35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32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43%</w:t>
            </w:r>
          </w:p>
        </w:tc>
        <w:tc>
          <w:tcPr>
            <w:tcW w:w="16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45%</w:t>
            </w:r>
          </w:p>
        </w:tc>
        <w:tc>
          <w:tcPr>
            <w:tcW w:w="3100" w:type="dxa"/>
            <w:vAlign w:val="bottom"/>
            <w:tcBorders>
              <w:bottom w:val="single" w:sz="8" w:color="CCEEFF"/>
            </w:tcBorders>
            <w:shd w:val="clear" w:color="auto" w:fill="CCEEFF"/>
          </w:tcPr>
          <w:p>
            <w:pPr>
              <w:jc w:val="center"/>
              <w:ind w:right="1450"/>
              <w:spacing w:after="0"/>
              <w:rPr>
                <w:sz w:val="20"/>
                <w:szCs w:val="20"/>
                <w:color w:val="auto"/>
              </w:rPr>
            </w:pPr>
            <w:r>
              <w:rPr>
                <w:rFonts w:ascii="Arial" w:cs="Arial" w:eastAsia="Arial" w:hAnsi="Arial"/>
                <w:sz w:val="18"/>
                <w:szCs w:val="18"/>
                <w:color w:val="auto"/>
                <w:w w:val="92"/>
              </w:rPr>
              <w:t>2%</w:t>
            </w:r>
          </w:p>
        </w:tc>
      </w:tr>
      <w:tr>
        <w:trPr>
          <w:trHeight w:val="675"/>
        </w:trPr>
        <w:tc>
          <w:tcPr>
            <w:tcW w:w="3500" w:type="dxa"/>
            <w:vAlign w:val="bottom"/>
          </w:tcPr>
          <w:p>
            <w:pPr>
              <w:spacing w:after="0"/>
              <w:rPr>
                <w:sz w:val="24"/>
                <w:szCs w:val="24"/>
                <w:color w:val="auto"/>
              </w:rPr>
            </w:pPr>
          </w:p>
        </w:tc>
        <w:tc>
          <w:tcPr>
            <w:tcW w:w="3220" w:type="dxa"/>
            <w:vAlign w:val="bottom"/>
          </w:tcPr>
          <w:p>
            <w:pPr>
              <w:jc w:val="right"/>
              <w:ind w:right="830"/>
              <w:spacing w:after="0"/>
              <w:rPr>
                <w:sz w:val="20"/>
                <w:szCs w:val="20"/>
                <w:color w:val="auto"/>
              </w:rPr>
            </w:pPr>
            <w:r>
              <w:rPr>
                <w:rFonts w:ascii="Arial" w:cs="Arial" w:eastAsia="Arial" w:hAnsi="Arial"/>
                <w:sz w:val="18"/>
                <w:szCs w:val="18"/>
                <w:color w:val="auto"/>
              </w:rPr>
              <w:t>42</w:t>
            </w:r>
          </w:p>
        </w:tc>
        <w:tc>
          <w:tcPr>
            <w:tcW w:w="160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231F20"/>
        </w:rPr>
        <w:t xml:space="preserve">For the </w:t>
      </w:r>
      <w:r>
        <w:rPr>
          <w:rFonts w:ascii="Arial" w:cs="Arial" w:eastAsia="Arial" w:hAnsi="Arial"/>
          <w:sz w:val="21"/>
          <w:szCs w:val="21"/>
          <w:color w:val="000000"/>
        </w:rPr>
        <w:t>nine months ended September 30, 2017</w:t>
      </w:r>
      <w:r>
        <w:rPr>
          <w:rFonts w:ascii="Arial" w:cs="Arial" w:eastAsia="Arial" w:hAnsi="Arial"/>
          <w:sz w:val="21"/>
          <w:szCs w:val="21"/>
          <w:color w:val="231F20"/>
        </w:rPr>
        <w:t xml:space="preserve">, total gross profit increased by $4.9 million, or 10%, compared to the same period in </w:t>
      </w:r>
      <w:r>
        <w:rPr>
          <w:rFonts w:ascii="Arial" w:cs="Arial" w:eastAsia="Arial" w:hAnsi="Arial"/>
          <w:sz w:val="21"/>
          <w:szCs w:val="21"/>
          <w:color w:val="000000"/>
        </w:rPr>
        <w:t>2016</w:t>
      </w:r>
      <w:r>
        <w:rPr>
          <w:rFonts w:ascii="Arial" w:cs="Arial" w:eastAsia="Arial" w:hAnsi="Arial"/>
          <w:sz w:val="21"/>
          <w:szCs w:val="21"/>
          <w:color w:val="231F20"/>
        </w:rPr>
        <w:t xml:space="preserve">. Total gross margin increased from 43% to 45% during the same period. For the </w:t>
      </w:r>
      <w:r>
        <w:rPr>
          <w:rFonts w:ascii="Arial" w:cs="Arial" w:eastAsia="Arial" w:hAnsi="Arial"/>
          <w:sz w:val="21"/>
          <w:szCs w:val="21"/>
          <w:color w:val="000000"/>
        </w:rPr>
        <w:t>nine months ended September 30,</w:t>
      </w:r>
      <w:r>
        <w:rPr>
          <w:rFonts w:ascii="Arial" w:cs="Arial" w:eastAsia="Arial" w:hAnsi="Arial"/>
          <w:sz w:val="21"/>
          <w:szCs w:val="21"/>
          <w:color w:val="231F20"/>
        </w:rPr>
        <w:t xml:space="preserve"> </w:t>
      </w:r>
      <w:r>
        <w:rPr>
          <w:rFonts w:ascii="Arial" w:cs="Arial" w:eastAsia="Arial" w:hAnsi="Arial"/>
          <w:sz w:val="21"/>
          <w:szCs w:val="21"/>
          <w:color w:val="000000"/>
        </w:rPr>
        <w:t xml:space="preserve">2017 </w:t>
      </w:r>
      <w:r>
        <w:rPr>
          <w:rFonts w:ascii="Arial" w:cs="Arial" w:eastAsia="Arial" w:hAnsi="Arial"/>
          <w:sz w:val="21"/>
          <w:szCs w:val="21"/>
          <w:color w:val="231F20"/>
        </w:rPr>
        <w:t>CPaaS cost of revenue increased by $2.8 million, or 5% compared to the same period in</w:t>
      </w:r>
      <w:r>
        <w:rPr>
          <w:rFonts w:ascii="Arial" w:cs="Arial" w:eastAsia="Arial" w:hAnsi="Arial"/>
          <w:sz w:val="21"/>
          <w:szCs w:val="21"/>
          <w:color w:val="000000"/>
        </w:rPr>
        <w:t xml:space="preserve"> 2016</w:t>
      </w:r>
      <w:r>
        <w:rPr>
          <w:rFonts w:ascii="Arial" w:cs="Arial" w:eastAsia="Arial" w:hAnsi="Arial"/>
          <w:sz w:val="21"/>
          <w:szCs w:val="21"/>
          <w:color w:val="231F20"/>
        </w:rPr>
        <w:t>. CPaaS cost of revenue</w:t>
      </w:r>
      <w:r>
        <w:rPr>
          <w:rFonts w:ascii="Arial" w:cs="Arial" w:eastAsia="Arial" w:hAnsi="Arial"/>
          <w:sz w:val="21"/>
          <w:szCs w:val="21"/>
          <w:color w:val="000000"/>
        </w:rPr>
        <w:t xml:space="preserve"> </w:t>
      </w:r>
      <w:r>
        <w:rPr>
          <w:rFonts w:ascii="Arial" w:cs="Arial" w:eastAsia="Arial" w:hAnsi="Arial"/>
          <w:sz w:val="21"/>
          <w:szCs w:val="21"/>
          <w:color w:val="231F20"/>
        </w:rPr>
        <w:t xml:space="preserve">increased primarily due to an increase in voice usage costs of $0.9 million due to growth in minutes used by customers, partially offset by a decrease in the cost per minute due to reduction in costs from vendors. Additional increases were due to network costs, messaging, phone numbers and 911 services which increased $0.7 million, $0.6 million, $0.5 million and $0.1 million respectively. For the </w:t>
      </w:r>
      <w:r>
        <w:rPr>
          <w:rFonts w:ascii="Arial" w:cs="Arial" w:eastAsia="Arial" w:hAnsi="Arial"/>
          <w:sz w:val="21"/>
          <w:szCs w:val="21"/>
          <w:color w:val="000000"/>
        </w:rPr>
        <w:t>nine months ended September 30, 2017</w:t>
      </w:r>
      <w:r>
        <w:rPr>
          <w:rFonts w:ascii="Arial" w:cs="Arial" w:eastAsia="Arial" w:hAnsi="Arial"/>
          <w:sz w:val="21"/>
          <w:szCs w:val="21"/>
          <w:color w:val="231F20"/>
        </w:rPr>
        <w:t xml:space="preserve"> CPaaS gross margin increased from 38% to 42% compared to the same period in </w:t>
      </w:r>
      <w:r>
        <w:rPr>
          <w:rFonts w:ascii="Arial" w:cs="Arial" w:eastAsia="Arial" w:hAnsi="Arial"/>
          <w:sz w:val="21"/>
          <w:szCs w:val="21"/>
          <w:color w:val="000000"/>
        </w:rPr>
        <w:t>2016</w:t>
      </w:r>
      <w:r>
        <w:rPr>
          <w:rFonts w:ascii="Arial" w:cs="Arial" w:eastAsia="Arial" w:hAnsi="Arial"/>
          <w:sz w:val="21"/>
          <w:szCs w:val="21"/>
          <w:color w:val="231F20"/>
        </w:rPr>
        <w:t>. Excluding depreciation and stock-based compensation of $3.6 million and $3.3 million for the</w:t>
      </w:r>
      <w:r>
        <w:rPr>
          <w:rFonts w:ascii="Arial" w:cs="Arial" w:eastAsia="Arial" w:hAnsi="Arial"/>
          <w:sz w:val="21"/>
          <w:szCs w:val="21"/>
          <w:color w:val="000000"/>
        </w:rPr>
        <w:t xml:space="preserve"> nine months ended September 30, 2016 </w:t>
      </w:r>
      <w:r>
        <w:rPr>
          <w:rFonts w:ascii="Arial" w:cs="Arial" w:eastAsia="Arial" w:hAnsi="Arial"/>
          <w:sz w:val="21"/>
          <w:szCs w:val="21"/>
          <w:color w:val="231F20"/>
        </w:rPr>
        <w:t>and 2017, respectively, CPaaS Non-GAAP gross margin would have been 42% and 45% for the</w:t>
      </w:r>
      <w:r>
        <w:rPr>
          <w:rFonts w:ascii="Arial" w:cs="Arial" w:eastAsia="Arial" w:hAnsi="Arial"/>
          <w:sz w:val="21"/>
          <w:szCs w:val="21"/>
          <w:color w:val="000000"/>
        </w:rPr>
        <w:t xml:space="preserve"> nine months ended September 30, 2016 and 2017</w:t>
      </w:r>
      <w:r>
        <w:rPr>
          <w:rFonts w:ascii="Arial" w:cs="Arial" w:eastAsia="Arial" w:hAnsi="Arial"/>
          <w:sz w:val="21"/>
          <w:szCs w:val="21"/>
          <w:color w:val="231F20"/>
        </w:rPr>
        <w:t>, respectively, and total Non-GAAP gross margin would have been 47% and 48% for the same</w:t>
      </w:r>
      <w:r>
        <w:rPr>
          <w:rFonts w:ascii="Arial" w:cs="Arial" w:eastAsia="Arial" w:hAnsi="Arial"/>
          <w:sz w:val="21"/>
          <w:szCs w:val="21"/>
          <w:color w:val="000000"/>
        </w:rPr>
        <w:t xml:space="preserve"> </w:t>
      </w:r>
      <w:r>
        <w:rPr>
          <w:rFonts w:ascii="Arial" w:cs="Arial" w:eastAsia="Arial" w:hAnsi="Arial"/>
          <w:sz w:val="21"/>
          <w:szCs w:val="21"/>
          <w:color w:val="231F20"/>
        </w:rPr>
        <w:t>periods.</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Other cost of revenue decreased by $0.6 million, which was due to a $1.1 million decrease as a result of churn in legacy services, partially offset by a $0.5 million increase in cost of indirect revenue related to new required messaging and toll-free number registration fees and cost of carrier access revenue.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gridSpan w:val="2"/>
          </w:tcPr>
          <w:p>
            <w:pPr>
              <w:ind w:left="72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88"/>
              </w:rPr>
              <w:t>28%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6,876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8,099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520" w:type="dxa"/>
            <w:vAlign w:val="bottom"/>
          </w:tcPr>
          <w:p>
            <w:pPr>
              <w:spacing w:after="0"/>
              <w:rPr>
                <w:sz w:val="21"/>
                <w:szCs w:val="21"/>
                <w:color w:val="auto"/>
              </w:rPr>
            </w:pPr>
          </w:p>
        </w:tc>
        <w:tc>
          <w:tcPr>
            <w:tcW w:w="1060" w:type="dxa"/>
            <w:vAlign w:val="bottom"/>
          </w:tcPr>
          <w:p>
            <w:pPr>
              <w:jc w:val="center"/>
              <w:ind w:right="330"/>
              <w:spacing w:after="0"/>
              <w:rPr>
                <w:sz w:val="20"/>
                <w:szCs w:val="20"/>
                <w:color w:val="auto"/>
              </w:rPr>
            </w:pPr>
            <w:r>
              <w:rPr>
                <w:rFonts w:ascii="Arial" w:cs="Arial" w:eastAsia="Arial" w:hAnsi="Arial"/>
                <w:sz w:val="18"/>
                <w:szCs w:val="18"/>
                <w:color w:val="auto"/>
                <w:w w:val="88"/>
              </w:rPr>
              <w:t>18%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23,571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92"/>
              </w:rPr>
              <w:t>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36,604</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41,652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5,048</w:t>
            </w:r>
          </w:p>
        </w:tc>
        <w:tc>
          <w:tcPr>
            <w:tcW w:w="520" w:type="dxa"/>
            <w:vAlign w:val="bottom"/>
          </w:tcPr>
          <w:p>
            <w:pPr>
              <w:spacing w:after="0"/>
              <w:rPr>
                <w:sz w:val="22"/>
                <w:szCs w:val="22"/>
                <w:color w:val="auto"/>
              </w:rPr>
            </w:pPr>
          </w:p>
        </w:tc>
        <w:tc>
          <w:tcPr>
            <w:tcW w:w="1060" w:type="dxa"/>
            <w:vAlign w:val="bottom"/>
          </w:tcPr>
          <w:p>
            <w:pPr>
              <w:jc w:val="center"/>
              <w:ind w:right="330"/>
              <w:spacing w:after="0"/>
              <w:rPr>
                <w:sz w:val="20"/>
                <w:szCs w:val="20"/>
                <w:color w:val="auto"/>
              </w:rPr>
            </w:pPr>
            <w:r>
              <w:rPr>
                <w:rFonts w:ascii="Arial" w:cs="Arial" w:eastAsia="Arial" w:hAnsi="Arial"/>
                <w:sz w:val="18"/>
                <w:szCs w:val="18"/>
                <w:color w:val="auto"/>
                <w:w w:val="88"/>
              </w:rPr>
              <w:t>14%</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-899795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231F20"/>
        </w:rPr>
        <w:t xml:space="preserve">For the </w:t>
      </w:r>
      <w:r>
        <w:rPr>
          <w:rFonts w:ascii="Arial" w:cs="Arial" w:eastAsia="Arial" w:hAnsi="Arial"/>
          <w:sz w:val="22"/>
          <w:szCs w:val="22"/>
          <w:color w:val="000000"/>
        </w:rPr>
        <w:t>nine months ended September 30, 2017</w:t>
      </w:r>
      <w:r>
        <w:rPr>
          <w:rFonts w:ascii="Arial" w:cs="Arial" w:eastAsia="Arial" w:hAnsi="Arial"/>
          <w:sz w:val="22"/>
          <w:szCs w:val="22"/>
          <w:color w:val="231F20"/>
        </w:rPr>
        <w:t xml:space="preserve">, Research and development expenses increased by $1.7 million, or 28%, compared to the same period in </w:t>
      </w:r>
      <w:r>
        <w:rPr>
          <w:rFonts w:ascii="Arial" w:cs="Arial" w:eastAsia="Arial" w:hAnsi="Arial"/>
          <w:sz w:val="22"/>
          <w:szCs w:val="22"/>
          <w:color w:val="000000"/>
        </w:rPr>
        <w:t>2016</w:t>
      </w:r>
      <w:r>
        <w:rPr>
          <w:rFonts w:ascii="Arial" w:cs="Arial" w:eastAsia="Arial" w:hAnsi="Arial"/>
          <w:sz w:val="22"/>
          <w:szCs w:val="22"/>
          <w:color w:val="231F20"/>
        </w:rPr>
        <w:t>. This increase was due to increased headcount.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231F20"/>
        </w:rPr>
        <w:t xml:space="preserve">For the </w:t>
      </w:r>
      <w:r>
        <w:rPr>
          <w:rFonts w:ascii="Arial" w:cs="Arial" w:eastAsia="Arial" w:hAnsi="Arial"/>
          <w:sz w:val="22"/>
          <w:szCs w:val="22"/>
          <w:color w:val="000000"/>
        </w:rPr>
        <w:t>nine months ended September 30, 2017</w:t>
      </w:r>
      <w:r>
        <w:rPr>
          <w:rFonts w:ascii="Arial" w:cs="Arial" w:eastAsia="Arial" w:hAnsi="Arial"/>
          <w:sz w:val="22"/>
          <w:szCs w:val="22"/>
          <w:color w:val="231F20"/>
        </w:rPr>
        <w:t xml:space="preserve">, sales and marketing expenses increased by $1.2 million, or 18%, compared to the same period in </w:t>
      </w:r>
      <w:r>
        <w:rPr>
          <w:rFonts w:ascii="Arial" w:cs="Arial" w:eastAsia="Arial" w:hAnsi="Arial"/>
          <w:sz w:val="22"/>
          <w:szCs w:val="22"/>
          <w:color w:val="000000"/>
        </w:rPr>
        <w:t>2016</w:t>
      </w:r>
      <w:r>
        <w:rPr>
          <w:rFonts w:ascii="Arial" w:cs="Arial" w:eastAsia="Arial" w:hAnsi="Arial"/>
          <w:sz w:val="22"/>
          <w:szCs w:val="22"/>
          <w:color w:val="231F20"/>
        </w:rPr>
        <w:t xml:space="preserve"> due to an overall increase in sales headcount.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231F20"/>
        </w:rPr>
        <w:t xml:space="preserve">General and administrative expenses increased by $2.1 million </w:t>
      </w:r>
      <w:r>
        <w:rPr>
          <w:rFonts w:ascii="Arial" w:cs="Arial" w:eastAsia="Arial" w:hAnsi="Arial"/>
          <w:sz w:val="21"/>
          <w:szCs w:val="21"/>
          <w:color w:val="000000"/>
        </w:rPr>
        <w:t>for the nine</w:t>
      </w:r>
      <w:r>
        <w:rPr>
          <w:rFonts w:ascii="Arial" w:cs="Arial" w:eastAsia="Arial" w:hAnsi="Arial"/>
          <w:sz w:val="21"/>
          <w:szCs w:val="21"/>
          <w:color w:val="231F20"/>
        </w:rPr>
        <w:t xml:space="preserve"> months ended </w:t>
      </w:r>
      <w:r>
        <w:rPr>
          <w:rFonts w:ascii="Arial" w:cs="Arial" w:eastAsia="Arial" w:hAnsi="Arial"/>
          <w:sz w:val="21"/>
          <w:szCs w:val="21"/>
          <w:color w:val="000000"/>
        </w:rPr>
        <w:t>September 30, 2017,</w:t>
      </w:r>
      <w:r>
        <w:rPr>
          <w:rFonts w:ascii="Arial" w:cs="Arial" w:eastAsia="Arial" w:hAnsi="Arial"/>
          <w:sz w:val="21"/>
          <w:szCs w:val="21"/>
          <w:color w:val="231F20"/>
        </w:rPr>
        <w:t xml:space="preserve"> or 9%, </w:t>
      </w:r>
      <w:r>
        <w:rPr>
          <w:rFonts w:ascii="Arial" w:cs="Arial" w:eastAsia="Arial" w:hAnsi="Arial"/>
          <w:sz w:val="21"/>
          <w:szCs w:val="21"/>
          <w:color w:val="000000"/>
        </w:rPr>
        <w:t xml:space="preserve">compared to the same period in 2016. </w:t>
      </w:r>
      <w:r>
        <w:rPr>
          <w:rFonts w:ascii="Arial" w:cs="Arial" w:eastAsia="Arial" w:hAnsi="Arial"/>
          <w:sz w:val="21"/>
          <w:szCs w:val="21"/>
          <w:color w:val="231F20"/>
        </w:rPr>
        <w:t>This increase was partially due to an increase in headcount costs due to severance related to a</w:t>
      </w:r>
      <w:r>
        <w:rPr>
          <w:rFonts w:ascii="Arial" w:cs="Arial" w:eastAsia="Arial" w:hAnsi="Arial"/>
          <w:sz w:val="21"/>
          <w:szCs w:val="21"/>
          <w:color w:val="000000"/>
        </w:rPr>
        <w:t xml:space="preserve"> </w:t>
      </w:r>
      <w:r>
        <w:rPr>
          <w:rFonts w:ascii="Arial" w:cs="Arial" w:eastAsia="Arial" w:hAnsi="Arial"/>
          <w:sz w:val="21"/>
          <w:szCs w:val="21"/>
          <w:color w:val="231F20"/>
        </w:rPr>
        <w:t>separation agreement with one of the company's executives. The other portion of the increase was due to increased non-headcount expenses for hosted software costs, professional expenses related to public company readiness and increased facilities expense. These increases were partially offset by a decrease in salary expense.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Interest Expense, Net</w:t>
      </w:r>
    </w:p>
    <w:p>
      <w:pPr>
        <w:spacing w:after="0" w:line="1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231F20"/>
        </w:rPr>
        <w:t xml:space="preserve">For the </w:t>
      </w:r>
      <w:r>
        <w:rPr>
          <w:rFonts w:ascii="Arial" w:cs="Arial" w:eastAsia="Arial" w:hAnsi="Arial"/>
          <w:sz w:val="21"/>
          <w:szCs w:val="21"/>
          <w:color w:val="000000"/>
        </w:rPr>
        <w:t>nine months ended September 30, 2017</w:t>
      </w:r>
      <w:r>
        <w:rPr>
          <w:rFonts w:ascii="Arial" w:cs="Arial" w:eastAsia="Arial" w:hAnsi="Arial"/>
          <w:sz w:val="21"/>
          <w:szCs w:val="21"/>
          <w:color w:val="231F20"/>
        </w:rPr>
        <w:t xml:space="preserve">, interest expense increased by $0.7 million compared to the same period in </w:t>
      </w:r>
      <w:r>
        <w:rPr>
          <w:rFonts w:ascii="Arial" w:cs="Arial" w:eastAsia="Arial" w:hAnsi="Arial"/>
          <w:sz w:val="21"/>
          <w:szCs w:val="21"/>
          <w:color w:val="000000"/>
        </w:rPr>
        <w:t xml:space="preserve">2016 </w:t>
      </w:r>
      <w:r>
        <w:rPr>
          <w:rFonts w:ascii="Arial" w:cs="Arial" w:eastAsia="Arial" w:hAnsi="Arial"/>
          <w:sz w:val="21"/>
          <w:szCs w:val="21"/>
          <w:color w:val="231F20"/>
        </w:rPr>
        <w:t>due to an increased balance outstanding of our credit facility that we entered into in November 2016.</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Income Tax Expense</w:t>
      </w:r>
    </w:p>
    <w:p>
      <w:pPr>
        <w:spacing w:after="0" w:line="1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231F20"/>
        </w:rPr>
        <w:t xml:space="preserve">For the </w:t>
      </w:r>
      <w:r>
        <w:rPr>
          <w:rFonts w:ascii="Arial" w:cs="Arial" w:eastAsia="Arial" w:hAnsi="Arial"/>
          <w:sz w:val="19"/>
          <w:szCs w:val="19"/>
          <w:color w:val="000000"/>
        </w:rPr>
        <w:t>nine months ended September 30, 2017</w:t>
      </w:r>
      <w:r>
        <w:rPr>
          <w:rFonts w:ascii="Arial" w:cs="Arial" w:eastAsia="Arial" w:hAnsi="Arial"/>
          <w:sz w:val="19"/>
          <w:szCs w:val="19"/>
          <w:color w:val="231F20"/>
        </w:rPr>
        <w:t xml:space="preserve">, income tax expense increased by $3.5 million compared to the same period in </w:t>
      </w:r>
      <w:r>
        <w:rPr>
          <w:rFonts w:ascii="Arial" w:cs="Arial" w:eastAsia="Arial" w:hAnsi="Arial"/>
          <w:sz w:val="19"/>
          <w:szCs w:val="19"/>
          <w:color w:val="000000"/>
        </w:rPr>
        <w:t>2016</w:t>
      </w:r>
      <w:r>
        <w:rPr>
          <w:rFonts w:ascii="Arial" w:cs="Arial" w:eastAsia="Arial" w:hAnsi="Arial"/>
          <w:sz w:val="19"/>
          <w:szCs w:val="19"/>
          <w:color w:val="231F20"/>
        </w:rPr>
        <w:t xml:space="preserve">. The effective tax rate for the </w:t>
      </w:r>
      <w:r>
        <w:rPr>
          <w:rFonts w:ascii="Arial" w:cs="Arial" w:eastAsia="Arial" w:hAnsi="Arial"/>
          <w:sz w:val="19"/>
          <w:szCs w:val="19"/>
          <w:color w:val="000000"/>
        </w:rPr>
        <w:t>nine months ended September 30, 2017</w:t>
      </w:r>
      <w:r>
        <w:rPr>
          <w:rFonts w:ascii="Arial" w:cs="Arial" w:eastAsia="Arial" w:hAnsi="Arial"/>
          <w:sz w:val="19"/>
          <w:szCs w:val="19"/>
          <w:color w:val="231F20"/>
        </w:rPr>
        <w:t xml:space="preserve"> was 37.2% compared to 3.4% for the </w:t>
      </w:r>
      <w:r>
        <w:rPr>
          <w:rFonts w:ascii="Arial" w:cs="Arial" w:eastAsia="Arial" w:hAnsi="Arial"/>
          <w:sz w:val="19"/>
          <w:szCs w:val="19"/>
          <w:color w:val="000000"/>
        </w:rPr>
        <w:t>nine months</w:t>
      </w:r>
      <w:r>
        <w:rPr>
          <w:rFonts w:ascii="Arial" w:cs="Arial" w:eastAsia="Arial" w:hAnsi="Arial"/>
          <w:sz w:val="19"/>
          <w:szCs w:val="19"/>
          <w:color w:val="231F20"/>
        </w:rPr>
        <w:t xml:space="preserve"> </w:t>
      </w:r>
      <w:r>
        <w:rPr>
          <w:rFonts w:ascii="Arial" w:cs="Arial" w:eastAsia="Arial" w:hAnsi="Arial"/>
          <w:sz w:val="19"/>
          <w:szCs w:val="19"/>
          <w:color w:val="000000"/>
        </w:rPr>
        <w:t>ended September 30, 2016</w:t>
      </w:r>
      <w:r>
        <w:rPr>
          <w:rFonts w:ascii="Arial" w:cs="Arial" w:eastAsia="Arial" w:hAnsi="Arial"/>
          <w:sz w:val="19"/>
          <w:szCs w:val="19"/>
          <w:color w:val="231F20"/>
        </w:rPr>
        <w:t>. During the</w:t>
      </w:r>
      <w:r>
        <w:rPr>
          <w:rFonts w:ascii="Arial" w:cs="Arial" w:eastAsia="Arial" w:hAnsi="Arial"/>
          <w:sz w:val="19"/>
          <w:szCs w:val="19"/>
          <w:color w:val="000000"/>
        </w:rPr>
        <w:t xml:space="preserve"> nine months ended September 30, 2016</w:t>
      </w:r>
      <w:r>
        <w:rPr>
          <w:rFonts w:ascii="Arial" w:cs="Arial" w:eastAsia="Arial" w:hAnsi="Arial"/>
          <w:sz w:val="19"/>
          <w:szCs w:val="19"/>
          <w:color w:val="231F20"/>
        </w:rPr>
        <w:t>, the Company had a full valuation against its</w:t>
      </w:r>
      <w:r>
        <w:rPr>
          <w:rFonts w:ascii="Arial" w:cs="Arial" w:eastAsia="Arial" w:hAnsi="Arial"/>
          <w:sz w:val="19"/>
          <w:szCs w:val="19"/>
          <w:color w:val="000000"/>
        </w:rPr>
        <w:t xml:space="preserve"> </w:t>
      </w:r>
      <w:r>
        <w:rPr>
          <w:rFonts w:ascii="Arial" w:cs="Arial" w:eastAsia="Arial" w:hAnsi="Arial"/>
          <w:sz w:val="19"/>
          <w:szCs w:val="19"/>
          <w:color w:val="231F20"/>
        </w:rPr>
        <w:t xml:space="preserve">deferred tax assets. The valuation allowance was released in December </w:t>
      </w:r>
      <w:r>
        <w:rPr>
          <w:rFonts w:ascii="Arial" w:cs="Arial" w:eastAsia="Arial" w:hAnsi="Arial"/>
          <w:sz w:val="19"/>
          <w:szCs w:val="19"/>
          <w:color w:val="000000"/>
        </w:rPr>
        <w:t>2016</w:t>
      </w:r>
      <w:r>
        <w:rPr>
          <w:rFonts w:ascii="Arial" w:cs="Arial" w:eastAsia="Arial" w:hAnsi="Arial"/>
          <w:sz w:val="19"/>
          <w:szCs w:val="19"/>
          <w:color w:val="231F20"/>
        </w:rPr>
        <w:t xml:space="preserve"> subsequent to the Spin-Off.</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Loss from Discontinued Operations, Net of Income Tax</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231F20"/>
        </w:rPr>
        <w:t xml:space="preserve">For the </w:t>
      </w:r>
      <w:r>
        <w:rPr>
          <w:rFonts w:ascii="Arial" w:cs="Arial" w:eastAsia="Arial" w:hAnsi="Arial"/>
          <w:sz w:val="22"/>
          <w:szCs w:val="22"/>
          <w:color w:val="000000"/>
        </w:rPr>
        <w:t>nine months ended September 30, 2017</w:t>
      </w:r>
      <w:r>
        <w:rPr>
          <w:rFonts w:ascii="Arial" w:cs="Arial" w:eastAsia="Arial" w:hAnsi="Arial"/>
          <w:sz w:val="22"/>
          <w:szCs w:val="22"/>
          <w:color w:val="231F20"/>
        </w:rPr>
        <w:t xml:space="preserve">, loss from discontinued operations decreased by $3.7 million compared to the same period in </w:t>
      </w:r>
      <w:r>
        <w:rPr>
          <w:rFonts w:ascii="Arial" w:cs="Arial" w:eastAsia="Arial" w:hAnsi="Arial"/>
          <w:sz w:val="22"/>
          <w:szCs w:val="22"/>
          <w:color w:val="000000"/>
        </w:rPr>
        <w:t>2016</w:t>
      </w:r>
      <w:r>
        <w:rPr>
          <w:rFonts w:ascii="Arial" w:cs="Arial" w:eastAsia="Arial" w:hAnsi="Arial"/>
          <w:sz w:val="22"/>
          <w:szCs w:val="22"/>
          <w:color w:val="231F20"/>
        </w:rPr>
        <w:t>. The Spin-Off of Republic took place on November 30, 2016.</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231F20"/>
        </w:rPr>
        <w:t>Statement of Cash Flows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The following table summarizes our cash flows from continuing operations for the periods indicated:</w:t>
      </w:r>
    </w:p>
    <w:p>
      <w:pPr>
        <w:spacing w:after="0" w:line="371"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9"/>
        </w:trPr>
        <w:tc>
          <w:tcPr>
            <w:tcW w:w="8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thousands)</w:t>
            </w:r>
          </w:p>
        </w:tc>
        <w:tc>
          <w:tcPr>
            <w:tcW w:w="880" w:type="dxa"/>
            <w:vAlign w:val="bottom"/>
          </w:tcPr>
          <w:p>
            <w:pPr>
              <w:spacing w:after="0"/>
              <w:rPr>
                <w:sz w:val="19"/>
                <w:szCs w:val="19"/>
                <w:color w:val="auto"/>
              </w:rPr>
            </w:pP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by investing activities from continuing operations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 from continuing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-891540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Cash Flows from Operating Activities</w:t>
      </w:r>
    </w:p>
    <w:p>
      <w:pPr>
        <w:spacing w:after="0" w:line="1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231F20"/>
        </w:rPr>
        <w:t xml:space="preserve">For the </w:t>
      </w:r>
      <w:r>
        <w:rPr>
          <w:rFonts w:ascii="Arial" w:cs="Arial" w:eastAsia="Arial" w:hAnsi="Arial"/>
          <w:sz w:val="22"/>
          <w:szCs w:val="22"/>
          <w:color w:val="000000"/>
        </w:rPr>
        <w:t>nine months ended September 30, 2017</w:t>
      </w:r>
      <w:r>
        <w:rPr>
          <w:rFonts w:ascii="Arial" w:cs="Arial" w:eastAsia="Arial" w:hAnsi="Arial"/>
          <w:sz w:val="22"/>
          <w:szCs w:val="22"/>
          <w:color w:val="231F20"/>
        </w:rPr>
        <w:t>, cash provided by operating activities from continuing operations was $9.8 million, which primarily consisted of net income of $6.6 million, depreciation and amortization of $4.3 million, deferred taxes of $3.5 million, change in fair value of shareholders’ anti-dilutive arrangement of $0.7 million and stock-based compensation expenses of $1.1 million, partially offset by a decrease in working capital of $6.4 million. Working capital consisted primarily of increases in deferred costs of $3.6 million, mainly due to incurred IPO costs, accounts receivable of $1.9 million, and prepaid expenses of $1.5 million, and a $2.2 million decrease in accounts payable offset by increases in accrued expenses and deferred revenue of $2.7 million.</w:t>
      </w:r>
    </w:p>
    <w:p>
      <w:pPr>
        <w:spacing w:after="0" w:line="197"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 xml:space="preserve">For the nine months ended September 30, 2016, cash provided by operating activities from continuing operations was </w:t>
      </w:r>
      <w:r>
        <w:rPr>
          <w:rFonts w:ascii="Arial" w:cs="Arial" w:eastAsia="Arial" w:hAnsi="Arial"/>
          <w:sz w:val="22"/>
          <w:szCs w:val="22"/>
          <w:color w:val="231F20"/>
        </w:rPr>
        <w:t>$12.7</w:t>
      </w:r>
      <w:r>
        <w:rPr>
          <w:rFonts w:ascii="Arial" w:cs="Arial" w:eastAsia="Arial" w:hAnsi="Arial"/>
          <w:sz w:val="22"/>
          <w:szCs w:val="22"/>
          <w:color w:val="auto"/>
        </w:rPr>
        <w:t xml:space="preserve"> </w:t>
      </w:r>
      <w:r>
        <w:rPr>
          <w:rFonts w:ascii="Arial" w:cs="Arial" w:eastAsia="Arial" w:hAnsi="Arial"/>
          <w:sz w:val="22"/>
          <w:szCs w:val="22"/>
          <w:color w:val="231F20"/>
        </w:rPr>
        <w:t>million</w:t>
      </w:r>
      <w:r>
        <w:rPr>
          <w:rFonts w:ascii="Arial" w:cs="Arial" w:eastAsia="Arial" w:hAnsi="Arial"/>
          <w:sz w:val="22"/>
          <w:szCs w:val="22"/>
          <w:color w:val="000000"/>
        </w:rPr>
        <w:t>, which primarily consisted of net income from continuing operations of $11.6 million, depreciation and amortization of</w:t>
      </w:r>
      <w:r>
        <w:rPr>
          <w:rFonts w:ascii="Arial" w:cs="Arial" w:eastAsia="Arial" w:hAnsi="Arial"/>
          <w:sz w:val="22"/>
          <w:szCs w:val="22"/>
          <w:color w:val="231F20"/>
        </w:rPr>
        <w:t xml:space="preserve"> $4.8 million </w:t>
      </w:r>
      <w:r>
        <w:rPr>
          <w:rFonts w:ascii="Arial" w:cs="Arial" w:eastAsia="Arial" w:hAnsi="Arial"/>
          <w:sz w:val="22"/>
          <w:szCs w:val="22"/>
          <w:color w:val="000000"/>
        </w:rPr>
        <w:t>and</w:t>
      </w:r>
      <w:r>
        <w:rPr>
          <w:rFonts w:ascii="Arial" w:cs="Arial" w:eastAsia="Arial" w:hAnsi="Arial"/>
          <w:sz w:val="22"/>
          <w:szCs w:val="22"/>
          <w:color w:val="231F20"/>
        </w:rPr>
        <w:t xml:space="preserve"> $1.1 million </w:t>
      </w:r>
      <w:r>
        <w:rPr>
          <w:rFonts w:ascii="Arial" w:cs="Arial" w:eastAsia="Arial" w:hAnsi="Arial"/>
          <w:sz w:val="22"/>
          <w:szCs w:val="22"/>
          <w:color w:val="000000"/>
        </w:rPr>
        <w:t>of stock-based compensation expenses, partially offset by a decrease in working capital of</w:t>
      </w:r>
      <w:r>
        <w:rPr>
          <w:rFonts w:ascii="Arial" w:cs="Arial" w:eastAsia="Arial" w:hAnsi="Arial"/>
          <w:sz w:val="22"/>
          <w:szCs w:val="22"/>
          <w:color w:val="231F20"/>
        </w:rPr>
        <w:t xml:space="preserve"> $5.0 million</w:t>
      </w:r>
      <w:r>
        <w:rPr>
          <w:rFonts w:ascii="Arial" w:cs="Arial" w:eastAsia="Arial" w:hAnsi="Arial"/>
          <w:sz w:val="22"/>
          <w:szCs w:val="22"/>
          <w:color w:val="000000"/>
        </w:rPr>
        <w:t>. Working capital consisted primarily of increases in accounts receivable of</w:t>
      </w:r>
      <w:r>
        <w:rPr>
          <w:rFonts w:ascii="Arial" w:cs="Arial" w:eastAsia="Arial" w:hAnsi="Arial"/>
          <w:sz w:val="22"/>
          <w:szCs w:val="22"/>
          <w:color w:val="231F20"/>
        </w:rPr>
        <w:t xml:space="preserve"> $3.5 million</w:t>
      </w:r>
      <w:r>
        <w:rPr>
          <w:rFonts w:ascii="Arial" w:cs="Arial" w:eastAsia="Arial" w:hAnsi="Arial"/>
          <w:sz w:val="22"/>
          <w:szCs w:val="22"/>
          <w:color w:val="000000"/>
        </w:rPr>
        <w:t>, accrued expenses of</w:t>
      </w:r>
      <w:r>
        <w:rPr>
          <w:rFonts w:ascii="Arial" w:cs="Arial" w:eastAsia="Arial" w:hAnsi="Arial"/>
          <w:sz w:val="22"/>
          <w:szCs w:val="22"/>
          <w:color w:val="231F20"/>
        </w:rPr>
        <w:t xml:space="preserve"> $1.6 million</w:t>
      </w:r>
      <w:r>
        <w:rPr>
          <w:rFonts w:ascii="Arial" w:cs="Arial" w:eastAsia="Arial" w:hAnsi="Arial"/>
          <w:sz w:val="22"/>
          <w:szCs w:val="22"/>
          <w:color w:val="000000"/>
        </w:rPr>
        <w:t>,</w:t>
      </w:r>
      <w:r>
        <w:rPr>
          <w:rFonts w:ascii="Arial" w:cs="Arial" w:eastAsia="Arial" w:hAnsi="Arial"/>
          <w:sz w:val="22"/>
          <w:szCs w:val="22"/>
          <w:color w:val="231F20"/>
        </w:rPr>
        <w:t xml:space="preserve"> </w:t>
      </w:r>
      <w:r>
        <w:rPr>
          <w:rFonts w:ascii="Arial" w:cs="Arial" w:eastAsia="Arial" w:hAnsi="Arial"/>
          <w:sz w:val="22"/>
          <w:szCs w:val="22"/>
          <w:color w:val="000000"/>
        </w:rPr>
        <w:t xml:space="preserve">prepaid expenses of </w:t>
      </w:r>
      <w:r>
        <w:rPr>
          <w:rFonts w:ascii="Arial" w:cs="Arial" w:eastAsia="Arial" w:hAnsi="Arial"/>
          <w:sz w:val="22"/>
          <w:szCs w:val="22"/>
          <w:color w:val="231F20"/>
        </w:rPr>
        <w:t>$1.4 million</w:t>
      </w:r>
      <w:r>
        <w:rPr>
          <w:rFonts w:ascii="Arial" w:cs="Arial" w:eastAsia="Arial" w:hAnsi="Arial"/>
          <w:sz w:val="22"/>
          <w:szCs w:val="22"/>
          <w:color w:val="000000"/>
        </w:rPr>
        <w:t xml:space="preserve">, and deferred costs of </w:t>
      </w:r>
      <w:r>
        <w:rPr>
          <w:rFonts w:ascii="Arial" w:cs="Arial" w:eastAsia="Arial" w:hAnsi="Arial"/>
          <w:sz w:val="22"/>
          <w:szCs w:val="22"/>
          <w:color w:val="231F20"/>
        </w:rPr>
        <w:t>$0.7 million</w:t>
      </w:r>
      <w:r>
        <w:rPr>
          <w:rFonts w:ascii="Arial" w:cs="Arial" w:eastAsia="Arial" w:hAnsi="Arial"/>
          <w:sz w:val="22"/>
          <w:szCs w:val="22"/>
          <w:color w:val="000000"/>
        </w:rPr>
        <w:t xml:space="preserve">, offset by increases in accounts payable of </w:t>
      </w:r>
      <w:r>
        <w:rPr>
          <w:rFonts w:ascii="Arial" w:cs="Arial" w:eastAsia="Arial" w:hAnsi="Arial"/>
          <w:sz w:val="22"/>
          <w:szCs w:val="22"/>
          <w:color w:val="231F20"/>
        </w:rPr>
        <w:t>$1.1 million</w:t>
      </w:r>
      <w:r>
        <w:rPr>
          <w:rFonts w:ascii="Arial" w:cs="Arial" w:eastAsia="Arial" w:hAnsi="Arial"/>
          <w:sz w:val="22"/>
          <w:szCs w:val="22"/>
          <w:color w:val="000000"/>
        </w:rPr>
        <w:t xml:space="preserve"> and deferred revenue of </w:t>
      </w:r>
      <w:r>
        <w:rPr>
          <w:rFonts w:ascii="Arial" w:cs="Arial" w:eastAsia="Arial" w:hAnsi="Arial"/>
          <w:sz w:val="22"/>
          <w:szCs w:val="22"/>
          <w:color w:val="231F20"/>
        </w:rPr>
        <w:t>$1.1 million</w:t>
      </w:r>
      <w:r>
        <w:rPr>
          <w:rFonts w:ascii="Arial" w:cs="Arial" w:eastAsia="Arial" w:hAnsi="Arial"/>
          <w:sz w:val="22"/>
          <w:szCs w:val="22"/>
          <w:color w:val="000000"/>
        </w:rPr>
        <w:t>.</w:t>
      </w:r>
    </w:p>
    <w:p>
      <w:pPr>
        <w:spacing w:after="0" w:line="23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231F20"/>
        </w:rPr>
        <w:t xml:space="preserve">We have an ongoing dispute and litigation with MCI Communications Services, Inc. d/b/a Verizon Business and Verizon Select Services, Inc. (collectively, “Verizon”), which is a carrier access billing (“CABS”) customer. Billings to Verizon were approximately $7.8 million and $7.2 million for the </w:t>
      </w:r>
      <w:r>
        <w:rPr>
          <w:rFonts w:ascii="Arial" w:cs="Arial" w:eastAsia="Arial" w:hAnsi="Arial"/>
          <w:sz w:val="21"/>
          <w:szCs w:val="21"/>
          <w:color w:val="000000"/>
        </w:rPr>
        <w:t>nine</w:t>
      </w:r>
      <w:r>
        <w:rPr>
          <w:rFonts w:ascii="Arial" w:cs="Arial" w:eastAsia="Arial" w:hAnsi="Arial"/>
          <w:sz w:val="21"/>
          <w:szCs w:val="21"/>
          <w:color w:val="231F20"/>
        </w:rPr>
        <w:t xml:space="preserve"> months ended </w:t>
      </w:r>
      <w:r>
        <w:rPr>
          <w:rFonts w:ascii="Arial" w:cs="Arial" w:eastAsia="Arial" w:hAnsi="Arial"/>
          <w:sz w:val="21"/>
          <w:szCs w:val="21"/>
          <w:color w:val="000000"/>
        </w:rPr>
        <w:t>September 30, 2016</w:t>
      </w:r>
      <w:r>
        <w:rPr>
          <w:rFonts w:ascii="Arial" w:cs="Arial" w:eastAsia="Arial" w:hAnsi="Arial"/>
          <w:sz w:val="21"/>
          <w:szCs w:val="21"/>
          <w:color w:val="231F20"/>
        </w:rPr>
        <w:t xml:space="preserve"> and </w:t>
      </w:r>
      <w:r>
        <w:rPr>
          <w:rFonts w:ascii="Arial" w:cs="Arial" w:eastAsia="Arial" w:hAnsi="Arial"/>
          <w:sz w:val="21"/>
          <w:szCs w:val="21"/>
          <w:color w:val="000000"/>
        </w:rPr>
        <w:t>2017</w:t>
      </w:r>
      <w:r>
        <w:rPr>
          <w:rFonts w:ascii="Arial" w:cs="Arial" w:eastAsia="Arial" w:hAnsi="Arial"/>
          <w:sz w:val="21"/>
          <w:szCs w:val="21"/>
          <w:color w:val="231F20"/>
        </w:rPr>
        <w:t xml:space="preserve">, </w:t>
      </w:r>
      <w:r>
        <w:rPr>
          <w:rFonts w:ascii="Arial" w:cs="Arial" w:eastAsia="Arial" w:hAnsi="Arial"/>
          <w:sz w:val="21"/>
          <w:szCs w:val="21"/>
          <w:color w:val="000000"/>
        </w:rPr>
        <w:t>respectively. We recognize</w:t>
      </w:r>
      <w:r>
        <w:rPr>
          <w:rFonts w:ascii="Arial" w:cs="Arial" w:eastAsia="Arial" w:hAnsi="Arial"/>
          <w:sz w:val="21"/>
          <w:szCs w:val="21"/>
          <w:color w:val="231F20"/>
        </w:rPr>
        <w:t xml:space="preserve"> </w:t>
      </w:r>
      <w:r>
        <w:rPr>
          <w:rFonts w:ascii="Arial" w:cs="Arial" w:eastAsia="Arial" w:hAnsi="Arial"/>
          <w:sz w:val="21"/>
          <w:szCs w:val="21"/>
          <w:color w:val="000000"/>
        </w:rPr>
        <w:t>revenue for this customer only to the extent to which payments have been made and/or billings are not disputed. These outstanding amounts represent disputed and unpaid billings and are fully reserved within our allowance for doubtful accounts. We have not recognized revenue related to the outstanding and disputed balances.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Cash Flows from Investing Activities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231F20"/>
        </w:rPr>
        <w:t xml:space="preserve">For the </w:t>
      </w:r>
      <w:r>
        <w:rPr>
          <w:rFonts w:ascii="Arial" w:cs="Arial" w:eastAsia="Arial" w:hAnsi="Arial"/>
          <w:sz w:val="21"/>
          <w:szCs w:val="21"/>
          <w:color w:val="000000"/>
        </w:rPr>
        <w:t>nine months ended September 30, 2017</w:t>
      </w:r>
      <w:r>
        <w:rPr>
          <w:rFonts w:ascii="Arial" w:cs="Arial" w:eastAsia="Arial" w:hAnsi="Arial"/>
          <w:sz w:val="21"/>
          <w:szCs w:val="21"/>
          <w:color w:val="231F20"/>
        </w:rPr>
        <w:t>, cash used in investing activities from continuing operations was $4.9 million from the purchase of property, plant and equipment and capitalized internally developed software costs.</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231F20"/>
        </w:rPr>
        <w:t xml:space="preserve">For the </w:t>
      </w:r>
      <w:r>
        <w:rPr>
          <w:rFonts w:ascii="Arial" w:cs="Arial" w:eastAsia="Arial" w:hAnsi="Arial"/>
          <w:sz w:val="22"/>
          <w:szCs w:val="22"/>
          <w:color w:val="000000"/>
        </w:rPr>
        <w:t>nine months ended September 30, 2016</w:t>
      </w:r>
      <w:r>
        <w:rPr>
          <w:rFonts w:ascii="Arial" w:cs="Arial" w:eastAsia="Arial" w:hAnsi="Arial"/>
          <w:sz w:val="22"/>
          <w:szCs w:val="22"/>
          <w:color w:val="231F20"/>
        </w:rPr>
        <w:t>, cash used in investing activities from continuing operations was $4.2 million used to purchase property, plant and equipment and capitalized internally developed software costs.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Cash Flows from Financing Activities</w:t>
      </w:r>
    </w:p>
    <w:p>
      <w:pPr>
        <w:spacing w:after="0" w:line="11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231F20"/>
        </w:rPr>
        <w:t xml:space="preserve">For the </w:t>
      </w:r>
      <w:r>
        <w:rPr>
          <w:rFonts w:ascii="Arial" w:cs="Arial" w:eastAsia="Arial" w:hAnsi="Arial"/>
          <w:sz w:val="19"/>
          <w:szCs w:val="19"/>
          <w:color w:val="000000"/>
        </w:rPr>
        <w:t>nine months ended September 30, 2017</w:t>
      </w:r>
      <w:r>
        <w:rPr>
          <w:rFonts w:ascii="Arial" w:cs="Arial" w:eastAsia="Arial" w:hAnsi="Arial"/>
          <w:sz w:val="19"/>
          <w:szCs w:val="19"/>
          <w:color w:val="231F20"/>
        </w:rPr>
        <w:t>, cash used in financing activities from continuing operations was $6.4 million consisting primarily of net repayments of $5.0 million on our line of credit and $1.5 million in payments on our term loan.</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 xml:space="preserve">For the </w:t>
      </w:r>
      <w:r>
        <w:rPr>
          <w:rFonts w:ascii="Arial" w:cs="Arial" w:eastAsia="Arial" w:hAnsi="Arial"/>
          <w:sz w:val="22"/>
          <w:szCs w:val="22"/>
          <w:color w:val="000000"/>
        </w:rPr>
        <w:t>nine months ended September 30, 2016</w:t>
      </w:r>
      <w:r>
        <w:rPr>
          <w:rFonts w:ascii="Arial" w:cs="Arial" w:eastAsia="Arial" w:hAnsi="Arial"/>
          <w:sz w:val="22"/>
          <w:szCs w:val="22"/>
          <w:color w:val="231F20"/>
        </w:rPr>
        <w:t>, cash used in financing activities from continuing operations was $4.1 million consisting primarily of net repayments of $5.0 million on our line of credit, partially offset by $0.9 million in proceeds from issuance of common stock.</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Debt</w:t>
      </w:r>
    </w:p>
    <w:p>
      <w:pPr>
        <w:spacing w:after="0" w:line="11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231F20"/>
        </w:rPr>
        <w:t xml:space="preserve">As of </w:t>
      </w:r>
      <w:r>
        <w:rPr>
          <w:rFonts w:ascii="Arial" w:cs="Arial" w:eastAsia="Arial" w:hAnsi="Arial"/>
          <w:sz w:val="21"/>
          <w:szCs w:val="21"/>
          <w:color w:val="000000"/>
        </w:rPr>
        <w:t>September 30, 2017</w:t>
      </w:r>
      <w:r>
        <w:rPr>
          <w:rFonts w:ascii="Arial" w:cs="Arial" w:eastAsia="Arial" w:hAnsi="Arial"/>
          <w:sz w:val="21"/>
          <w:szCs w:val="21"/>
          <w:color w:val="231F20"/>
        </w:rPr>
        <w:t xml:space="preserve">, the Company has $38.5 million outstanding on the term loan and no amount outstanding on the revolving loan. The Company was in compliance with all financial covenants. The availability under the Credit and Security Agreement was $25.0 million as of </w:t>
      </w:r>
      <w:r>
        <w:rPr>
          <w:rFonts w:ascii="Arial" w:cs="Arial" w:eastAsia="Arial" w:hAnsi="Arial"/>
          <w:sz w:val="21"/>
          <w:szCs w:val="21"/>
          <w:color w:val="000000"/>
        </w:rPr>
        <w:t>September 30, 2017</w:t>
      </w:r>
      <w:r>
        <w:rPr>
          <w:rFonts w:ascii="Arial" w:cs="Arial" w:eastAsia="Arial" w:hAnsi="Arial"/>
          <w:sz w:val="21"/>
          <w:szCs w:val="21"/>
          <w:color w:val="231F20"/>
        </w:rPr>
        <w:t>. Beginning on March 31, 2017, the term loan is payable in consecutive equal quarterly payment installments with the balance payable in full on the maturity date (November 3, 2021).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1000"/>
        <w:spacing w:after="0"/>
        <w:rPr>
          <w:sz w:val="20"/>
          <w:szCs w:val="20"/>
          <w:color w:val="auto"/>
        </w:rPr>
      </w:pPr>
      <w:r>
        <w:rPr>
          <w:rFonts w:ascii="Arial" w:cs="Arial" w:eastAsia="Arial" w:hAnsi="Arial"/>
          <w:sz w:val="22"/>
          <w:szCs w:val="22"/>
          <w:b w:val="1"/>
          <w:bCs w:val="1"/>
          <w:i w:val="1"/>
          <w:iCs w:val="1"/>
          <w:color w:val="231F20"/>
        </w:rPr>
        <w:t>Contractual Obligations and Other Commitments</w:t>
      </w:r>
    </w:p>
    <w:p>
      <w:pPr>
        <w:spacing w:after="0" w:line="112" w:lineRule="exact"/>
        <w:rPr>
          <w:sz w:val="20"/>
          <w:szCs w:val="20"/>
          <w:color w:val="auto"/>
        </w:rPr>
      </w:pPr>
    </w:p>
    <w:p>
      <w:pPr>
        <w:ind w:left="1000"/>
        <w:spacing w:after="0"/>
        <w:rPr>
          <w:sz w:val="20"/>
          <w:szCs w:val="20"/>
          <w:color w:val="auto"/>
        </w:rPr>
      </w:pPr>
      <w:r>
        <w:rPr>
          <w:rFonts w:ascii="Arial" w:cs="Arial" w:eastAsia="Arial" w:hAnsi="Arial"/>
          <w:sz w:val="22"/>
          <w:szCs w:val="22"/>
          <w:color w:val="231F20"/>
        </w:rPr>
        <w:t xml:space="preserve">The following table summarizes our noncancellable contractual obligations as of </w:t>
      </w:r>
      <w:r>
        <w:rPr>
          <w:rFonts w:ascii="Arial" w:cs="Arial" w:eastAsia="Arial" w:hAnsi="Arial"/>
          <w:sz w:val="22"/>
          <w:szCs w:val="22"/>
          <w:color w:val="000000"/>
        </w:rPr>
        <w:t>September 30, 2017</w:t>
      </w:r>
      <w:r>
        <w:rPr>
          <w:rFonts w:ascii="Arial" w:cs="Arial" w:eastAsia="Arial" w:hAnsi="Arial"/>
          <w:sz w:val="22"/>
          <w:szCs w:val="22"/>
          <w:color w:val="231F20"/>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Less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More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Than 1</w:t>
            </w: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1 to 2</w:t>
            </w: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3 to 5</w:t>
            </w:r>
          </w:p>
        </w:tc>
        <w:tc>
          <w:tcPr>
            <w:tcW w:w="32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than 5</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20"/>
                <w:szCs w:val="20"/>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2017:</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38,500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Interest expense</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17,965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11,411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5,308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740" w:right="80" w:hanging="246"/>
        <w:spacing w:after="0" w:line="249" w:lineRule="auto"/>
        <w:tabs>
          <w:tab w:leader="none" w:pos="752"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Interest has been calculated on the term loan based on an interest rate of 3.125% which was the rate in effect as of December 31, 2016. Actual cash flows may differ significantly due to changes in interest rates.</w:t>
      </w:r>
    </w:p>
    <w:p>
      <w:pPr>
        <w:spacing w:after="0" w:line="1"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Operating leases represent total future minimum rent payments under non-cancellable operating lease agreements.</w:t>
      </w:r>
    </w:p>
    <w:p>
      <w:pPr>
        <w:spacing w:after="0" w:line="9" w:lineRule="exact"/>
        <w:rPr>
          <w:rFonts w:ascii="Arial" w:cs="Arial" w:eastAsia="Arial" w:hAnsi="Arial"/>
          <w:sz w:val="18"/>
          <w:szCs w:val="18"/>
          <w:color w:val="auto"/>
        </w:rPr>
      </w:pPr>
    </w:p>
    <w:p>
      <w:pPr>
        <w:ind w:left="740" w:right="780" w:hanging="246"/>
        <w:spacing w:after="0" w:line="261" w:lineRule="auto"/>
        <w:tabs>
          <w:tab w:leader="none" w:pos="752"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Purchase obligations represent total future minimum payments under contracts to various service providers. Purchase obligations exclude agreements that are cancellable without penalty.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Critical Accounting Policies and Significant Judgments and Estimates</w:t>
      </w:r>
    </w:p>
    <w:p>
      <w:pPr>
        <w:spacing w:after="0" w:line="253"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Our condensed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77"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We believe that the assumptions and estimates associated with revenue recognition and deferred revenue, stock-based compensation, the valuation of goodwill and intangible assets, internal-use software development costs, income taxes and other contingencies have the greatest potential impact on our condensed consolidated financial statements. Therefore, we consider these to be our critical accounting policies and estimates.</w:t>
      </w:r>
    </w:p>
    <w:p>
      <w:pPr>
        <w:spacing w:after="0" w:line="215" w:lineRule="exact"/>
        <w:rPr>
          <w:sz w:val="20"/>
          <w:szCs w:val="20"/>
          <w:color w:val="auto"/>
        </w:rPr>
      </w:pPr>
    </w:p>
    <w:p>
      <w:pPr>
        <w:ind w:right="240" w:firstLine="648"/>
        <w:spacing w:after="0" w:line="271" w:lineRule="auto"/>
        <w:rPr>
          <w:sz w:val="20"/>
          <w:szCs w:val="20"/>
          <w:color w:val="auto"/>
        </w:rPr>
      </w:pPr>
      <w:r>
        <w:rPr>
          <w:rFonts w:ascii="Arial" w:cs="Arial" w:eastAsia="Arial" w:hAnsi="Arial"/>
          <w:sz w:val="21"/>
          <w:szCs w:val="21"/>
          <w:color w:val="auto"/>
        </w:rPr>
        <w:t>There have been no material changes to our critical accounting policies and significant judgments and estimates as compared to the critical accounting policies and significant judgments and estimates disclosed in the final prospectus for our IPO filed with the SEC on November 13, 2017 pursuant to Rule 424(b)(1) under the Securities Act.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Guidance</w:t>
      </w:r>
    </w:p>
    <w:p>
      <w:pPr>
        <w:spacing w:after="0" w:line="253"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See Note 2 of the notes to our unaudited condensed consolidated financial statements included elsewhere in this Quarterly Report on Form 10-Q for a summary of recent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JOBS Act Accounting Election</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are an “emerging growth company,” as defined in the Jumpstart Our Business Startups Act of 2012 (the “JOBS Act”).</w:t>
      </w:r>
    </w:p>
    <w:p>
      <w:pPr>
        <w:spacing w:after="0" w:line="281"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use the extended transition period for complying with new or revised accounting standards under Section 102(b)(1) of the JOBS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public company effective dates.</w:t>
      </w:r>
    </w:p>
    <w:p>
      <w:pPr>
        <w:spacing w:after="0" w:line="222" w:lineRule="exact"/>
        <w:rPr>
          <w:sz w:val="20"/>
          <w:szCs w:val="20"/>
          <w:color w:val="auto"/>
        </w:rPr>
      </w:pPr>
    </w:p>
    <w:p>
      <w:pPr>
        <w:ind w:right="200" w:firstLine="648"/>
        <w:spacing w:after="0" w:line="294" w:lineRule="auto"/>
        <w:rPr>
          <w:sz w:val="20"/>
          <w:szCs w:val="20"/>
          <w:color w:val="auto"/>
        </w:rPr>
      </w:pPr>
      <w:r>
        <w:rPr>
          <w:rFonts w:ascii="Arial" w:cs="Arial" w:eastAsia="Arial" w:hAnsi="Arial"/>
          <w:sz w:val="19"/>
          <w:szCs w:val="19"/>
          <w:color w:val="auto"/>
        </w:rPr>
        <w:t>We also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w:t>
      </w:r>
    </w:p>
    <w:p>
      <w:pPr>
        <w:spacing w:after="0" w:line="177"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We will remain an emerging growth company until the earlier of (1) December 31, 2022 (the last day of the fiscal year following the fifth anniversary of our initial public offering), (2) the last day of the fiscal year in which we have total annual gross revenue of at least $1.07 billion, (3) the last day of the fiscal year in which we are deemed to be a “large accelerated filer,” as defined in the Exchange Act, and (4) the date on which we have issued more than $1.0 billion in nonconvertible debt during the prior three-year period. Any reference herein to “emerging growth company” has the meaning ascribed to it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53" w:lineRule="exact"/>
        <w:rPr>
          <w:sz w:val="20"/>
          <w:szCs w:val="20"/>
          <w:color w:val="auto"/>
        </w:rPr>
      </w:pPr>
    </w:p>
    <w:p>
      <w:pPr>
        <w:ind w:right="380" w:firstLine="648"/>
        <w:spacing w:after="0" w:line="253" w:lineRule="auto"/>
        <w:rPr>
          <w:sz w:val="20"/>
          <w:szCs w:val="20"/>
          <w:color w:val="auto"/>
        </w:rPr>
      </w:pPr>
      <w:r>
        <w:rPr>
          <w:rFonts w:ascii="Arial" w:cs="Arial" w:eastAsia="Arial" w:hAnsi="Arial"/>
          <w:sz w:val="22"/>
          <w:szCs w:val="22"/>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inflation.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247"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Our primary exposure to market risk relates to interest rate changes. We had cash and cash equivalents totaling $5.4 million as of September 30, 2017, which were held for working capital purposes. Our cash and cash equivalents are comprised primarily of interest bearing checking accounts.</w:t>
      </w:r>
    </w:p>
    <w:p>
      <w:pPr>
        <w:spacing w:after="0" w:line="21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74"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We had debt totaling $38.5 million as of September 30, 2017. Our debt is comprised of $38.5 million outstanding under our term loan and no amount outstanding on the revolving line of credit. The revolving line of credit had an interest rate based on the 1-month LIBOR rate plus 225 basis points as of September 30, 2017. The term loan had an interest rate based on the 3-month LIBOR rate plus 225 basis points. A one-eighth percentage point increase or decrease in the applicable rate for our credit facility (assuming the revolving portion of the credit facility is fully drawn) would have an annual impact of $0.1 million on cash interest expense.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Foreign Currency Risk</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customers consume our services primarily in the United States. Our revenue and expenses are denominated in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dollars and as a result we have no foreign currency risk.</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Inflation</w:t>
      </w:r>
    </w:p>
    <w:p>
      <w:pPr>
        <w:spacing w:after="0" w:line="253"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4. Controls and Procedures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Evaluation of disclosure controls and procedures</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Changes in internal control over financial reporting</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231F20"/>
        </w:rPr>
        <w:t xml:space="preserve">There were no changes in our internal control over financial reporting identified in connection with the evaluation required by Rule 13a-15(d) and 15d-15(d) of the Exchange Act during the quarter ended </w:t>
      </w:r>
      <w:r>
        <w:rPr>
          <w:rFonts w:ascii="Arial" w:cs="Arial" w:eastAsia="Arial" w:hAnsi="Arial"/>
          <w:sz w:val="21"/>
          <w:szCs w:val="21"/>
          <w:color w:val="000000"/>
        </w:rPr>
        <w:t>September 30, 2017</w:t>
      </w:r>
      <w:r>
        <w:rPr>
          <w:rFonts w:ascii="Arial" w:cs="Arial" w:eastAsia="Arial" w:hAnsi="Arial"/>
          <w:sz w:val="21"/>
          <w:szCs w:val="21"/>
          <w:color w:val="231F20"/>
        </w:rPr>
        <w:t xml:space="preserve"> that have materially affected, or are reasonably likely to materially affect, our internal control over financial reporting.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Inherent limitation on the effectiveness of internal control</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334" w:lineRule="exact"/>
        <w:rPr>
          <w:sz w:val="20"/>
          <w:szCs w:val="20"/>
          <w:color w:val="auto"/>
        </w:rPr>
      </w:pPr>
    </w:p>
    <w:p>
      <w:pPr>
        <w:ind w:right="360" w:firstLine="648"/>
        <w:spacing w:after="0" w:line="297" w:lineRule="auto"/>
        <w:rPr>
          <w:sz w:val="20"/>
          <w:szCs w:val="20"/>
          <w:color w:val="auto"/>
        </w:rPr>
      </w:pPr>
      <w:r>
        <w:rPr>
          <w:rFonts w:ascii="Arial" w:cs="Arial" w:eastAsia="Arial" w:hAnsi="Arial"/>
          <w:sz w:val="19"/>
          <w:szCs w:val="19"/>
          <w:color w:val="auto"/>
        </w:rPr>
        <w:t>In April 2014, Phone Recovery Services, LLC (“Phone Recovery Services”) filed a complaint against us in the Superior Court of the District of Columbia. The complaint alleges that we failed to bill, collect and remit certain taxes and surcharges associated with the provision of 911 services pursuant to applicable laws of the District of Columbia. In November 2015, the Superior Court of the District of Columbia dismissed Phone Recovery Services’ complaint with prejudice. Phone Recovery Services subsequently appealed, and we are currently awaiting a decision regarding Phone Recovery Services’ appeal.</w:t>
      </w:r>
    </w:p>
    <w:p>
      <w:pPr>
        <w:spacing w:after="0" w:line="147"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Phone Recovery Services, acting or purporting to act on behalf of applicable jurisdictions, or the applicable county or city itself, has filed similar lawsuits against us and/or one of our subsidiaries in the Superior Court of the State of Rhode Island, the Court of Common Pleas of Allegheny County, Pennsylvania and the District Court of Ramsey County, Minnesota that are currently in various stages of litigation. The case in Ramsey County, Minnesota was dismissed in November 2016; in August 2017, the Minnesota Court of Appeals affirmed that dismissal. On September 5, 2017, Phone Recovery Services filed a notice of appeal to the Minnesota Supreme Court. To date, we have not received any material adverse decision in connection with those matters.</w:t>
      </w:r>
    </w:p>
    <w:p>
      <w:pPr>
        <w:spacing w:after="0" w:line="15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We face similar lawsuits brought directly by various state and local governments alleging underpayment of 911 taxes and surcharges, although we understand that Phone Recovery Services is working in conjunction with each state or local government as a consultant on a contingency basis. The following county or municipal governments have named us in lawsuits associated with the collection and remittance of 911 taxes and surcharges: Birmingham Emergency Communications District, Alabama (the "Alabama Case");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Beaver County, Berks County, Bucks County, Butler County, Chester Co., Clarion County, Cumberland County, Dauphin County, Delaware County, Lancaster County, Lebanon County, Mercer County, Somerset County, Washington County, Westmoreland County, and York County, Pennsylvania (collectively, the “Pennsylvania Cases”); and Charleston County, South Carolina. The complaints allege that we failed to bill, collect and remit certain taxes and surcharges associated with 911 service pursuant to applicable laws. A claim in the Alabama Case was partially dismissed in December 2017; Birmingham Emergency Communications District may timely appeal the partial dismissal of the claim. The Georgia Cases have been closed administratively during the appeal of a related case in the Georgia courts; the Georgia Cases may be reopened. We understand that Augusta-Richmond County, Bartow County, Chatham County, Cherokee County, City of Atlanta, City of Savannah, Forsyth County, Houston County and Spalding County, Georgia each intends to initiate legal proceedings against us with allegations substantially similar to those in the Georgia Cases. The Pennsylvania Case in Butler County, Pennsylvania was dismissed in August 2016; the Pennsylvania Cases have been stayed until the appeal of the dismissal of the Butler County, Pennsylvania Case is resolved. The Illinois Case was dismissed in December 2016; Phone Recovery Services timely filed a notice of appeal and the appeal is underway.</w:t>
      </w:r>
    </w:p>
    <w:p>
      <w:pPr>
        <w:spacing w:after="0" w:line="200" w:lineRule="exact"/>
        <w:rPr>
          <w:sz w:val="20"/>
          <w:szCs w:val="20"/>
          <w:color w:val="auto"/>
        </w:rPr>
      </w:pPr>
    </w:p>
    <w:p>
      <w:pPr>
        <w:spacing w:after="0" w:line="221"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In August 2016, we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right="1400"/>
        <w:spacing w:after="0" w:line="263" w:lineRule="auto"/>
        <w:rPr>
          <w:sz w:val="20"/>
          <w:szCs w:val="20"/>
          <w:color w:val="auto"/>
        </w:rPr>
      </w:pPr>
      <w:r>
        <w:rPr>
          <w:rFonts w:ascii="Arial" w:cs="Arial" w:eastAsia="Arial" w:hAnsi="Arial"/>
          <w:sz w:val="22"/>
          <w:szCs w:val="22"/>
          <w:color w:val="auto"/>
        </w:rPr>
        <w:t>and remission of certain taxes and surcharges associated with 911 service pursuant to applicable laws of the State of North Carolina.</w:t>
      </w:r>
    </w:p>
    <w:p>
      <w:pPr>
        <w:spacing w:after="0" w:line="215"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We also have ongoing litigations against MCI Communications Services, Inc. d/b/a Verizon Business and Verizon Select Services, Inc. (collectively, “Verizon”) in the United States District Court for the Northern District of Texas. In April 2016, we filed counterclaims against Verizon. We are pursuing collection of unpaid intercarrier compensation charges for providing switched access services related to the exchange of telecommunications traffic with Verizon entities across the United States. Verizon has asserted counterclaims against us. We intend to contest the counterclaims vigorously. Verizon’s prior September 2014 complaint against us and other defendants regarding intercarrier compensation charges for providing switched access services related to the exchange of telecommunications traffic has been dismissed without prejudice, but remains subject to appeal.</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2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231F20"/>
        </w:rPr>
        <w:t>In addition to the other information set forth in this quarterly report, you should carefully consider the factors discussed in “Risk Factors” in our registration statement on Form S-1 filed with the SEC on October 12, 2017, which could materially affect our business, financial condition or future results. There have been no material changes from the risk factors previously disclosed in that prospectus.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2. Unregistered Sales of Equity Securities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31F20"/>
        </w:rPr>
        <w:t>Recent Sales of Unregistered Securities</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 November 28, 2017, the Underwriters exercised their option to sell 162,991 shares of our Class A common stock under the options granted to them under the Underwriting Agreement. As a result of this transaction, shares of Class B common stock held by the selling stockholders were converted to Class A common stock resulting in 4,197,831 outstanding shares of Class A common stock and 13,423,489 of Class B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31F20"/>
        </w:rPr>
        <w:t>Use of Proceeds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On November 9, 2017, the Registration Statement on Form S-1 (File No. 333-220945) for our initial public offering of our Class A common stock was declared effective by the SEC. Shares of our Class A common stock began trading on the New York Stock Exchange on November 10, 2017.</w:t>
      </w:r>
    </w:p>
    <w:p>
      <w:pPr>
        <w:spacing w:after="0" w:line="2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231F20"/>
        </w:rPr>
        <w:t>The underwriters of our initial public offering were Morgan Stanley, KeyBank Capital Markets, Baird, Canaccord Genuity and JMP Securities. We paid to the underwriters of our initial public offering an underwriting discount totaling approximately $5.6 million. In addition, we incurred expenses of approximately $5.3 million which, when added to the underwriting discount, amount to total expenses of approximately$10.9 million. Thus, the net offering proceeds, after deducting underwriting discounts and offering expenses, were approximately $69.1 million. No payments were made to our directors or officers or their associates, holders of 10% or more of any class of our equity securities or any affiliates.</w:t>
      </w:r>
    </w:p>
    <w:p>
      <w:pPr>
        <w:spacing w:after="0" w:line="2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231F20"/>
        </w:rPr>
        <w:t>There has been no material change in the planned use of proceeds from the IPO from that described in the final prospectus filed with the SEC pursuant to Rule 424(b)(1) under the Securities Act on November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231F20"/>
        </w:rPr>
        <w:t>13, 2017.</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3. Defaults Upon Senior Securities.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None.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4. Mine Safety Disclosures.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Not applicable.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5. Other Information.</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None.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125" w:right="1440"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860" w:type="dxa"/>
            <w:vAlign w:val="bottom"/>
          </w:tcPr>
          <w:p>
            <w:pPr>
              <w:ind w:left="25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45"/>
        </w:trPr>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Exhibit</w:t>
            </w:r>
          </w:p>
        </w:tc>
        <w:tc>
          <w:tcPr>
            <w:tcW w:w="10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58"/>
        </w:trPr>
        <w:tc>
          <w:tcPr>
            <w:tcW w:w="104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number</w:t>
            </w:r>
          </w:p>
        </w:tc>
        <w:tc>
          <w:tcPr>
            <w:tcW w:w="10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Second Amended and Restated Certificate of Incorporation</w:t>
            </w:r>
          </w:p>
        </w:tc>
        <w:tc>
          <w:tcPr>
            <w:tcW w:w="0" w:type="dxa"/>
            <w:vAlign w:val="bottom"/>
          </w:tcPr>
          <w:p>
            <w:pPr>
              <w:spacing w:after="0"/>
              <w:rPr>
                <w:sz w:val="1"/>
                <w:szCs w:val="1"/>
                <w:color w:val="auto"/>
              </w:rPr>
            </w:pPr>
          </w:p>
        </w:tc>
      </w:tr>
      <w:tr>
        <w:trPr>
          <w:trHeight w:val="250"/>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Second Amended and Restated Bylaws</w:t>
            </w:r>
          </w:p>
        </w:tc>
        <w:tc>
          <w:tcPr>
            <w:tcW w:w="0" w:type="dxa"/>
            <w:vAlign w:val="bottom"/>
          </w:tcPr>
          <w:p>
            <w:pPr>
              <w:spacing w:after="0"/>
              <w:rPr>
                <w:sz w:val="1"/>
                <w:szCs w:val="1"/>
                <w:color w:val="auto"/>
              </w:rPr>
            </w:pPr>
          </w:p>
        </w:tc>
      </w:tr>
      <w:tr>
        <w:trPr>
          <w:trHeight w:val="250"/>
        </w:trPr>
        <w:tc>
          <w:tcPr>
            <w:tcW w:w="400" w:type="dxa"/>
            <w:vAlign w:val="bottom"/>
            <w:gridSpan w:val="3"/>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Certificate of the Chief Executive Officer pursuant to Exchange Act Rules 13a-14(a) and 15d-14(a), as adopted pursuant to Section 302 of the</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30"/>
        </w:trPr>
        <w:tc>
          <w:tcPr>
            <w:tcW w:w="400" w:type="dxa"/>
            <w:vAlign w:val="bottom"/>
            <w:gridSpan w:val="3"/>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Certification of the Chief Financial Officer pursuant to Exchange Act Rules 13a-14(a) and 15d-14(a), as adopted pursuant to Section 302 of</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230"/>
        </w:trPr>
        <w:tc>
          <w:tcPr>
            <w:tcW w:w="480" w:type="dxa"/>
            <w:vAlign w:val="bottom"/>
            <w:gridSpan w:val="4"/>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Certification of the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906 of the Sarbanes-Oxley Act 2002</w:t>
            </w:r>
          </w:p>
        </w:tc>
        <w:tc>
          <w:tcPr>
            <w:tcW w:w="0" w:type="dxa"/>
            <w:vAlign w:val="bottom"/>
          </w:tcPr>
          <w:p>
            <w:pPr>
              <w:spacing w:after="0"/>
              <w:rPr>
                <w:sz w:val="1"/>
                <w:szCs w:val="1"/>
                <w:color w:val="auto"/>
              </w:rPr>
            </w:pPr>
          </w:p>
        </w:tc>
      </w:tr>
      <w:tr>
        <w:trPr>
          <w:trHeight w:val="270"/>
        </w:trPr>
        <w:tc>
          <w:tcPr>
            <w:tcW w:w="1040" w:type="dxa"/>
            <w:vAlign w:val="bottom"/>
            <w:gridSpan w:val="5"/>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040" w:type="dxa"/>
            <w:vAlign w:val="bottom"/>
            <w:gridSpan w:val="5"/>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2"/>
          </w:tcPr>
          <w:p>
            <w:pPr>
              <w:spacing w:after="0"/>
              <w:rPr>
                <w:sz w:val="20"/>
                <w:szCs w:val="20"/>
                <w:color w:val="auto"/>
              </w:rPr>
            </w:pPr>
            <w:r>
              <w:rPr>
                <w:rFonts w:ascii="Arial" w:cs="Arial" w:eastAsia="Arial" w:hAnsi="Arial"/>
                <w:sz w:val="18"/>
                <w:szCs w:val="18"/>
                <w:color w:val="auto"/>
              </w:rPr>
              <w:t>XBRL Taxonomy Schema Document</w:t>
            </w:r>
          </w:p>
        </w:tc>
        <w:tc>
          <w:tcPr>
            <w:tcW w:w="0" w:type="dxa"/>
            <w:vAlign w:val="bottom"/>
          </w:tcPr>
          <w:p>
            <w:pPr>
              <w:spacing w:after="0"/>
              <w:rPr>
                <w:sz w:val="1"/>
                <w:szCs w:val="1"/>
                <w:color w:val="auto"/>
              </w:rPr>
            </w:pPr>
          </w:p>
        </w:tc>
      </w:tr>
      <w:tr>
        <w:trPr>
          <w:trHeight w:val="270"/>
        </w:trPr>
        <w:tc>
          <w:tcPr>
            <w:tcW w:w="1040" w:type="dxa"/>
            <w:vAlign w:val="bottom"/>
            <w:gridSpan w:val="5"/>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40" w:type="dxa"/>
            <w:vAlign w:val="bottom"/>
            <w:gridSpan w:val="5"/>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40" w:type="dxa"/>
            <w:vAlign w:val="bottom"/>
            <w:gridSpan w:val="5"/>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040" w:type="dxa"/>
            <w:vAlign w:val="bottom"/>
            <w:gridSpan w:val="5"/>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right="140" w:hanging="465"/>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125"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as amended, the Registrant has duly caused this report 10-Q to be signed on its behalf by the undersigned, thereunto duly authorized.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December 14, 2017.</w:t>
      </w:r>
    </w:p>
    <w:p>
      <w:pPr>
        <w:spacing w:after="0" w:line="200" w:lineRule="exact"/>
        <w:rPr>
          <w:sz w:val="20"/>
          <w:szCs w:val="20"/>
          <w:color w:val="auto"/>
        </w:rPr>
      </w:pP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BANDWIDTH INC.</w:t>
      </w: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A. Morken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and Chairman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December 14, 2017.</w:t>
      </w: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BANDWIDTH INC.</w:t>
      </w: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Jeffrey A. Hoffman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BANDWIDTH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spacing w:after="0" w:line="220"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color w:val="auto"/>
        </w:rPr>
        <w:t>Bandwidth Inc. (the “</w:t>
      </w:r>
      <w:r>
        <w:rPr>
          <w:rFonts w:ascii="Arial" w:cs="Arial" w:eastAsia="Arial" w:hAnsi="Arial"/>
          <w:sz w:val="22"/>
          <w:szCs w:val="22"/>
          <w:b w:val="1"/>
          <w:bCs w:val="1"/>
          <w:color w:val="auto"/>
        </w:rPr>
        <w:t>Corporation</w:t>
      </w:r>
      <w:r>
        <w:rPr>
          <w:rFonts w:ascii="Arial" w:cs="Arial" w:eastAsia="Arial" w:hAnsi="Arial"/>
          <w:sz w:val="22"/>
          <w:szCs w:val="22"/>
          <w:color w:val="auto"/>
        </w:rPr>
        <w:t>”), a corporation organized and existing under the laws of the State of Delaware, hereby certifies as follows:</w:t>
      </w:r>
    </w:p>
    <w:p>
      <w:pPr>
        <w:spacing w:after="0" w:line="168" w:lineRule="exact"/>
        <w:rPr>
          <w:sz w:val="20"/>
          <w:szCs w:val="20"/>
          <w:color w:val="auto"/>
        </w:rPr>
      </w:pPr>
    </w:p>
    <w:p>
      <w:pPr>
        <w:ind w:left="620" w:hanging="612"/>
        <w:spacing w:after="0" w:line="287" w:lineRule="auto"/>
        <w:tabs>
          <w:tab w:leader="none" w:pos="62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Corporation was originally incorporated under the name of Bandwidth.com, Inc., and the original Certificate of Incorporation of the Corporation was filed with the Secretary of State of the State of Delaware on March 29, 2001.</w:t>
      </w:r>
    </w:p>
    <w:p>
      <w:pPr>
        <w:spacing w:after="0" w:line="124" w:lineRule="exact"/>
        <w:rPr>
          <w:rFonts w:ascii="Arial" w:cs="Arial" w:eastAsia="Arial" w:hAnsi="Arial"/>
          <w:sz w:val="21"/>
          <w:szCs w:val="21"/>
          <w:color w:val="auto"/>
        </w:rPr>
      </w:pPr>
    </w:p>
    <w:p>
      <w:pPr>
        <w:ind w:left="620" w:hanging="612"/>
        <w:spacing w:after="0" w:line="263" w:lineRule="auto"/>
        <w:tabs>
          <w:tab w:leader="none" w:pos="6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 Amended and Restated Certificate of Incorporation of the Corporation was filed with the Secretary of State of the State of Delaware on February 22, 2011, as amended.</w:t>
      </w:r>
    </w:p>
    <w:p>
      <w:pPr>
        <w:spacing w:after="0" w:line="147" w:lineRule="exact"/>
        <w:rPr>
          <w:rFonts w:ascii="Arial" w:cs="Arial" w:eastAsia="Arial" w:hAnsi="Arial"/>
          <w:sz w:val="22"/>
          <w:szCs w:val="22"/>
          <w:color w:val="auto"/>
        </w:rPr>
      </w:pPr>
    </w:p>
    <w:p>
      <w:pPr>
        <w:jc w:val="both"/>
        <w:ind w:left="620" w:hanging="612"/>
        <w:spacing w:after="0" w:line="271" w:lineRule="auto"/>
        <w:tabs>
          <w:tab w:leader="none" w:pos="62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This Second Amended and Restated Certificate of Incorporation was duly adopted in accordance with Sections 242 and 245 of the General Corporation Law of the State of Delaware (the “</w:t>
      </w:r>
      <w:r>
        <w:rPr>
          <w:rFonts w:ascii="Arial" w:cs="Arial" w:eastAsia="Arial" w:hAnsi="Arial"/>
          <w:sz w:val="21"/>
          <w:szCs w:val="21"/>
          <w:b w:val="1"/>
          <w:bCs w:val="1"/>
          <w:color w:val="auto"/>
        </w:rPr>
        <w:t>DGCL</w:t>
      </w:r>
      <w:r>
        <w:rPr>
          <w:rFonts w:ascii="Arial" w:cs="Arial" w:eastAsia="Arial" w:hAnsi="Arial"/>
          <w:sz w:val="21"/>
          <w:szCs w:val="21"/>
          <w:color w:val="auto"/>
        </w:rPr>
        <w:t>”), and has been duly approved by the written consent of the requisite stockholders of the Corporation in accordance with Section 228 of the DGCL.</w:t>
      </w:r>
    </w:p>
    <w:p>
      <w:pPr>
        <w:spacing w:after="0" w:line="140" w:lineRule="exact"/>
        <w:rPr>
          <w:rFonts w:ascii="Arial" w:cs="Arial" w:eastAsia="Arial" w:hAnsi="Arial"/>
          <w:sz w:val="21"/>
          <w:szCs w:val="21"/>
          <w:color w:val="auto"/>
        </w:rPr>
      </w:pPr>
    </w:p>
    <w:p>
      <w:pPr>
        <w:ind w:left="620" w:hanging="612"/>
        <w:spacing w:after="0"/>
        <w:tabs>
          <w:tab w:leader="none" w:pos="62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Certificate of Incorporation of the Corporation is hereby amended and restated in its entirety to read as follows:</w:t>
      </w:r>
    </w:p>
    <w:p>
      <w:pPr>
        <w:spacing w:after="0" w:line="198" w:lineRule="exact"/>
        <w:rPr>
          <w:rFonts w:ascii="Arial" w:cs="Arial" w:eastAsia="Arial" w:hAnsi="Arial"/>
          <w:sz w:val="21"/>
          <w:szCs w:val="21"/>
          <w:color w:val="auto"/>
        </w:rPr>
      </w:pPr>
    </w:p>
    <w:p>
      <w:pPr>
        <w:ind w:left="5160"/>
        <w:spacing w:after="0"/>
        <w:rPr>
          <w:rFonts w:ascii="Arial" w:cs="Arial" w:eastAsia="Arial" w:hAnsi="Arial"/>
          <w:sz w:val="21"/>
          <w:szCs w:val="21"/>
          <w:color w:val="auto"/>
        </w:rPr>
      </w:pPr>
      <w:r>
        <w:rPr>
          <w:rFonts w:ascii="Arial" w:cs="Arial" w:eastAsia="Arial" w:hAnsi="Arial"/>
          <w:sz w:val="22"/>
          <w:szCs w:val="22"/>
          <w:b w:val="1"/>
          <w:bCs w:val="1"/>
          <w:color w:val="auto"/>
        </w:rPr>
        <w:t>ARTICLE I</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Bandwidth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26" w:lineRule="exact"/>
        <w:rPr>
          <w:sz w:val="20"/>
          <w:szCs w:val="20"/>
          <w:color w:val="auto"/>
        </w:rPr>
      </w:pPr>
    </w:p>
    <w:p>
      <w:pPr>
        <w:ind w:right="20" w:firstLine="648"/>
        <w:spacing w:after="0" w:line="287" w:lineRule="auto"/>
        <w:rPr>
          <w:sz w:val="20"/>
          <w:szCs w:val="20"/>
          <w:color w:val="auto"/>
        </w:rPr>
      </w:pPr>
      <w:r>
        <w:rPr>
          <w:rFonts w:ascii="Arial" w:cs="Arial" w:eastAsia="Arial" w:hAnsi="Arial"/>
          <w:sz w:val="21"/>
          <w:szCs w:val="21"/>
          <w:color w:val="auto"/>
        </w:rPr>
        <w:t>The address of the Corporation’s registered office in the State of Delaware is 251 Little Falls Drive, Wilmington, New Castle County, DE 19808. The name of its registered agent at such address is Corporation Service Company.</w:t>
      </w:r>
    </w:p>
    <w:p>
      <w:pPr>
        <w:spacing w:after="0" w:line="146"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III</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purpose of the Corporation is to engage in any lawful act or activity for which corporations may be organized under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DGCL.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26" w:lineRule="exact"/>
        <w:rPr>
          <w:sz w:val="20"/>
          <w:szCs w:val="20"/>
          <w:color w:val="auto"/>
        </w:rPr>
      </w:pPr>
    </w:p>
    <w:p>
      <w:pPr>
        <w:jc w:val="both"/>
        <w:ind w:firstLine="656"/>
        <w:spacing w:after="0" w:line="307" w:lineRule="auto"/>
        <w:tabs>
          <w:tab w:leader="none" w:pos="1106"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Classes of Stock</w:t>
      </w:r>
      <w:r>
        <w:rPr>
          <w:rFonts w:ascii="Arial" w:cs="Arial" w:eastAsia="Arial" w:hAnsi="Arial"/>
          <w:sz w:val="19"/>
          <w:szCs w:val="19"/>
          <w:color w:val="auto"/>
        </w:rPr>
        <w:t>. The total number of shares of capital stock that the Corporation shall have authority to issue is 130,000,000, consisting of the following: 100,000,000 shares of Class A Common Stock, par value $0.001 per share (“</w:t>
      </w:r>
      <w:r>
        <w:rPr>
          <w:rFonts w:ascii="Arial" w:cs="Arial" w:eastAsia="Arial" w:hAnsi="Arial"/>
          <w:sz w:val="19"/>
          <w:szCs w:val="19"/>
          <w:b w:val="1"/>
          <w:bCs w:val="1"/>
          <w:color w:val="auto"/>
        </w:rPr>
        <w:t>Class A</w:t>
      </w:r>
      <w:r>
        <w:rPr>
          <w:rFonts w:ascii="Arial" w:cs="Arial" w:eastAsia="Arial" w:hAnsi="Arial"/>
          <w:sz w:val="19"/>
          <w:szCs w:val="19"/>
          <w:color w:val="auto"/>
        </w:rPr>
        <w:t xml:space="preserve"> </w:t>
      </w:r>
      <w:r>
        <w:rPr>
          <w:rFonts w:ascii="Arial" w:cs="Arial" w:eastAsia="Arial" w:hAnsi="Arial"/>
          <w:sz w:val="19"/>
          <w:szCs w:val="19"/>
          <w:b w:val="1"/>
          <w:bCs w:val="1"/>
          <w:color w:val="auto"/>
        </w:rPr>
        <w:t>Common Stock</w:t>
      </w:r>
      <w:r>
        <w:rPr>
          <w:rFonts w:ascii="Arial" w:cs="Arial" w:eastAsia="Arial" w:hAnsi="Arial"/>
          <w:sz w:val="19"/>
          <w:szCs w:val="19"/>
          <w:color w:val="auto"/>
        </w:rPr>
        <w:t>”), 20,000,000 shares of Class B Common Stock, par value $0.001 per share (“</w:t>
      </w:r>
      <w:r>
        <w:rPr>
          <w:rFonts w:ascii="Arial" w:cs="Arial" w:eastAsia="Arial" w:hAnsi="Arial"/>
          <w:sz w:val="19"/>
          <w:szCs w:val="19"/>
          <w:b w:val="1"/>
          <w:bCs w:val="1"/>
          <w:color w:val="auto"/>
        </w:rPr>
        <w:t>Class B Common Stock</w:t>
      </w:r>
      <w:r>
        <w:rPr>
          <w:rFonts w:ascii="Arial" w:cs="Arial" w:eastAsia="Arial" w:hAnsi="Arial"/>
          <w:sz w:val="19"/>
          <w:szCs w:val="19"/>
          <w:color w:val="auto"/>
        </w:rPr>
        <w:t>”), and</w:t>
      </w:r>
      <w:r>
        <w:rPr>
          <w:rFonts w:ascii="Arial" w:cs="Arial" w:eastAsia="Arial" w:hAnsi="Arial"/>
          <w:sz w:val="19"/>
          <w:szCs w:val="19"/>
          <w:b w:val="1"/>
          <w:bCs w:val="1"/>
          <w:color w:val="auto"/>
        </w:rPr>
        <w:t xml:space="preserve"> </w:t>
      </w:r>
      <w:r>
        <w:rPr>
          <w:rFonts w:ascii="Arial" w:cs="Arial" w:eastAsia="Arial" w:hAnsi="Arial"/>
          <w:sz w:val="19"/>
          <w:szCs w:val="19"/>
          <w:color w:val="auto"/>
        </w:rPr>
        <w:t>10,000,000 shares of undesignated Preferred Stock, par value $0.001 per share (“</w:t>
      </w:r>
      <w:r>
        <w:rPr>
          <w:rFonts w:ascii="Arial" w:cs="Arial" w:eastAsia="Arial" w:hAnsi="Arial"/>
          <w:sz w:val="19"/>
          <w:szCs w:val="19"/>
          <w:b w:val="1"/>
          <w:bCs w:val="1"/>
          <w:color w:val="auto"/>
        </w:rPr>
        <w:t>Preferred Stock</w:t>
      </w:r>
      <w:r>
        <w:rPr>
          <w:rFonts w:ascii="Arial" w:cs="Arial" w:eastAsia="Arial" w:hAnsi="Arial"/>
          <w:sz w:val="19"/>
          <w:szCs w:val="19"/>
          <w:color w:val="auto"/>
        </w:rPr>
        <w:t>”).</w:t>
      </w:r>
    </w:p>
    <w:p>
      <w:pPr>
        <w:spacing w:after="0" w:line="13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Immediately upon the acceptance of this Second Amended and Restated Certificate of Incorporation for filing by the Secretary of State of the State of Delaware (the “</w:t>
      </w:r>
      <w:r>
        <w:rPr>
          <w:rFonts w:ascii="Arial" w:cs="Arial" w:eastAsia="Arial" w:hAnsi="Arial"/>
          <w:sz w:val="22"/>
          <w:szCs w:val="22"/>
          <w:b w:val="1"/>
          <w:bCs w:val="1"/>
          <w:color w:val="auto"/>
        </w:rPr>
        <w:t>Effective Time</w:t>
      </w:r>
      <w:r>
        <w:rPr>
          <w:rFonts w:ascii="Arial" w:cs="Arial" w:eastAsia="Arial" w:hAnsi="Arial"/>
          <w:sz w:val="22"/>
          <w:szCs w:val="22"/>
          <w:color w:val="auto"/>
        </w:rPr>
        <w:t>”), each share of the Corporation’s (a) existing one-vote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69" w:right="239" w:bottom="1440" w:gutter="0" w:footer="0" w:header="0"/>
        </w:sectPr>
      </w:pPr>
    </w:p>
    <w:bookmarkStart w:id="57" w:name="page58"/>
    <w:bookmarkEnd w:id="57"/>
    <w:p>
      <w:pPr>
        <w:jc w:val="both"/>
        <w:spacing w:after="0" w:line="292" w:lineRule="auto"/>
        <w:rPr>
          <w:sz w:val="20"/>
          <w:szCs w:val="20"/>
          <w:color w:val="auto"/>
        </w:rPr>
      </w:pPr>
      <w:r>
        <w:rPr>
          <w:rFonts w:ascii="Arial" w:cs="Arial" w:eastAsia="Arial" w:hAnsi="Arial"/>
          <w:sz w:val="19"/>
          <w:szCs w:val="19"/>
          <w:color w:val="auto"/>
        </w:rPr>
        <w:t>issued and outstanding, one-vote Class A common stock held as treasury stock or warrants or options exercisable for one-vote Class A common stock immediately prior to the Effective Time, shall, automatically and without further action by any stockholder, be reclassified as, and shall become, one share of Class B Common Stock or the right to receive one share of Class B Common Stock upon exercise of such warrant or option and (b) existing no-vote Class B common stock issued and outstanding, no-vote Class B common stock held as treasury stock or options exercisable into no-vote Class B common stock immediately prior to the Effective Time, shall, automatically and without further action by any stockholder, be reclassified as, and shall become, one share of Class A Common Stock or the right to receive one share of Class A Common Stock upon exercise of such option.</w:t>
      </w:r>
    </w:p>
    <w:p>
      <w:pPr>
        <w:spacing w:after="0" w:line="145" w:lineRule="exact"/>
        <w:rPr>
          <w:sz w:val="20"/>
          <w:szCs w:val="20"/>
          <w:color w:val="auto"/>
        </w:rPr>
      </w:pPr>
    </w:p>
    <w:p>
      <w:pPr>
        <w:jc w:val="both"/>
        <w:ind w:firstLine="656"/>
        <w:spacing w:after="0" w:line="295" w:lineRule="auto"/>
        <w:tabs>
          <w:tab w:leader="none" w:pos="999"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Rights of Preferred Stock</w:t>
      </w:r>
      <w:r>
        <w:rPr>
          <w:rFonts w:ascii="Arial" w:cs="Arial" w:eastAsia="Arial" w:hAnsi="Arial"/>
          <w:sz w:val="19"/>
          <w:szCs w:val="19"/>
          <w:color w:val="auto"/>
        </w:rPr>
        <w:t>. The Board of Directors of the Corporation (the “</w:t>
      </w:r>
      <w:r>
        <w:rPr>
          <w:rFonts w:ascii="Arial" w:cs="Arial" w:eastAsia="Arial" w:hAnsi="Arial"/>
          <w:sz w:val="19"/>
          <w:szCs w:val="19"/>
          <w:b w:val="1"/>
          <w:bCs w:val="1"/>
          <w:color w:val="auto"/>
        </w:rPr>
        <w:t>Board of Directors</w:t>
      </w:r>
      <w:r>
        <w:rPr>
          <w:rFonts w:ascii="Arial" w:cs="Arial" w:eastAsia="Arial" w:hAnsi="Arial"/>
          <w:sz w:val="19"/>
          <w:szCs w:val="19"/>
          <w:color w:val="auto"/>
        </w:rPr>
        <w:t>”) is authorized, subject to any limitations prescribed by law but to the fullest extent permitted by law, to provide by resolution for the designation and issuance of shares of Preferred Stock in one or more series, and to establish from time to time the number of shares to be included in each such series, and to fix the designation, powers (which may include, without limitation, full, limited or no voting powers), preferences, and relative, participating, optional or other rights of the shares of each such series and any qualifications, limitations or restrictions thereof, and to file a certificate pursuant to the applicable law of the State of Delaware (such certificate being hereinafter referred to as a “</w:t>
      </w:r>
      <w:r>
        <w:rPr>
          <w:rFonts w:ascii="Arial" w:cs="Arial" w:eastAsia="Arial" w:hAnsi="Arial"/>
          <w:sz w:val="19"/>
          <w:szCs w:val="19"/>
          <w:b w:val="1"/>
          <w:bCs w:val="1"/>
          <w:color w:val="auto"/>
        </w:rPr>
        <w:t>Preferred Stock Designation</w:t>
      </w:r>
      <w:r>
        <w:rPr>
          <w:rFonts w:ascii="Arial" w:cs="Arial" w:eastAsia="Arial" w:hAnsi="Arial"/>
          <w:sz w:val="19"/>
          <w:szCs w:val="19"/>
          <w:color w:val="auto"/>
        </w:rPr>
        <w:t>”), setting forth such resolution or resolutions.</w:t>
      </w:r>
    </w:p>
    <w:p>
      <w:pPr>
        <w:spacing w:after="0" w:line="152" w:lineRule="exact"/>
        <w:rPr>
          <w:sz w:val="20"/>
          <w:szCs w:val="20"/>
          <w:color w:val="auto"/>
        </w:rPr>
      </w:pPr>
    </w:p>
    <w:p>
      <w:pPr>
        <w:jc w:val="both"/>
        <w:ind w:firstLine="656"/>
        <w:spacing w:after="0" w:line="300" w:lineRule="auto"/>
        <w:tabs>
          <w:tab w:leader="none" w:pos="986"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Vote to Increase or Decrease Authorized Shares of Preferred Stock</w:t>
      </w:r>
      <w:r>
        <w:rPr>
          <w:rFonts w:ascii="Arial" w:cs="Arial" w:eastAsia="Arial" w:hAnsi="Arial"/>
          <w:sz w:val="19"/>
          <w:szCs w:val="19"/>
          <w:color w:val="auto"/>
        </w:rPr>
        <w:t>. The number of authorized shares of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separate class vote of the holders of Preferred Stock, or any separate series votes of any series thereof, unless a vote of any such holders is required pursuant to the terms of any Preferred Stock Designation.</w:t>
      </w:r>
    </w:p>
    <w:p>
      <w:pPr>
        <w:spacing w:after="0" w:line="147" w:lineRule="exact"/>
        <w:rPr>
          <w:sz w:val="20"/>
          <w:szCs w:val="20"/>
          <w:color w:val="auto"/>
        </w:rPr>
      </w:pPr>
    </w:p>
    <w:p>
      <w:pPr>
        <w:jc w:val="both"/>
        <w:ind w:firstLine="656"/>
        <w:spacing w:after="0" w:line="266" w:lineRule="auto"/>
        <w:tabs>
          <w:tab w:leader="none" w:pos="1011"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No Further Issuances</w:t>
      </w:r>
      <w:r>
        <w:rPr>
          <w:rFonts w:ascii="Arial" w:cs="Arial" w:eastAsia="Arial" w:hAnsi="Arial"/>
          <w:sz w:val="21"/>
          <w:szCs w:val="21"/>
          <w:color w:val="auto"/>
        </w:rPr>
        <w:t xml:space="preserve">. Except for the issuance of Class B Common Stock issuable upon exercise of Rights outstanding at the Effective Time, the reclassification of shares of Class B Common Stock into a greater or lesser number of shares of Class B Common Stock or as a dividend payable in accordance with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E.2(a)</w:t>
      </w:r>
      <w:r>
        <w:rPr>
          <w:rFonts w:ascii="Arial" w:cs="Arial" w:eastAsia="Arial" w:hAnsi="Arial"/>
          <w:sz w:val="21"/>
          <w:szCs w:val="21"/>
          <w:color w:val="auto"/>
        </w:rPr>
        <w:t>, the Corporation shall not at any time after the Effective Time issue any additional shares of Class B Common Stock, unless such issuance is approved by the affirmative vote of the holders of a majority of the outstanding shares of Class B Common Stock.</w:t>
      </w:r>
    </w:p>
    <w:p>
      <w:pPr>
        <w:spacing w:after="0" w:line="174" w:lineRule="exact"/>
        <w:rPr>
          <w:sz w:val="20"/>
          <w:szCs w:val="20"/>
          <w:color w:val="auto"/>
        </w:rPr>
      </w:pPr>
    </w:p>
    <w:p>
      <w:pPr>
        <w:ind w:firstLine="656"/>
        <w:spacing w:after="0" w:line="358" w:lineRule="auto"/>
        <w:tabs>
          <w:tab w:leader="none" w:pos="101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Rights of Class A Common Stock and Class B Common Stock</w:t>
      </w:r>
      <w:r>
        <w:rPr>
          <w:rFonts w:ascii="Arial" w:cs="Arial" w:eastAsia="Arial" w:hAnsi="Arial"/>
          <w:sz w:val="19"/>
          <w:szCs w:val="19"/>
          <w:color w:val="auto"/>
        </w:rPr>
        <w:t>. The relative powers, rights, qualifications, limitations and restrictions granted to or imposed on the shares of Class A Common Stock and Class B Common Stock are as follows:</w:t>
      </w:r>
    </w:p>
    <w:p>
      <w:pPr>
        <w:spacing w:after="0" w:line="90" w:lineRule="exact"/>
        <w:rPr>
          <w:rFonts w:ascii="Arial" w:cs="Arial" w:eastAsia="Arial" w:hAnsi="Arial"/>
          <w:sz w:val="19"/>
          <w:szCs w:val="19"/>
          <w:color w:val="auto"/>
        </w:rPr>
      </w:pPr>
    </w:p>
    <w:p>
      <w:pPr>
        <w:ind w:left="1640" w:hanging="335"/>
        <w:spacing w:after="0"/>
        <w:tabs>
          <w:tab w:leader="none" w:pos="1640"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54" w:lineRule="auto"/>
        <w:tabs>
          <w:tab w:leader="none" w:pos="2403" w:val="left"/>
        </w:tabs>
        <w:numPr>
          <w:ilvl w:val="2"/>
          <w:numId w:val="25"/>
        </w:numPr>
        <w:rPr>
          <w:rFonts w:ascii="Arial" w:cs="Arial" w:eastAsia="Arial" w:hAnsi="Arial"/>
          <w:sz w:val="22"/>
          <w:szCs w:val="22"/>
          <w:color w:val="auto"/>
        </w:rPr>
      </w:pPr>
      <w:r>
        <w:rPr>
          <w:rFonts w:ascii="Arial" w:cs="Arial" w:eastAsia="Arial" w:hAnsi="Arial"/>
          <w:sz w:val="22"/>
          <w:szCs w:val="22"/>
          <w:u w:val="single" w:color="auto"/>
          <w:color w:val="auto"/>
        </w:rPr>
        <w:t>General Right to Vote Together; Exceptions</w:t>
      </w:r>
      <w:r>
        <w:rPr>
          <w:rFonts w:ascii="Arial" w:cs="Arial" w:eastAsia="Arial" w:hAnsi="Arial"/>
          <w:sz w:val="22"/>
          <w:szCs w:val="22"/>
          <w:color w:val="auto"/>
        </w:rPr>
        <w:t xml:space="preserve">. Except as otherwise expressly provided herein or required by applicable law, the holders of Class A Common Stock and Class B Common Stock shall vote together as a single class on all matters submitted to a vote of the stockholders; </w:t>
      </w:r>
      <w:r>
        <w:rPr>
          <w:rFonts w:ascii="Arial" w:cs="Arial" w:eastAsia="Arial" w:hAnsi="Arial"/>
          <w:sz w:val="22"/>
          <w:szCs w:val="22"/>
          <w:i w:val="1"/>
          <w:iCs w:val="1"/>
          <w:color w:val="auto"/>
        </w:rPr>
        <w:t>provided, however</w:t>
      </w:r>
      <w:r>
        <w:rPr>
          <w:rFonts w:ascii="Arial" w:cs="Arial" w:eastAsia="Arial" w:hAnsi="Arial"/>
          <w:sz w:val="22"/>
          <w:szCs w:val="22"/>
          <w:color w:val="auto"/>
        </w:rPr>
        <w:t>, subject to the terms of any Preferred Stock Designation, the number of authorized shares of Class A Common Stock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75" w:right="239" w:bottom="1440" w:gutter="0" w:footer="0" w:header="0"/>
        </w:sectPr>
      </w:pPr>
    </w:p>
    <w:bookmarkStart w:id="58" w:name="page59"/>
    <w:bookmarkEnd w:id="58"/>
    <w:p>
      <w:pPr>
        <w:jc w:val="both"/>
        <w:ind w:left="660"/>
        <w:spacing w:after="0" w:line="250" w:lineRule="auto"/>
        <w:rPr>
          <w:sz w:val="20"/>
          <w:szCs w:val="20"/>
          <w:color w:val="auto"/>
        </w:rPr>
      </w:pPr>
      <w:r>
        <w:rPr>
          <w:rFonts w:ascii="Arial" w:cs="Arial" w:eastAsia="Arial" w:hAnsi="Arial"/>
          <w:sz w:val="22"/>
          <w:szCs w:val="22"/>
          <w:color w:val="auto"/>
        </w:rPr>
        <w:t xml:space="preserve">or Class B Common Stock may be increased or decreased (but not below the number of shares thereof then outstanding) by the affirmative vote of the holders of a majority of the voting power of the capital stock of the Corporation entitled to vote;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further</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a separate vote of the Class A Common Stock and the Class B Common Stock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required in the following circumstances:</w:t>
      </w:r>
    </w:p>
    <w:p>
      <w:pPr>
        <w:spacing w:after="0" w:line="188" w:lineRule="exact"/>
        <w:rPr>
          <w:sz w:val="20"/>
          <w:szCs w:val="20"/>
          <w:color w:val="auto"/>
        </w:rPr>
      </w:pPr>
    </w:p>
    <w:p>
      <w:pPr>
        <w:jc w:val="both"/>
        <w:ind w:left="660" w:firstLine="1941"/>
        <w:spacing w:after="0" w:line="320" w:lineRule="auto"/>
        <w:tabs>
          <w:tab w:leader="none" w:pos="3218" w:val="left"/>
        </w:tabs>
        <w:numPr>
          <w:ilvl w:val="2"/>
          <w:numId w:val="26"/>
        </w:numPr>
        <w:rPr>
          <w:rFonts w:ascii="Arial" w:cs="Arial" w:eastAsia="Arial" w:hAnsi="Arial"/>
          <w:sz w:val="19"/>
          <w:szCs w:val="19"/>
          <w:color w:val="auto"/>
        </w:rPr>
      </w:pPr>
      <w:r>
        <w:rPr>
          <w:rFonts w:ascii="Arial" w:cs="Arial" w:eastAsia="Arial" w:hAnsi="Arial"/>
          <w:sz w:val="19"/>
          <w:szCs w:val="19"/>
          <w:color w:val="auto"/>
        </w:rPr>
        <w:t>in connection with an amendment to this Second Amended and Restated Certificate of Incorporation to increase or decrease the par value of the Class A Common Stock or the Class B Common Stock, then the class impacted by such change in the par value shall be required to vote separately to approve the proposed amendment; and</w:t>
      </w:r>
    </w:p>
    <w:p>
      <w:pPr>
        <w:spacing w:after="0" w:line="125" w:lineRule="exact"/>
        <w:rPr>
          <w:rFonts w:ascii="Arial" w:cs="Arial" w:eastAsia="Arial" w:hAnsi="Arial"/>
          <w:sz w:val="19"/>
          <w:szCs w:val="19"/>
          <w:color w:val="auto"/>
        </w:rPr>
      </w:pPr>
    </w:p>
    <w:p>
      <w:pPr>
        <w:jc w:val="both"/>
        <w:ind w:left="660" w:firstLine="1941"/>
        <w:spacing w:after="0" w:line="320" w:lineRule="auto"/>
        <w:tabs>
          <w:tab w:leader="none" w:pos="3265" w:val="left"/>
        </w:tabs>
        <w:numPr>
          <w:ilvl w:val="2"/>
          <w:numId w:val="26"/>
        </w:numPr>
        <w:rPr>
          <w:rFonts w:ascii="Arial" w:cs="Arial" w:eastAsia="Arial" w:hAnsi="Arial"/>
          <w:sz w:val="19"/>
          <w:szCs w:val="19"/>
          <w:color w:val="auto"/>
        </w:rPr>
      </w:pPr>
      <w:r>
        <w:rPr>
          <w:rFonts w:ascii="Arial" w:cs="Arial" w:eastAsia="Arial" w:hAnsi="Arial"/>
          <w:sz w:val="19"/>
          <w:szCs w:val="19"/>
          <w:color w:val="auto"/>
        </w:rPr>
        <w:t>in connection with an amendment to this Second Amended and Restated Certificate of Incorporation to alter or change the powers, preferences or special rights of a specific class in a manner that affected its holders adversely, then such class shall be required to vote separately to approve the proposed amendment.</w:t>
      </w:r>
    </w:p>
    <w:p>
      <w:pPr>
        <w:spacing w:after="0" w:line="125" w:lineRule="exact"/>
        <w:rPr>
          <w:rFonts w:ascii="Arial" w:cs="Arial" w:eastAsia="Arial" w:hAnsi="Arial"/>
          <w:sz w:val="19"/>
          <w:szCs w:val="19"/>
          <w:color w:val="auto"/>
        </w:rPr>
      </w:pPr>
    </w:p>
    <w:p>
      <w:pPr>
        <w:jc w:val="both"/>
        <w:ind w:left="660" w:firstLine="1293"/>
        <w:spacing w:after="0" w:line="320" w:lineRule="auto"/>
        <w:tabs>
          <w:tab w:leader="none" w:pos="2443"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Votes Per Share</w:t>
      </w:r>
      <w:r>
        <w:rPr>
          <w:rFonts w:ascii="Arial" w:cs="Arial" w:eastAsia="Arial" w:hAnsi="Arial"/>
          <w:sz w:val="19"/>
          <w:szCs w:val="19"/>
          <w:color w:val="auto"/>
        </w:rPr>
        <w:t>. Except as otherwise expressly provided herein or required by applicable law, on any matter that is submitted to a vote of the stockholders, each holder of Class A Common Stock shall be entitled to one (1) vote for each such share, and each holder of Class B Common Stock shall be entitled to ten (10) votes for each such share.</w:t>
      </w:r>
    </w:p>
    <w:p>
      <w:pPr>
        <w:spacing w:after="0" w:line="125" w:lineRule="exact"/>
        <w:rPr>
          <w:rFonts w:ascii="Arial" w:cs="Arial" w:eastAsia="Arial" w:hAnsi="Arial"/>
          <w:sz w:val="19"/>
          <w:szCs w:val="19"/>
          <w:color w:val="auto"/>
        </w:rPr>
      </w:pPr>
    </w:p>
    <w:p>
      <w:pPr>
        <w:jc w:val="both"/>
        <w:ind w:firstLine="1305"/>
        <w:spacing w:after="0" w:line="260" w:lineRule="auto"/>
        <w:tabs>
          <w:tab w:leader="none" w:pos="1652"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Identical Rights</w:t>
      </w:r>
      <w:r>
        <w:rPr>
          <w:rFonts w:ascii="Arial" w:cs="Arial" w:eastAsia="Arial" w:hAnsi="Arial"/>
          <w:sz w:val="22"/>
          <w:szCs w:val="22"/>
          <w:color w:val="auto"/>
        </w:rPr>
        <w:t>. Except as otherwise expressly provided herein or required by applicable law, shares of Class A Common Stock and Class B Common Stock shall have the same rights and privileges and rank equally, share ratably and be identical in all respects as to all matters, including, without limitation:</w:t>
      </w:r>
    </w:p>
    <w:p>
      <w:pPr>
        <w:spacing w:after="0" w:line="177" w:lineRule="exact"/>
        <w:rPr>
          <w:rFonts w:ascii="Arial" w:cs="Arial" w:eastAsia="Arial" w:hAnsi="Arial"/>
          <w:sz w:val="22"/>
          <w:szCs w:val="22"/>
          <w:color w:val="auto"/>
        </w:rPr>
      </w:pPr>
    </w:p>
    <w:p>
      <w:pPr>
        <w:jc w:val="both"/>
        <w:ind w:left="660" w:firstLine="1293"/>
        <w:spacing w:after="0" w:line="292" w:lineRule="auto"/>
        <w:tabs>
          <w:tab w:leader="none" w:pos="2444"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Dividends and Distributions</w:t>
      </w:r>
      <w:r>
        <w:rPr>
          <w:rFonts w:ascii="Arial" w:cs="Arial" w:eastAsia="Arial" w:hAnsi="Arial"/>
          <w:sz w:val="19"/>
          <w:szCs w:val="19"/>
          <w:color w:val="auto"/>
        </w:rPr>
        <w:t xml:space="preserve">. Shares of Class A Common Stock and Class B Common Stock shall be treated equally, identically and ratably, on a per share basis, with respect to the declaration and payment or distribution of any Distribution paid or distributed by the Corporation, unless different treatment of the shares of each such class is approved in advance by the affirmative vote of the holders of a majority of the outstanding shares of the class of stock being treated adversely, voting separately as a class;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a Distribution is paid in the form of Class A Common Stock or Class B Common Stock (or Rights to acquire such stock), then holders of Class A Common Stock shall receive Class A Common Stock (or Rights to acquire such stock, as the case may be), and holders of Class B Common Stock shall receive Class B Common Stock (or Rights to acquire such stock, as the case may be).</w:t>
      </w:r>
    </w:p>
    <w:p>
      <w:pPr>
        <w:spacing w:after="0" w:line="155" w:lineRule="exact"/>
        <w:rPr>
          <w:rFonts w:ascii="Arial" w:cs="Arial" w:eastAsia="Arial" w:hAnsi="Arial"/>
          <w:sz w:val="19"/>
          <w:szCs w:val="19"/>
          <w:color w:val="auto"/>
        </w:rPr>
      </w:pPr>
    </w:p>
    <w:p>
      <w:pPr>
        <w:jc w:val="both"/>
        <w:ind w:left="660" w:firstLine="1293"/>
        <w:spacing w:after="0" w:line="250" w:lineRule="auto"/>
        <w:tabs>
          <w:tab w:leader="none" w:pos="2416"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Subdivision or Combination</w:t>
      </w:r>
      <w:r>
        <w:rPr>
          <w:rFonts w:ascii="Arial" w:cs="Arial" w:eastAsia="Arial" w:hAnsi="Arial"/>
          <w:sz w:val="22"/>
          <w:szCs w:val="22"/>
          <w:color w:val="auto"/>
        </w:rPr>
        <w:t>. If the Corporation in any manner subdivides or combines the outstanding shares of Class A Common Stock or Class B Common Stock, the outstanding shares of the other such class will be subdivided or combined in the same proportion and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75" w:right="239" w:bottom="1440" w:gutter="0" w:footer="0" w:header="0"/>
        </w:sectPr>
      </w:pPr>
    </w:p>
    <w:bookmarkStart w:id="59" w:name="page60"/>
    <w:bookmarkEnd w:id="59"/>
    <w:p>
      <w:pPr>
        <w:jc w:val="both"/>
        <w:ind w:left="660" w:firstLine="1293"/>
        <w:spacing w:after="0" w:line="288" w:lineRule="auto"/>
        <w:tabs>
          <w:tab w:leader="none" w:pos="2403" w:val="left"/>
        </w:tabs>
        <w:numPr>
          <w:ilvl w:val="2"/>
          <w:numId w:val="29"/>
        </w:numPr>
        <w:rPr>
          <w:rFonts w:ascii="Arial" w:cs="Arial" w:eastAsia="Arial" w:hAnsi="Arial"/>
          <w:sz w:val="19"/>
          <w:szCs w:val="19"/>
          <w:color w:val="auto"/>
        </w:rPr>
      </w:pPr>
      <w:r>
        <w:rPr>
          <w:rFonts w:ascii="Arial" w:cs="Arial" w:eastAsia="Arial" w:hAnsi="Arial"/>
          <w:sz w:val="19"/>
          <w:szCs w:val="19"/>
          <w:u w:val="single" w:color="auto"/>
          <w:color w:val="auto"/>
        </w:rPr>
        <w:t>Equal Treatment in a Change of Control or any Merger Transaction</w:t>
      </w:r>
      <w:r>
        <w:rPr>
          <w:rFonts w:ascii="Arial" w:cs="Arial" w:eastAsia="Arial" w:hAnsi="Arial"/>
          <w:sz w:val="19"/>
          <w:szCs w:val="19"/>
          <w:color w:val="auto"/>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156" w:lineRule="exact"/>
        <w:rPr>
          <w:rFonts w:ascii="Arial" w:cs="Arial" w:eastAsia="Arial" w:hAnsi="Arial"/>
          <w:sz w:val="19"/>
          <w:szCs w:val="19"/>
          <w:color w:val="auto"/>
        </w:rPr>
      </w:pPr>
    </w:p>
    <w:p>
      <w:pPr>
        <w:ind w:left="1640" w:hanging="335"/>
        <w:spacing w:after="0"/>
        <w:tabs>
          <w:tab w:leader="none" w:pos="1640"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Conversion of Class B Common Stock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293"/>
        <w:spacing w:after="0" w:line="286" w:lineRule="auto"/>
        <w:tabs>
          <w:tab w:leader="none" w:pos="2417" w:val="left"/>
        </w:tabs>
        <w:numPr>
          <w:ilvl w:val="2"/>
          <w:numId w:val="30"/>
        </w:numPr>
        <w:rPr>
          <w:rFonts w:ascii="Arial" w:cs="Arial" w:eastAsia="Arial" w:hAnsi="Arial"/>
          <w:sz w:val="19"/>
          <w:szCs w:val="19"/>
          <w:color w:val="auto"/>
        </w:rPr>
      </w:pPr>
      <w:r>
        <w:rPr>
          <w:rFonts w:ascii="Arial" w:cs="Arial" w:eastAsia="Arial" w:hAnsi="Arial"/>
          <w:sz w:val="19"/>
          <w:szCs w:val="19"/>
          <w:u w:val="single" w:color="auto"/>
          <w:color w:val="auto"/>
        </w:rPr>
        <w:t>Voluntary Conversion</w:t>
      </w:r>
      <w:r>
        <w:rPr>
          <w:rFonts w:ascii="Arial" w:cs="Arial" w:eastAsia="Arial" w:hAnsi="Arial"/>
          <w:sz w:val="19"/>
          <w:szCs w:val="19"/>
          <w:color w:val="auto"/>
        </w:rPr>
        <w:t xml:space="preserve">. Each one (1) share of Class B Common Stock shall be convertible into one (1) share of Class A Common Stock at the option of the holder thereof at any time upon written notice to the transfer agent of the Corporation;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holder shall be permitted to voluntarily convert such holder’s Class B Common Stock until the earlier to occur of (a) receipt of all regulatory approvals from the Federal Communications Commission and the state public utilities commissions as reasonably determined by the Corporation and as publicly disclosed by the Corporation on the U.S. Securities and Exchange Commission’s Form 8-K (or such successor form);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list of outstanding approvals may be requested in writing from the Corporation by a stockholder and (b) one hundred and eighty</w:t>
      </w:r>
    </w:p>
    <w:p>
      <w:pPr>
        <w:spacing w:after="0" w:line="5" w:lineRule="exact"/>
        <w:rPr>
          <w:rFonts w:ascii="Arial" w:cs="Arial" w:eastAsia="Arial" w:hAnsi="Arial"/>
          <w:sz w:val="19"/>
          <w:szCs w:val="19"/>
          <w:color w:val="auto"/>
        </w:rPr>
      </w:pPr>
    </w:p>
    <w:p>
      <w:pPr>
        <w:ind w:left="1180" w:hanging="524"/>
        <w:spacing w:after="0"/>
        <w:tabs>
          <w:tab w:leader="none" w:pos="11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days after the date of the pricing of the Corporation’s IPO.</w:t>
      </w:r>
    </w:p>
    <w:p>
      <w:pPr>
        <w:spacing w:after="0" w:line="201" w:lineRule="exact"/>
        <w:rPr>
          <w:rFonts w:ascii="Arial" w:cs="Arial" w:eastAsia="Arial" w:hAnsi="Arial"/>
          <w:sz w:val="22"/>
          <w:szCs w:val="22"/>
          <w:color w:val="auto"/>
        </w:rPr>
      </w:pPr>
    </w:p>
    <w:p>
      <w:pPr>
        <w:ind w:left="660" w:firstLine="1293"/>
        <w:spacing w:after="0" w:line="276" w:lineRule="auto"/>
        <w:tabs>
          <w:tab w:leader="none" w:pos="2524" w:val="left"/>
        </w:tabs>
        <w:numPr>
          <w:ilvl w:val="2"/>
          <w:numId w:val="31"/>
        </w:numPr>
        <w:rPr>
          <w:rFonts w:ascii="Arial" w:cs="Arial" w:eastAsia="Arial" w:hAnsi="Arial"/>
          <w:sz w:val="22"/>
          <w:szCs w:val="22"/>
          <w:color w:val="auto"/>
        </w:rPr>
      </w:pPr>
      <w:r>
        <w:rPr>
          <w:rFonts w:ascii="Arial" w:cs="Arial" w:eastAsia="Arial" w:hAnsi="Arial"/>
          <w:sz w:val="22"/>
          <w:szCs w:val="22"/>
          <w:u w:val="single" w:color="auto"/>
          <w:color w:val="auto"/>
        </w:rPr>
        <w:t>Automatic Conversion</w:t>
      </w:r>
      <w:r>
        <w:rPr>
          <w:rFonts w:ascii="Arial" w:cs="Arial" w:eastAsia="Arial" w:hAnsi="Arial"/>
          <w:sz w:val="22"/>
          <w:szCs w:val="22"/>
          <w:color w:val="auto"/>
        </w:rPr>
        <w:t>. Shares of Class B Common Stock shall automatically, without any further action, convert into an equal number of shares of Class A Common Stock upon the earlier of:</w:t>
      </w:r>
    </w:p>
    <w:p>
      <w:pPr>
        <w:spacing w:after="0" w:line="160" w:lineRule="exact"/>
        <w:rPr>
          <w:rFonts w:ascii="Arial" w:cs="Arial" w:eastAsia="Arial" w:hAnsi="Arial"/>
          <w:sz w:val="22"/>
          <w:szCs w:val="22"/>
          <w:color w:val="auto"/>
        </w:rPr>
      </w:pPr>
    </w:p>
    <w:p>
      <w:pPr>
        <w:jc w:val="both"/>
        <w:ind w:left="660" w:firstLine="1941"/>
        <w:spacing w:after="0" w:line="307" w:lineRule="auto"/>
        <w:tabs>
          <w:tab w:leader="none" w:pos="3002" w:val="left"/>
        </w:tabs>
        <w:numPr>
          <w:ilvl w:val="3"/>
          <w:numId w:val="31"/>
        </w:numPr>
        <w:rPr>
          <w:rFonts w:ascii="Arial" w:cs="Arial" w:eastAsia="Arial" w:hAnsi="Arial"/>
          <w:sz w:val="19"/>
          <w:szCs w:val="19"/>
          <w:color w:val="auto"/>
        </w:rPr>
      </w:pPr>
      <w:r>
        <w:rPr>
          <w:rFonts w:ascii="Arial" w:cs="Arial" w:eastAsia="Arial" w:hAnsi="Arial"/>
          <w:sz w:val="19"/>
          <w:szCs w:val="19"/>
          <w:color w:val="auto"/>
        </w:rPr>
        <w:t xml:space="preserve">a Transfer of such share;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automatic conversion shall occur in the case of a Transfer by a Class B Stockholder for tax or estate planning purposes, to any of the persons or entities listed in clauses (A) through (E) below (each, a “</w:t>
      </w:r>
      <w:r>
        <w:rPr>
          <w:rFonts w:ascii="Arial" w:cs="Arial" w:eastAsia="Arial" w:hAnsi="Arial"/>
          <w:sz w:val="19"/>
          <w:szCs w:val="19"/>
          <w:b w:val="1"/>
          <w:bCs w:val="1"/>
          <w:color w:val="auto"/>
        </w:rPr>
        <w:t>Permitted Transferee</w:t>
      </w:r>
      <w:r>
        <w:rPr>
          <w:rFonts w:ascii="Arial" w:cs="Arial" w:eastAsia="Arial" w:hAnsi="Arial"/>
          <w:sz w:val="19"/>
          <w:szCs w:val="19"/>
          <w:color w:val="auto"/>
        </w:rPr>
        <w:t>”) and from any such Permitted Transferee back to such Class B Stockholder and/or any other Permitted Transferee established by or for such Class B Stockholder:</w:t>
      </w:r>
    </w:p>
    <w:p>
      <w:pPr>
        <w:spacing w:after="0" w:line="138" w:lineRule="exact"/>
        <w:rPr>
          <w:rFonts w:ascii="Arial" w:cs="Arial" w:eastAsia="Arial" w:hAnsi="Arial"/>
          <w:sz w:val="19"/>
          <w:szCs w:val="19"/>
          <w:color w:val="auto"/>
        </w:rPr>
      </w:pPr>
    </w:p>
    <w:p>
      <w:pPr>
        <w:jc w:val="both"/>
        <w:ind w:left="660" w:firstLine="2589"/>
        <w:spacing w:after="0" w:line="320" w:lineRule="auto"/>
        <w:tabs>
          <w:tab w:leader="none" w:pos="3773" w:val="left"/>
        </w:tabs>
        <w:numPr>
          <w:ilvl w:val="4"/>
          <w:numId w:val="31"/>
        </w:numPr>
        <w:rPr>
          <w:rFonts w:ascii="Arial" w:cs="Arial" w:eastAsia="Arial" w:hAnsi="Arial"/>
          <w:sz w:val="19"/>
          <w:szCs w:val="19"/>
          <w:color w:val="auto"/>
        </w:rPr>
      </w:pPr>
      <w:r>
        <w:rPr>
          <w:rFonts w:ascii="Arial" w:cs="Arial" w:eastAsia="Arial" w:hAnsi="Arial"/>
          <w:sz w:val="19"/>
          <w:szCs w:val="19"/>
          <w:color w:val="auto"/>
        </w:rPr>
        <w:t xml:space="preserve">a family member of such Class B Stockholder, which shall include with respect to any natural person who is a Class B Stockholder, the spouse, domestic partner, parents, grandparents, lineal descendants, siblings and lineal descendants of siblings of such Class B Stockholder;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lineal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75"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22"/>
          <w:szCs w:val="22"/>
          <w:color w:val="auto"/>
        </w:rPr>
        <w:t>descendants shall include adopted persons, but only so long as they are adopted during minority;</w:t>
      </w:r>
    </w:p>
    <w:p>
      <w:pPr>
        <w:spacing w:after="0" w:line="220" w:lineRule="exact"/>
        <w:rPr>
          <w:sz w:val="20"/>
          <w:szCs w:val="20"/>
          <w:color w:val="auto"/>
        </w:rPr>
      </w:pPr>
    </w:p>
    <w:p>
      <w:pPr>
        <w:jc w:val="both"/>
        <w:ind w:left="660" w:firstLine="2589"/>
        <w:spacing w:after="0" w:line="292" w:lineRule="auto"/>
        <w:tabs>
          <w:tab w:leader="none" w:pos="3816"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a trust for the benefit of such Class B Stockholder or persons other than the Class B Stockholder so long as the Class B Stockholder and/or family members of such Class B Stockholder have sole dispositive power and exclusive Voting Control with respect to the shares of Class B Common Stock held by such trust;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Transfer does not involve any payment of cash, securities, property or other consideration (other than an interest in such trust) to the Class B Stockholder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in the event such Class B Stockholder and/or family members of such Class B Stockholder no longer have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155" w:lineRule="exact"/>
        <w:rPr>
          <w:rFonts w:ascii="Arial" w:cs="Arial" w:eastAsia="Arial" w:hAnsi="Arial"/>
          <w:sz w:val="19"/>
          <w:szCs w:val="19"/>
          <w:color w:val="auto"/>
        </w:rPr>
      </w:pPr>
    </w:p>
    <w:p>
      <w:pPr>
        <w:jc w:val="both"/>
        <w:ind w:left="660" w:firstLine="2589"/>
        <w:spacing w:after="0" w:line="262" w:lineRule="auto"/>
        <w:tabs>
          <w:tab w:leader="none" w:pos="3829"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a trust under the terms of which such Class B Stockholder has retained a “qualified interest” within the meaning of §2702(b)(1) of the Internal Revenue Code (or successor provision) and/or a reversionary interest so long as the Class B Stockholder has sole dispositive power and exclusive Voting Control with respect to the shares of Class B Common Stock held by such trust;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event the Class B Stockholder no longer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180" w:lineRule="exact"/>
        <w:rPr>
          <w:rFonts w:ascii="Arial" w:cs="Arial" w:eastAsia="Arial" w:hAnsi="Arial"/>
          <w:sz w:val="21"/>
          <w:szCs w:val="21"/>
          <w:color w:val="auto"/>
        </w:rPr>
      </w:pPr>
    </w:p>
    <w:p>
      <w:pPr>
        <w:jc w:val="both"/>
        <w:ind w:left="660" w:firstLine="2589"/>
        <w:spacing w:after="0" w:line="260" w:lineRule="auto"/>
        <w:tabs>
          <w:tab w:leader="none" w:pos="37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an Individual Retirement Account, as defined in Section 408(a) of the Internal Revenue Code (or successor provision), or a pension, profit sharing, stock bonus or other type of plan or trust of which such Class B Stockholder is a participant or beneficiary and which satisfies the requirements for qualification under Section 401 of the Internal Revenue Code;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each case such Class B Stockholder has sole dispositive power and exclusive Voting Control with respect to the shares of Class B Common Stock held in such account, plan or trust,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in the event the Class B Stockholder no longer has sole dispositive power and exclusive Voting Control with</w:t>
      </w:r>
      <w:r>
        <w:rPr>
          <w:rFonts w:ascii="Arial" w:cs="Arial" w:eastAsia="Arial" w:hAnsi="Arial"/>
          <w:sz w:val="21"/>
          <w:szCs w:val="21"/>
          <w:i w:val="1"/>
          <w:iCs w:val="1"/>
          <w:color w:val="auto"/>
        </w:rPr>
        <w:t xml:space="preserve"> </w:t>
      </w:r>
      <w:r>
        <w:rPr>
          <w:rFonts w:ascii="Arial" w:cs="Arial" w:eastAsia="Arial" w:hAnsi="Arial"/>
          <w:sz w:val="21"/>
          <w:szCs w:val="21"/>
          <w:color w:val="auto"/>
        </w:rPr>
        <w:t>respect to the shares of Class B Common Stock held by such account, plan or trust, each share of Class B Common Stock then held by such trust shall automatically convert into one (1) fully paid and nonassessable share of Class A Common Stock;</w:t>
      </w:r>
    </w:p>
    <w:p>
      <w:pPr>
        <w:spacing w:after="0" w:line="184" w:lineRule="exact"/>
        <w:rPr>
          <w:rFonts w:ascii="Arial" w:cs="Arial" w:eastAsia="Arial" w:hAnsi="Arial"/>
          <w:sz w:val="21"/>
          <w:szCs w:val="21"/>
          <w:color w:val="auto"/>
        </w:rPr>
      </w:pPr>
    </w:p>
    <w:p>
      <w:pPr>
        <w:jc w:val="both"/>
        <w:ind w:left="660" w:firstLine="2589"/>
        <w:spacing w:after="0" w:line="262" w:lineRule="auto"/>
        <w:tabs>
          <w:tab w:leader="none" w:pos="3979"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a corporation, partnership or limited liability company in which such Class B Stockholder directly, or indirectly through one or more Permitted Transferees, owns shares, partnership interests or membership interests, as applicable, with sufficient Voting Control in the corporation, partnership or limited liability company, as applicable, or otherwise has legally enforceable rights, such that the Class B Stockholder and/or family members of such Class B Stockholder retain sole dispositive power and exclusive Voting Control with respect to the shares of Class B Common Stock held by such corporation, partnership or limited liability company;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event the Class B Stockholder and/or family members 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75" w:right="239" w:bottom="1440" w:gutter="0" w:footer="0" w:header="0"/>
        </w:sectPr>
      </w:pPr>
    </w:p>
    <w:bookmarkStart w:id="61" w:name="page62"/>
    <w:bookmarkEnd w:id="61"/>
    <w:p>
      <w:pPr>
        <w:jc w:val="both"/>
        <w:ind w:left="660"/>
        <w:spacing w:after="0" w:line="294" w:lineRule="auto"/>
        <w:rPr>
          <w:sz w:val="20"/>
          <w:szCs w:val="20"/>
          <w:color w:val="auto"/>
        </w:rPr>
      </w:pPr>
      <w:r>
        <w:rPr>
          <w:rFonts w:ascii="Arial" w:cs="Arial" w:eastAsia="Arial" w:hAnsi="Arial"/>
          <w:sz w:val="19"/>
          <w:szCs w:val="19"/>
          <w:color w:val="auto"/>
        </w:rPr>
        <w:t>such Class B Stockholder no longer own sufficient shares, partnership interests or membership interests, as applicable, or no longer has sufficient legally enforceable rights to ensure the Class B Stockholder and/or family members of such Class B Stockholder retain sole dispositive power and exclusive Voting Control with respect to the shares of Class B Common Stock held by such corporation, partnership or limited liability company, as applicable, each share of Class B Common Stock then held by such corporation, partnership or limited liability company, as applicable, shall automatically convert into one (1) fully paid and nonassessable share of Class A Common Stock; and</w:t>
      </w:r>
    </w:p>
    <w:p>
      <w:pPr>
        <w:spacing w:after="0" w:line="150" w:lineRule="exact"/>
        <w:rPr>
          <w:sz w:val="20"/>
          <w:szCs w:val="20"/>
          <w:color w:val="auto"/>
        </w:rPr>
      </w:pPr>
    </w:p>
    <w:p>
      <w:pPr>
        <w:jc w:val="both"/>
        <w:ind w:left="660" w:firstLine="1941"/>
        <w:spacing w:after="0" w:line="297" w:lineRule="auto"/>
        <w:tabs>
          <w:tab w:leader="none" w:pos="3049"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the date specified by a written notice and certification request of the Corporation to the holder of such share of Class B Common Stock requesting a certification, in a form satisfactory to the Corporation, verifying such holder’s ownership of Class B Common Stock and confirming that a conversion to Class A Common Stock has not occurred, which date shall not be less than sixty (60) calendar days after the date of such notice and certification request;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 such automatic conversion pursuant to this subsection (ii) shall occur in the case of a Class B Stockholder</w:t>
      </w:r>
      <w:r>
        <w:rPr>
          <w:rFonts w:ascii="Arial" w:cs="Arial" w:eastAsia="Arial" w:hAnsi="Arial"/>
          <w:sz w:val="19"/>
          <w:szCs w:val="19"/>
          <w:i w:val="1"/>
          <w:iCs w:val="1"/>
          <w:color w:val="auto"/>
        </w:rPr>
        <w:t xml:space="preserve"> </w:t>
      </w:r>
      <w:r>
        <w:rPr>
          <w:rFonts w:ascii="Arial" w:cs="Arial" w:eastAsia="Arial" w:hAnsi="Arial"/>
          <w:sz w:val="19"/>
          <w:szCs w:val="19"/>
          <w:color w:val="auto"/>
        </w:rPr>
        <w:t>or its Permitted Transferees that furnishes a certification satisfactory to the Corporation prior to the specified date.</w:t>
      </w:r>
    </w:p>
    <w:p>
      <w:pPr>
        <w:spacing w:after="0" w:line="146" w:lineRule="exact"/>
        <w:rPr>
          <w:rFonts w:ascii="Arial" w:cs="Arial" w:eastAsia="Arial" w:hAnsi="Arial"/>
          <w:sz w:val="19"/>
          <w:szCs w:val="19"/>
          <w:color w:val="auto"/>
        </w:rPr>
      </w:pPr>
    </w:p>
    <w:p>
      <w:pPr>
        <w:ind w:left="2380" w:hanging="427"/>
        <w:spacing w:after="0"/>
        <w:tabs>
          <w:tab w:leader="none" w:pos="238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Conversion Upon Death or Incapacity of a Class B Stockholder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1941"/>
        <w:spacing w:after="0" w:line="254" w:lineRule="auto"/>
        <w:tabs>
          <w:tab w:leader="none" w:pos="3002" w:val="left"/>
        </w:tabs>
        <w:numPr>
          <w:ilvl w:val="1"/>
          <w:numId w:val="34"/>
        </w:numPr>
        <w:rPr>
          <w:rFonts w:ascii="Arial" w:cs="Arial" w:eastAsia="Arial" w:hAnsi="Arial"/>
          <w:sz w:val="22"/>
          <w:szCs w:val="22"/>
          <w:color w:val="auto"/>
        </w:rPr>
      </w:pPr>
      <w:r>
        <w:rPr>
          <w:rFonts w:ascii="Arial" w:cs="Arial" w:eastAsia="Arial" w:hAnsi="Arial"/>
          <w:sz w:val="22"/>
          <w:szCs w:val="22"/>
          <w:color w:val="auto"/>
        </w:rPr>
        <w:t>Each share of Class B Common Stock held of record by a Class B Stockholder, other than a Key Holder, who is a natural person, or by such Class B Stockholder’s Permitted Transferees, shall automatically, without any further action, convert into one (1) fully paid and nonassessable share of Class A Common Stock upon the death or Incapacity of such Class B Stockholder.</w:t>
      </w:r>
    </w:p>
    <w:p>
      <w:pPr>
        <w:spacing w:after="0" w:line="185" w:lineRule="exact"/>
        <w:rPr>
          <w:sz w:val="20"/>
          <w:szCs w:val="20"/>
          <w:color w:val="auto"/>
        </w:rPr>
      </w:pPr>
    </w:p>
    <w:p>
      <w:pPr>
        <w:jc w:val="both"/>
        <w:ind w:left="660" w:firstLine="1941"/>
        <w:spacing w:after="0" w:line="266" w:lineRule="auto"/>
        <w:tabs>
          <w:tab w:leader="none" w:pos="3116" w:val="left"/>
        </w:tabs>
        <w:numPr>
          <w:ilvl w:val="1"/>
          <w:numId w:val="35"/>
        </w:numPr>
        <w:rPr>
          <w:rFonts w:ascii="Arial" w:cs="Arial" w:eastAsia="Arial" w:hAnsi="Arial"/>
          <w:sz w:val="21"/>
          <w:szCs w:val="21"/>
          <w:color w:val="auto"/>
        </w:rPr>
      </w:pPr>
      <w:r>
        <w:rPr>
          <w:rFonts w:ascii="Arial" w:cs="Arial" w:eastAsia="Arial" w:hAnsi="Arial"/>
          <w:sz w:val="21"/>
          <w:szCs w:val="21"/>
          <w:color w:val="auto"/>
        </w:rPr>
        <w:t>Each share of Class B Common Stock held of record by a Key Holder, or by a Key Holders’ Permitted Transferees, upon the death or Incapacity of such Key Holder, shall automatically convert into one (1) fully paid and nonassessable share of Class A Common Stock upon that date which is the earlier of: (a) nine (9) months after the date of death or Incapacity of the Key Holder and (b) the date upon which the Designated Proxy Holder ceases to hold exclusive Voting Control over such shares of Class B Common Stock.</w:t>
      </w:r>
    </w:p>
    <w:p>
      <w:pPr>
        <w:spacing w:after="0" w:line="174" w:lineRule="exact"/>
        <w:rPr>
          <w:rFonts w:ascii="Arial" w:cs="Arial" w:eastAsia="Arial" w:hAnsi="Arial"/>
          <w:sz w:val="21"/>
          <w:szCs w:val="21"/>
          <w:color w:val="auto"/>
        </w:rPr>
      </w:pPr>
    </w:p>
    <w:p>
      <w:pPr>
        <w:jc w:val="both"/>
        <w:ind w:left="660" w:firstLine="1293"/>
        <w:spacing w:after="0" w:line="254" w:lineRule="auto"/>
        <w:tabs>
          <w:tab w:leader="none" w:pos="2524"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Automatic Conversion of all Outstanding Class B Common Stock</w:t>
      </w:r>
      <w:r>
        <w:rPr>
          <w:rFonts w:ascii="Arial" w:cs="Arial" w:eastAsia="Arial" w:hAnsi="Arial"/>
          <w:sz w:val="22"/>
          <w:szCs w:val="22"/>
          <w:color w:val="auto"/>
        </w:rPr>
        <w:t>. Each one (1) share of Class B Common Stock shall automatically, without any further action, convert into one (1) share of Class A Common Stock upon the date specified by affirmative vote of the holders of at least sixty-six and two-thirds percent (66-2/3%) of the outstanding shares of Class B Common Stock voting as a single class.</w:t>
      </w:r>
    </w:p>
    <w:p>
      <w:pPr>
        <w:spacing w:after="0" w:line="185" w:lineRule="exact"/>
        <w:rPr>
          <w:rFonts w:ascii="Arial" w:cs="Arial" w:eastAsia="Arial" w:hAnsi="Arial"/>
          <w:sz w:val="22"/>
          <w:szCs w:val="22"/>
          <w:color w:val="auto"/>
        </w:rPr>
      </w:pPr>
    </w:p>
    <w:p>
      <w:pPr>
        <w:jc w:val="both"/>
        <w:ind w:left="660" w:firstLine="1293"/>
        <w:spacing w:after="0" w:line="297" w:lineRule="auto"/>
        <w:tabs>
          <w:tab w:leader="none" w:pos="237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Final Conversion of Class B Common Stock</w:t>
      </w:r>
      <w:r>
        <w:rPr>
          <w:rFonts w:ascii="Arial" w:cs="Arial" w:eastAsia="Arial" w:hAnsi="Arial"/>
          <w:sz w:val="19"/>
          <w:szCs w:val="19"/>
          <w:color w:val="auto"/>
        </w:rPr>
        <w:t>. Upon the Final Conversion Date, as certified by the Board of Directors, each share of Class B Common Stock shall automatically, without any further action, convert into one (1) fully paid and nonassessable share of Class A Common Stock. In making such determination, the Board of Directors shall be entitled to conclusively rely on reports or schedules disclosing ownership of Common Stock filed by or on behalf of the Key Holders, or any of them, pursuant to Section 13 or Section 16 (or such successor provision) of the Exchange Act. Following such conversion, the reissuance of all shares of Class B Common Stock shall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75" w:right="239" w:bottom="1440" w:gutter="0" w:footer="0" w:header="0"/>
        </w:sectPr>
      </w:pPr>
    </w:p>
    <w:bookmarkStart w:id="62" w:name="page63"/>
    <w:bookmarkEnd w:id="62"/>
    <w:p>
      <w:pPr>
        <w:jc w:val="both"/>
        <w:ind w:left="660"/>
        <w:spacing w:after="0" w:line="312" w:lineRule="auto"/>
        <w:rPr>
          <w:sz w:val="20"/>
          <w:szCs w:val="20"/>
          <w:color w:val="auto"/>
        </w:rPr>
      </w:pPr>
      <w:r>
        <w:rPr>
          <w:rFonts w:ascii="Arial" w:cs="Arial" w:eastAsia="Arial" w:hAnsi="Arial"/>
          <w:sz w:val="19"/>
          <w:szCs w:val="19"/>
          <w:color w:val="auto"/>
        </w:rPr>
        <w:t>be prohibited, and such shares shall be retired and cancelled in accordance with Section 243 of the DGCL and the filing by the Secretary of State of the State of Delaware required thereby, and upon such retirement and cancellation, all references to Class B Common Stock in this Second Amended and Restated Certificate of Incorporation shall be eliminated.</w:t>
      </w:r>
    </w:p>
    <w:p>
      <w:pPr>
        <w:spacing w:after="0" w:line="134" w:lineRule="exact"/>
        <w:rPr>
          <w:sz w:val="20"/>
          <w:szCs w:val="20"/>
          <w:color w:val="auto"/>
        </w:rPr>
      </w:pPr>
    </w:p>
    <w:p>
      <w:pPr>
        <w:jc w:val="both"/>
        <w:ind w:left="660" w:firstLine="1293"/>
        <w:spacing w:after="0" w:line="248" w:lineRule="auto"/>
        <w:tabs>
          <w:tab w:leader="none" w:pos="2393"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Procedures</w:t>
      </w:r>
      <w:r>
        <w:rPr>
          <w:rFonts w:ascii="Arial" w:cs="Arial" w:eastAsia="Arial" w:hAnsi="Arial"/>
          <w:sz w:val="22"/>
          <w:szCs w:val="22"/>
          <w:color w:val="auto"/>
        </w:rPr>
        <w:t>. The Corporation may, from time to time, establish such policies and procedures relating to the conversion of Class B 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Board of the Corporation that a Transfer results in a conversion to Class A Common Stock shall be conclusive and binding.</w:t>
      </w:r>
    </w:p>
    <w:p>
      <w:pPr>
        <w:spacing w:after="0" w:line="191" w:lineRule="exact"/>
        <w:rPr>
          <w:rFonts w:ascii="Arial" w:cs="Arial" w:eastAsia="Arial" w:hAnsi="Arial"/>
          <w:sz w:val="22"/>
          <w:szCs w:val="22"/>
          <w:color w:val="auto"/>
        </w:rPr>
      </w:pPr>
    </w:p>
    <w:p>
      <w:pPr>
        <w:jc w:val="both"/>
        <w:ind w:left="660" w:firstLine="1293"/>
        <w:spacing w:after="0" w:line="292" w:lineRule="auto"/>
        <w:tabs>
          <w:tab w:leader="none" w:pos="2389"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Immediate Effect</w:t>
      </w:r>
      <w:r>
        <w:rPr>
          <w:rFonts w:ascii="Arial" w:cs="Arial" w:eastAsia="Arial" w:hAnsi="Arial"/>
          <w:sz w:val="19"/>
          <w:szCs w:val="19"/>
          <w:color w:val="auto"/>
        </w:rPr>
        <w:t xml:space="preserve">. In the event of a conversion of shares of Class B Common Stock to shares of Class A Common Stock pursuant to this </w:t>
      </w:r>
      <w:r>
        <w:rPr>
          <w:rFonts w:ascii="Arial" w:cs="Arial" w:eastAsia="Arial" w:hAnsi="Arial"/>
          <w:sz w:val="19"/>
          <w:szCs w:val="19"/>
          <w:u w:val="single" w:color="auto"/>
          <w:color w:val="auto"/>
        </w:rPr>
        <w:t>Section E.3</w:t>
      </w:r>
      <w:r>
        <w:rPr>
          <w:rFonts w:ascii="Arial" w:cs="Arial" w:eastAsia="Arial" w:hAnsi="Arial"/>
          <w:sz w:val="19"/>
          <w:szCs w:val="19"/>
          <w:color w:val="auto"/>
        </w:rPr>
        <w:t xml:space="preserve"> or upon the Final Conversion Date, such conversion(s) shall be deemed to have been made at the time that the Transfer of shares occurred or immediately upon the Final Conversion Date, as applicable. 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 Shares of Class B Common Stock that are converted into shares of Class A Common Stock as provided in this </w:t>
      </w:r>
      <w:r>
        <w:rPr>
          <w:rFonts w:ascii="Arial" w:cs="Arial" w:eastAsia="Arial" w:hAnsi="Arial"/>
          <w:sz w:val="19"/>
          <w:szCs w:val="19"/>
          <w:u w:val="single" w:color="auto"/>
          <w:color w:val="auto"/>
        </w:rPr>
        <w:t>Section E.3</w:t>
      </w:r>
      <w:r>
        <w:rPr>
          <w:rFonts w:ascii="Arial" w:cs="Arial" w:eastAsia="Arial" w:hAnsi="Arial"/>
          <w:sz w:val="19"/>
          <w:szCs w:val="19"/>
          <w:color w:val="auto"/>
        </w:rPr>
        <w:t xml:space="preserve"> shall be retired and may not be reissued.</w:t>
      </w:r>
    </w:p>
    <w:p>
      <w:pPr>
        <w:spacing w:after="0" w:line="155" w:lineRule="exact"/>
        <w:rPr>
          <w:rFonts w:ascii="Arial" w:cs="Arial" w:eastAsia="Arial" w:hAnsi="Arial"/>
          <w:sz w:val="19"/>
          <w:szCs w:val="19"/>
          <w:color w:val="auto"/>
        </w:rPr>
      </w:pPr>
    </w:p>
    <w:p>
      <w:pPr>
        <w:jc w:val="both"/>
        <w:ind w:left="660" w:firstLine="1293"/>
        <w:spacing w:after="0" w:line="307" w:lineRule="auto"/>
        <w:tabs>
          <w:tab w:leader="none" w:pos="2402"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Reservation of Stock</w:t>
      </w:r>
      <w:r>
        <w:rPr>
          <w:rFonts w:ascii="Arial" w:cs="Arial" w:eastAsia="Arial" w:hAnsi="Arial"/>
          <w:sz w:val="19"/>
          <w:szCs w:val="19"/>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The following terms, where capitalized in this Second Amended and Restated Certificate of Incorporation, shall have the meanings ascribed to them in this </w:t>
      </w: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 Share Issuance</w:t>
      </w:r>
      <w:r>
        <w:rPr>
          <w:rFonts w:ascii="Arial" w:cs="Arial" w:eastAsia="Arial" w:hAnsi="Arial"/>
          <w:sz w:val="22"/>
          <w:szCs w:val="22"/>
          <w:color w:val="auto"/>
        </w:rPr>
        <w:t>” means the issuance by the Corporation, in a transaction or series of related transactions, of voting securities representing more than two percent (2%) of the total voting power (assuming Class A Common Stock and Class B Common Stock each have one (1) vote per share) of the Corporation before such issuance to any person or persons acting as a group as contemplated in Rule 13d-5(b) under the Exchange Act (or any successor provision) that immediately prior to such transaction or series of related transactions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75" w:right="239" w:bottom="1440" w:gutter="0" w:footer="0" w:header="0"/>
        </w:sectPr>
      </w:pPr>
    </w:p>
    <w:bookmarkStart w:id="63" w:name="page64"/>
    <w:bookmarkEnd w:id="63"/>
    <w:p>
      <w:pPr>
        <w:jc w:val="both"/>
        <w:spacing w:after="0" w:line="265" w:lineRule="auto"/>
        <w:rPr>
          <w:sz w:val="20"/>
          <w:szCs w:val="20"/>
          <w:color w:val="auto"/>
        </w:rPr>
      </w:pPr>
      <w:r>
        <w:rPr>
          <w:rFonts w:ascii="Arial" w:cs="Arial" w:eastAsia="Arial" w:hAnsi="Arial"/>
          <w:sz w:val="21"/>
          <w:szCs w:val="21"/>
          <w:color w:val="auto"/>
        </w:rPr>
        <w:t>held fifty percent (50%) or less of the total voting power of the Corporation (assuming Class A Common Stock and Class B Common Stock each have one (1) vote per share), such that, immediately following such transaction or series of related transactions, such person or group of persons would hold more than fifty percent (50%) of the total voting power of the Corporation (assuming Class A Common Stock and Class B Common Stock each have one (1) vote per share).</w:t>
      </w:r>
    </w:p>
    <w:p>
      <w:pPr>
        <w:spacing w:after="0" w:line="170" w:lineRule="exact"/>
        <w:rPr>
          <w:sz w:val="20"/>
          <w:szCs w:val="20"/>
          <w:color w:val="auto"/>
        </w:rPr>
      </w:pPr>
    </w:p>
    <w:p>
      <w:pPr>
        <w:jc w:val="both"/>
        <w:ind w:firstLine="656"/>
        <w:spacing w:after="0" w:line="283" w:lineRule="auto"/>
        <w:tabs>
          <w:tab w:leader="none" w:pos="1085" w:val="left"/>
        </w:tabs>
        <w:numPr>
          <w:ilvl w:val="1"/>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 Transaction</w:t>
      </w:r>
      <w:r>
        <w:rPr>
          <w:rFonts w:ascii="Arial" w:cs="Arial" w:eastAsia="Arial" w:hAnsi="Arial"/>
          <w:sz w:val="19"/>
          <w:szCs w:val="19"/>
          <w:color w:val="auto"/>
        </w:rPr>
        <w:t xml:space="preserve">” means (i) the sale, lease, exchange, or other disposition (other than liens and encumbrances created in the ordinary course of business, including liens or encumbrances to secure indebtedness for borrowed money that are approved by the Corporation’s Board of Directors,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any sale, lease, exchange or other disposition of property or assets exclusively between or among the Corporation and any direct or indirect subsidiary or subsidiaries of the Corporation shall not be deemed a “</w:t>
      </w:r>
      <w:r>
        <w:rPr>
          <w:rFonts w:ascii="Arial" w:cs="Arial" w:eastAsia="Arial" w:hAnsi="Arial"/>
          <w:sz w:val="19"/>
          <w:szCs w:val="19"/>
          <w:b w:val="1"/>
          <w:bCs w:val="1"/>
          <w:color w:val="auto"/>
        </w:rPr>
        <w:t>Change of Control Transaction</w:t>
      </w:r>
      <w:r>
        <w:rPr>
          <w:rFonts w:ascii="Arial" w:cs="Arial" w:eastAsia="Arial" w:hAnsi="Arial"/>
          <w:sz w:val="19"/>
          <w:szCs w:val="19"/>
          <w:color w:val="auto"/>
        </w:rPr>
        <w:t xml:space="preserve">”;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voting securities of the Corporation </w:t>
      </w:r>
      <w:r>
        <w:rPr>
          <w:rFonts w:ascii="Arial" w:cs="Arial" w:eastAsia="Arial" w:hAnsi="Arial"/>
          <w:sz w:val="19"/>
          <w:szCs w:val="19"/>
          <w:i w:val="1"/>
          <w:iCs w:val="1"/>
          <w:color w:val="auto"/>
        </w:rPr>
        <w:t>and</w:t>
      </w:r>
      <w:r>
        <w:rPr>
          <w:rFonts w:ascii="Arial" w:cs="Arial" w:eastAsia="Arial" w:hAnsi="Arial"/>
          <w:sz w:val="19"/>
          <w:szCs w:val="19"/>
          <w:color w:val="auto"/>
        </w:rPr>
        <w:t xml:space="preserve"> 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immediately following the merger, consolidation, business combination, or other similar transaction in substantially the same proportions (vis-a-vis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w:t>
      </w:r>
      <w:r>
        <w:rPr>
          <w:rFonts w:ascii="Arial" w:cs="Arial" w:eastAsia="Arial" w:hAnsi="Arial"/>
          <w:sz w:val="19"/>
          <w:szCs w:val="19"/>
          <w:i w:val="1"/>
          <w:iCs w:val="1"/>
          <w:color w:val="auto"/>
        </w:rPr>
        <w:t>and</w:t>
      </w:r>
      <w:r>
        <w:rPr>
          <w:rFonts w:ascii="Arial" w:cs="Arial" w:eastAsia="Arial" w:hAnsi="Arial"/>
          <w:sz w:val="19"/>
          <w:szCs w:val="19"/>
          <w:color w:val="auto"/>
        </w:rPr>
        <w:t xml:space="preserve"> 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 the Corporation, the surviving entity or its parent immediately following the recapitalization, liquidation, dissolution or other similar transaction in substantially the same proportions (vis-a-vis each other) as such stockholders owned the voting securities of the Corporation immediately prior to the transaction; and</w:t>
      </w:r>
    </w:p>
    <w:p>
      <w:pPr>
        <w:spacing w:after="0" w:line="10" w:lineRule="exact"/>
        <w:rPr>
          <w:rFonts w:ascii="Arial" w:cs="Arial" w:eastAsia="Arial" w:hAnsi="Arial"/>
          <w:sz w:val="19"/>
          <w:szCs w:val="19"/>
          <w:color w:val="auto"/>
        </w:rPr>
      </w:pPr>
    </w:p>
    <w:p>
      <w:pPr>
        <w:ind w:left="380" w:hanging="372"/>
        <w:spacing w:after="0"/>
        <w:tabs>
          <w:tab w:leader="none" w:pos="3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any Change of Control Share Issuance.</w:t>
      </w:r>
    </w:p>
    <w:p>
      <w:pPr>
        <w:spacing w:after="0" w:line="196" w:lineRule="exact"/>
        <w:rPr>
          <w:sz w:val="20"/>
          <w:szCs w:val="20"/>
          <w:color w:val="auto"/>
        </w:rPr>
      </w:pPr>
    </w:p>
    <w:p>
      <w:pPr>
        <w:ind w:left="980" w:hanging="324"/>
        <w:spacing w:after="0"/>
        <w:tabs>
          <w:tab w:leader="none" w:pos="980" w:val="left"/>
        </w:tabs>
        <w:numPr>
          <w:ilvl w:val="1"/>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B Stockholder</w:t>
      </w:r>
      <w:r>
        <w:rPr>
          <w:rFonts w:ascii="Arial" w:cs="Arial" w:eastAsia="Arial" w:hAnsi="Arial"/>
          <w:sz w:val="19"/>
          <w:szCs w:val="19"/>
          <w:color w:val="auto"/>
        </w:rPr>
        <w:t>” means (i) the registered holder of a share of Class B Common Stock at the Effective Time and</w:t>
      </w:r>
    </w:p>
    <w:p>
      <w:pPr>
        <w:spacing w:after="0" w:line="62" w:lineRule="exact"/>
        <w:rPr>
          <w:rFonts w:ascii="Arial" w:cs="Arial" w:eastAsia="Arial" w:hAnsi="Arial"/>
          <w:sz w:val="19"/>
          <w:szCs w:val="19"/>
          <w:color w:val="auto"/>
        </w:rPr>
      </w:pPr>
    </w:p>
    <w:p>
      <w:pPr>
        <w:ind w:firstLine="8"/>
        <w:spacing w:after="0" w:line="259" w:lineRule="auto"/>
        <w:tabs>
          <w:tab w:leader="none" w:pos="332"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registered holder of any shares of Class B Common Stock that are originally issued by the Corporation after the Effective Time.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75" w:right="239" w:bottom="1440" w:gutter="0" w:footer="0" w:header="0"/>
        </w:sectPr>
      </w:pPr>
    </w:p>
    <w:bookmarkStart w:id="64" w:name="page65"/>
    <w:bookmarkEnd w:id="64"/>
    <w:p>
      <w:pPr>
        <w:jc w:val="both"/>
        <w:ind w:firstLine="656"/>
        <w:spacing w:after="0" w:line="281" w:lineRule="auto"/>
        <w:tabs>
          <w:tab w:leader="none" w:pos="936" w:val="left"/>
        </w:tabs>
        <w:numPr>
          <w:ilvl w:val="0"/>
          <w:numId w:val="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Proxy Holder</w:t>
      </w:r>
      <w:r>
        <w:rPr>
          <w:rFonts w:ascii="Arial" w:cs="Arial" w:eastAsia="Arial" w:hAnsi="Arial"/>
          <w:sz w:val="21"/>
          <w:szCs w:val="21"/>
          <w:color w:val="auto"/>
        </w:rPr>
        <w:t>” means, with respect to a Key Holder or any trust or other entity receiving or holding a Key Holder’s shares, any natural person designated or approved by such Key Holder to act as such Key Holder’s proxy and attorney-in-fact or, if there is no such designee, the members of the entire Board of Directors acting by majority vote.</w:t>
      </w:r>
    </w:p>
    <w:p>
      <w:pPr>
        <w:spacing w:after="0" w:line="151" w:lineRule="exact"/>
        <w:rPr>
          <w:sz w:val="20"/>
          <w:szCs w:val="20"/>
          <w:color w:val="auto"/>
        </w:rPr>
      </w:pPr>
    </w:p>
    <w:p>
      <w:pPr>
        <w:ind w:left="960" w:hanging="304"/>
        <w:spacing w:after="0"/>
        <w:tabs>
          <w:tab w:leader="none" w:pos="9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Distribution</w:t>
      </w:r>
      <w:r>
        <w:rPr>
          <w:rFonts w:ascii="Arial" w:cs="Arial" w:eastAsia="Arial" w:hAnsi="Arial"/>
          <w:sz w:val="19"/>
          <w:szCs w:val="19"/>
          <w:color w:val="auto"/>
        </w:rPr>
        <w:t>” means (i) any dividend or distribution of cash, property or shares of the Corporation’s capital stock; and</w:t>
      </w:r>
    </w:p>
    <w:p>
      <w:pPr>
        <w:spacing w:after="0" w:line="62" w:lineRule="exact"/>
        <w:rPr>
          <w:rFonts w:ascii="Arial" w:cs="Arial" w:eastAsia="Arial" w:hAnsi="Arial"/>
          <w:sz w:val="19"/>
          <w:szCs w:val="19"/>
          <w:color w:val="auto"/>
        </w:rPr>
      </w:pPr>
    </w:p>
    <w:p>
      <w:pPr>
        <w:ind w:firstLine="8"/>
        <w:spacing w:after="0" w:line="259" w:lineRule="auto"/>
        <w:tabs>
          <w:tab w:leader="none" w:pos="325"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distribution following or in connection with any liquidation, dissolution or winding up of the Corporation, either voluntary or involuntary.</w:t>
      </w:r>
    </w:p>
    <w:p>
      <w:pPr>
        <w:spacing w:after="0" w:line="173" w:lineRule="exact"/>
        <w:rPr>
          <w:sz w:val="20"/>
          <w:szCs w:val="20"/>
          <w:color w:val="auto"/>
        </w:rPr>
      </w:pPr>
    </w:p>
    <w:p>
      <w:pPr>
        <w:ind w:left="660"/>
        <w:spacing w:after="0"/>
        <w:tabs>
          <w:tab w:leader="none" w:pos="92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means the United States Securities Exchange Act of 1934, as amended.</w:t>
      </w:r>
    </w:p>
    <w:p>
      <w:pPr>
        <w:spacing w:after="0" w:line="233" w:lineRule="exact"/>
        <w:rPr>
          <w:sz w:val="20"/>
          <w:szCs w:val="20"/>
          <w:color w:val="auto"/>
        </w:rPr>
      </w:pPr>
    </w:p>
    <w:p>
      <w:pPr>
        <w:jc w:val="both"/>
        <w:ind w:firstLine="656"/>
        <w:spacing w:after="0" w:line="323" w:lineRule="auto"/>
        <w:tabs>
          <w:tab w:leader="none" w:pos="963"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Final Conversion Date</w:t>
      </w:r>
      <w:r>
        <w:rPr>
          <w:rFonts w:ascii="Arial" w:cs="Arial" w:eastAsia="Arial" w:hAnsi="Arial"/>
          <w:sz w:val="19"/>
          <w:szCs w:val="19"/>
          <w:color w:val="auto"/>
        </w:rPr>
        <w:t>” means 5:00 p.m. in New York City, New York on the first Trading Day falling after the date on which the Key Holders beneficially own, directly or indirectly, in the aggregate less than forty percent (40%) of the number of shares of Class B common stock held by the Key Holders immediately following the closing of the Corporation’s IPO.</w:t>
      </w:r>
    </w:p>
    <w:p>
      <w:pPr>
        <w:spacing w:after="0" w:line="117" w:lineRule="exact"/>
        <w:rPr>
          <w:sz w:val="20"/>
          <w:szCs w:val="20"/>
          <w:color w:val="auto"/>
        </w:rPr>
      </w:pPr>
    </w:p>
    <w:p>
      <w:pPr>
        <w:jc w:val="both"/>
        <w:ind w:firstLine="656"/>
        <w:spacing w:after="0" w:line="302" w:lineRule="auto"/>
        <w:tabs>
          <w:tab w:leader="none" w:pos="950" w:val="left"/>
        </w:tabs>
        <w:numPr>
          <w:ilvl w:val="0"/>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Incapacity</w:t>
      </w:r>
      <w:r>
        <w:rPr>
          <w:rFonts w:ascii="Arial" w:cs="Arial" w:eastAsia="Arial" w:hAnsi="Arial"/>
          <w:sz w:val="19"/>
          <w:szCs w:val="19"/>
          <w:color w:val="auto"/>
        </w:rPr>
        <w:t>” shall mean that such holder is incapable of managing his or her financial affairs under 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 Class B Stockholder has suffered an Incapacity, no Incapacity of such holder will be deemed to have occurred unless and until an affirmative ruling regarding such Incapacity has been made by a court of competent jurisdiction.</w:t>
      </w:r>
    </w:p>
    <w:p>
      <w:pPr>
        <w:spacing w:after="0" w:line="138" w:lineRule="exact"/>
        <w:rPr>
          <w:sz w:val="20"/>
          <w:szCs w:val="20"/>
          <w:color w:val="auto"/>
        </w:rPr>
      </w:pPr>
    </w:p>
    <w:p>
      <w:pPr>
        <w:ind w:left="660"/>
        <w:spacing w:after="0"/>
        <w:tabs>
          <w:tab w:leader="none" w:pos="92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IPO</w:t>
      </w:r>
      <w:r>
        <w:rPr>
          <w:rFonts w:ascii="Arial" w:cs="Arial" w:eastAsia="Arial" w:hAnsi="Arial"/>
          <w:sz w:val="19"/>
          <w:szCs w:val="19"/>
          <w:color w:val="auto"/>
        </w:rPr>
        <w:t>” means the initial public offering of Class A common stock.</w:t>
      </w:r>
    </w:p>
    <w:p>
      <w:pPr>
        <w:spacing w:after="0" w:line="233" w:lineRule="exact"/>
        <w:rPr>
          <w:sz w:val="20"/>
          <w:szCs w:val="20"/>
          <w:color w:val="auto"/>
        </w:rPr>
      </w:pPr>
    </w:p>
    <w:p>
      <w:pPr>
        <w:ind w:firstLine="656"/>
        <w:spacing w:after="0" w:line="282" w:lineRule="auto"/>
        <w:tabs>
          <w:tab w:leader="none" w:pos="1058"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Key Holder</w:t>
      </w:r>
      <w:r>
        <w:rPr>
          <w:rFonts w:ascii="Arial" w:cs="Arial" w:eastAsia="Arial" w:hAnsi="Arial"/>
          <w:sz w:val="22"/>
          <w:szCs w:val="22"/>
          <w:color w:val="auto"/>
        </w:rPr>
        <w:t>” means any of David A. Morken, Hazel-Rah LLC and/or any other entity or trust controlled by David A. Morken that holds shares of capital stock of the Corporation.</w:t>
      </w:r>
    </w:p>
    <w:p>
      <w:pPr>
        <w:spacing w:after="0" w:line="148" w:lineRule="exact"/>
        <w:rPr>
          <w:rFonts w:ascii="Arial" w:cs="Arial" w:eastAsia="Arial" w:hAnsi="Arial"/>
          <w:sz w:val="22"/>
          <w:szCs w:val="22"/>
          <w:color w:val="auto"/>
        </w:rPr>
      </w:pPr>
    </w:p>
    <w:p>
      <w:pPr>
        <w:ind w:firstLine="656"/>
        <w:spacing w:after="0" w:line="282" w:lineRule="auto"/>
        <w:tabs>
          <w:tab w:leader="none" w:pos="1077"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Rights</w:t>
      </w:r>
      <w:r>
        <w:rPr>
          <w:rFonts w:ascii="Arial" w:cs="Arial" w:eastAsia="Arial" w:hAnsi="Arial"/>
          <w:sz w:val="22"/>
          <w:szCs w:val="22"/>
          <w:color w:val="auto"/>
        </w:rPr>
        <w:t>” means any option, warrant, restricted stock unit, conversion right or contractual right of any kind to acquire shares of the Corporation’s authorized but unissued capital stock.</w:t>
      </w:r>
    </w:p>
    <w:p>
      <w:pPr>
        <w:spacing w:after="0" w:line="148" w:lineRule="exact"/>
        <w:rPr>
          <w:rFonts w:ascii="Arial" w:cs="Arial" w:eastAsia="Arial" w:hAnsi="Arial"/>
          <w:sz w:val="22"/>
          <w:szCs w:val="22"/>
          <w:color w:val="auto"/>
        </w:rPr>
      </w:pPr>
    </w:p>
    <w:p>
      <w:pPr>
        <w:ind w:left="1060" w:hanging="404"/>
        <w:spacing w:after="0"/>
        <w:tabs>
          <w:tab w:leader="none" w:pos="10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United States Securities Act of 1933, as amended.</w:t>
      </w:r>
    </w:p>
    <w:p>
      <w:pPr>
        <w:spacing w:after="0" w:line="233" w:lineRule="exact"/>
        <w:rPr>
          <w:rFonts w:ascii="Arial" w:cs="Arial" w:eastAsia="Arial" w:hAnsi="Arial"/>
          <w:sz w:val="22"/>
          <w:szCs w:val="22"/>
          <w:color w:val="auto"/>
        </w:rPr>
      </w:pPr>
    </w:p>
    <w:p>
      <w:pPr>
        <w:jc w:val="both"/>
        <w:ind w:firstLine="656"/>
        <w:spacing w:after="0" w:line="256" w:lineRule="auto"/>
        <w:tabs>
          <w:tab w:leader="none" w:pos="1139"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Exchange</w:t>
      </w:r>
      <w:r>
        <w:rPr>
          <w:rFonts w:ascii="Arial" w:cs="Arial" w:eastAsia="Arial" w:hAnsi="Arial"/>
          <w:sz w:val="22"/>
          <w:szCs w:val="22"/>
          <w:color w:val="auto"/>
        </w:rPr>
        <w:t>” means, at any time, the registered national securities exchange on which the Corporation’s equity securities are then principally listed or traded, which shall be the New York Stock Exchange or NASDAQ Global Market (or similar national quotation system of the NASDAQ Stock Market) (“</w:t>
      </w:r>
      <w:r>
        <w:rPr>
          <w:rFonts w:ascii="Arial" w:cs="Arial" w:eastAsia="Arial" w:hAnsi="Arial"/>
          <w:sz w:val="22"/>
          <w:szCs w:val="22"/>
          <w:b w:val="1"/>
          <w:bCs w:val="1"/>
          <w:color w:val="auto"/>
        </w:rPr>
        <w:t>NASDAQ</w:t>
      </w:r>
      <w:r>
        <w:rPr>
          <w:rFonts w:ascii="Arial" w:cs="Arial" w:eastAsia="Arial" w:hAnsi="Arial"/>
          <w:sz w:val="22"/>
          <w:szCs w:val="22"/>
          <w:color w:val="auto"/>
        </w:rPr>
        <w:t>”) or any successor exchange of either the New York Stock Exchange or NASDAQ.</w:t>
      </w:r>
    </w:p>
    <w:p>
      <w:pPr>
        <w:spacing w:after="0" w:line="176" w:lineRule="exact"/>
        <w:rPr>
          <w:rFonts w:ascii="Arial" w:cs="Arial" w:eastAsia="Arial" w:hAnsi="Arial"/>
          <w:sz w:val="22"/>
          <w:szCs w:val="22"/>
          <w:color w:val="auto"/>
        </w:rPr>
      </w:pPr>
    </w:p>
    <w:p>
      <w:pPr>
        <w:ind w:left="1060" w:hanging="404"/>
        <w:spacing w:after="0"/>
        <w:tabs>
          <w:tab w:leader="none" w:pos="10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any day on which the Securities Exchange is open for trading.</w:t>
      </w:r>
    </w:p>
    <w:p>
      <w:pPr>
        <w:spacing w:after="0" w:line="233" w:lineRule="exact"/>
        <w:rPr>
          <w:rFonts w:ascii="Arial" w:cs="Arial" w:eastAsia="Arial" w:hAnsi="Arial"/>
          <w:sz w:val="22"/>
          <w:szCs w:val="22"/>
          <w:color w:val="auto"/>
        </w:rPr>
      </w:pPr>
    </w:p>
    <w:p>
      <w:pPr>
        <w:jc w:val="both"/>
        <w:ind w:firstLine="656"/>
        <w:spacing w:after="0" w:line="323" w:lineRule="auto"/>
        <w:tabs>
          <w:tab w:leader="none" w:pos="1058" w:val="left"/>
        </w:tabs>
        <w:numPr>
          <w:ilvl w:val="0"/>
          <w:numId w:val="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w:t>
      </w:r>
      <w:r>
        <w:rPr>
          <w:rFonts w:ascii="Arial" w:cs="Arial" w:eastAsia="Arial" w:hAnsi="Arial"/>
          <w:sz w:val="19"/>
          <w:szCs w:val="19"/>
          <w:color w:val="auto"/>
        </w:rPr>
        <w:t>” of a share of Class B Common Stock shall mean any sale, assignment, transfer, conveyance, hypothecation or other transfer or disposition of such share or any legal or beneficial interest in such share, whether or not for value and whether voluntary or involuntary or by operation of law. A “</w:t>
      </w:r>
      <w:r>
        <w:rPr>
          <w:rFonts w:ascii="Arial" w:cs="Arial" w:eastAsia="Arial" w:hAnsi="Arial"/>
          <w:sz w:val="19"/>
          <w:szCs w:val="19"/>
          <w:b w:val="1"/>
          <w:bCs w:val="1"/>
          <w:color w:val="auto"/>
        </w:rPr>
        <w:t>Transfer</w:t>
      </w:r>
      <w:r>
        <w:rPr>
          <w:rFonts w:ascii="Arial" w:cs="Arial" w:eastAsia="Arial" w:hAnsi="Arial"/>
          <w:sz w:val="19"/>
          <w:szCs w:val="19"/>
          <w:color w:val="auto"/>
        </w:rPr>
        <w:t>” shall also include, without limitation, (i) a transfer of 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69" w:right="239" w:bottom="1440" w:gutter="0" w:footer="0" w:header="0"/>
        </w:sectPr>
      </w:pPr>
    </w:p>
    <w:bookmarkStart w:id="65" w:name="page66"/>
    <w:bookmarkEnd w:id="65"/>
    <w:p>
      <w:pPr>
        <w:jc w:val="both"/>
        <w:spacing w:after="0" w:line="288" w:lineRule="auto"/>
        <w:rPr>
          <w:sz w:val="20"/>
          <w:szCs w:val="20"/>
          <w:color w:val="auto"/>
        </w:rPr>
      </w:pPr>
      <w:r>
        <w:rPr>
          <w:rFonts w:ascii="Arial" w:cs="Arial" w:eastAsia="Arial" w:hAnsi="Arial"/>
          <w:sz w:val="19"/>
          <w:szCs w:val="19"/>
          <w:color w:val="auto"/>
        </w:rPr>
        <w:t xml:space="preserve">share of Class B Common Stock to a broker or other nominee (regardless of whether or not there is a corresponding change in beneficial ownership) or (ii) the transfer of, or entering into a binding agreement with respect to, Voting Control over a share of Class B Common Stock by an irrevocable proxy;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following shall not be considered a “</w:t>
      </w:r>
      <w:r>
        <w:rPr>
          <w:rFonts w:ascii="Arial" w:cs="Arial" w:eastAsia="Arial" w:hAnsi="Arial"/>
          <w:sz w:val="19"/>
          <w:szCs w:val="19"/>
          <w:b w:val="1"/>
          <w:bCs w:val="1"/>
          <w:color w:val="auto"/>
        </w:rPr>
        <w:t>Transfer</w:t>
      </w:r>
      <w:r>
        <w:rPr>
          <w:rFonts w:ascii="Arial" w:cs="Arial" w:eastAsia="Arial" w:hAnsi="Arial"/>
          <w:sz w:val="19"/>
          <w:szCs w:val="19"/>
          <w:color w:val="auto"/>
        </w:rPr>
        <w:t xml:space="preserve">”: (a) the grant of a proxy in connection with actions to be taken at an annual or special meeting of stockholders; (b) the pledge of shares of Class B Common Stock by a Class B Stockholder that creates a mere security interest in such shares pursuant to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loan or indebtedness transaction so long as the Class B Stockholder continues to exercise Voting Control over such pledged shares; </w:t>
      </w:r>
      <w:r>
        <w:rPr>
          <w:rFonts w:ascii="Arial" w:cs="Arial" w:eastAsia="Arial" w:hAnsi="Arial"/>
          <w:sz w:val="19"/>
          <w:szCs w:val="19"/>
          <w:i w:val="1"/>
          <w:iCs w:val="1"/>
          <w:color w:val="auto"/>
        </w:rPr>
        <w:t>provided, however</w:t>
      </w:r>
      <w:r>
        <w:rPr>
          <w:rFonts w:ascii="Arial" w:cs="Arial" w:eastAsia="Arial" w:hAnsi="Arial"/>
          <w:sz w:val="19"/>
          <w:szCs w:val="19"/>
          <w:color w:val="auto"/>
        </w:rPr>
        <w:t>, that a foreclosure on such shares of Class B Common Stock or other similar action by the pledge shall</w:t>
      </w:r>
      <w:r>
        <w:rPr>
          <w:rFonts w:ascii="Arial" w:cs="Arial" w:eastAsia="Arial" w:hAnsi="Arial"/>
          <w:sz w:val="19"/>
          <w:szCs w:val="19"/>
          <w:i w:val="1"/>
          <w:iCs w:val="1"/>
          <w:color w:val="auto"/>
        </w:rPr>
        <w:t xml:space="preserve"> </w:t>
      </w:r>
      <w:r>
        <w:rPr>
          <w:rFonts w:ascii="Arial" w:cs="Arial" w:eastAsia="Arial" w:hAnsi="Arial"/>
          <w:sz w:val="19"/>
          <w:szCs w:val="19"/>
          <w:color w:val="auto"/>
        </w:rPr>
        <w:t>constitute a “</w:t>
      </w:r>
      <w:r>
        <w:rPr>
          <w:rFonts w:ascii="Arial" w:cs="Arial" w:eastAsia="Arial" w:hAnsi="Arial"/>
          <w:sz w:val="19"/>
          <w:szCs w:val="19"/>
          <w:b w:val="1"/>
          <w:bCs w:val="1"/>
          <w:color w:val="auto"/>
        </w:rPr>
        <w:t>Transfer</w:t>
      </w:r>
      <w:r>
        <w:rPr>
          <w:rFonts w:ascii="Arial" w:cs="Arial" w:eastAsia="Arial" w:hAnsi="Arial"/>
          <w:sz w:val="19"/>
          <w:szCs w:val="19"/>
          <w:color w:val="auto"/>
        </w:rPr>
        <w:t>”; or (c) the fact that, as of the Effective Time or at any time after the Effective Time, the spouse of any Class B Stockholder possesses or obtains an interest in such holder’s shares of Class B Common Stock arising solely by reason of the application of the community property laws of any jurisdiction, so long as no other event or circumstance shall exist or have occurred that constitutes a “</w:t>
      </w:r>
      <w:r>
        <w:rPr>
          <w:rFonts w:ascii="Arial" w:cs="Arial" w:eastAsia="Arial" w:hAnsi="Arial"/>
          <w:sz w:val="19"/>
          <w:szCs w:val="19"/>
          <w:b w:val="1"/>
          <w:bCs w:val="1"/>
          <w:color w:val="auto"/>
        </w:rPr>
        <w:t>Transfer</w:t>
      </w:r>
      <w:r>
        <w:rPr>
          <w:rFonts w:ascii="Arial" w:cs="Arial" w:eastAsia="Arial" w:hAnsi="Arial"/>
          <w:sz w:val="19"/>
          <w:szCs w:val="19"/>
          <w:color w:val="auto"/>
        </w:rPr>
        <w:t>” of such shares of Class B Common Stock.</w:t>
      </w:r>
    </w:p>
    <w:p>
      <w:pPr>
        <w:spacing w:after="0" w:line="149" w:lineRule="exact"/>
        <w:rPr>
          <w:sz w:val="20"/>
          <w:szCs w:val="20"/>
          <w:color w:val="auto"/>
        </w:rPr>
      </w:pPr>
    </w:p>
    <w:p>
      <w:pPr>
        <w:ind w:firstLine="656"/>
        <w:spacing w:after="0" w:line="364" w:lineRule="auto"/>
        <w:tabs>
          <w:tab w:leader="none" w:pos="1098" w:val="left"/>
        </w:tabs>
        <w:numPr>
          <w:ilvl w:val="0"/>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Voting Control</w:t>
      </w:r>
      <w:r>
        <w:rPr>
          <w:rFonts w:ascii="Arial" w:cs="Arial" w:eastAsia="Arial" w:hAnsi="Arial"/>
          <w:sz w:val="19"/>
          <w:szCs w:val="19"/>
          <w:color w:val="auto"/>
        </w:rPr>
        <w:t>” with respect to a share of Class B Common Stock means the exclusive power (whether directly or indirectly) to vote or direct the voting of such share of Class B Common Stock by proxy, voting agreement, or otherwise.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26" w:lineRule="exact"/>
        <w:rPr>
          <w:sz w:val="20"/>
          <w:szCs w:val="20"/>
          <w:color w:val="auto"/>
        </w:rPr>
      </w:pPr>
    </w:p>
    <w:p>
      <w:pPr>
        <w:ind w:left="1000" w:hanging="344"/>
        <w:spacing w:after="0"/>
        <w:tabs>
          <w:tab w:leader="none" w:pos="100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General Powers</w:t>
      </w:r>
      <w:r>
        <w:rPr>
          <w:rFonts w:ascii="Arial" w:cs="Arial" w:eastAsia="Arial" w:hAnsi="Arial"/>
          <w:sz w:val="19"/>
          <w:szCs w:val="19"/>
          <w:color w:val="auto"/>
        </w:rPr>
        <w:t>. The business and affairs of the Corporation shall be managed by or under the direction of the Board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Directors.</w:t>
      </w:r>
    </w:p>
    <w:p>
      <w:pPr>
        <w:spacing w:after="0" w:line="215" w:lineRule="exact"/>
        <w:rPr>
          <w:sz w:val="20"/>
          <w:szCs w:val="20"/>
          <w:color w:val="auto"/>
        </w:rPr>
      </w:pPr>
    </w:p>
    <w:p>
      <w:pPr>
        <w:jc w:val="both"/>
        <w:ind w:firstLine="656"/>
        <w:spacing w:after="0" w:line="300" w:lineRule="auto"/>
        <w:tabs>
          <w:tab w:leader="none" w:pos="1067"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Number of Directors; Election</w:t>
      </w:r>
      <w:r>
        <w:rPr>
          <w:rFonts w:ascii="Arial" w:cs="Arial" w:eastAsia="Arial" w:hAnsi="Arial"/>
          <w:sz w:val="19"/>
          <w:szCs w:val="19"/>
          <w:color w:val="auto"/>
        </w:rPr>
        <w:t>. Subject to the rights of holders of any series of Preferred Stock with respect to the election of directors, the number of directors that constitutes the entire Board of Directors of the Corporation shall be fixed solely by resolution of the Board of Directors. Subject to the rights of holders of any series of Preferred Stock with respect to the election of directors, each director of the Corporation shall hold office until the expiration of the term for which he or she is elected and until his or her successor has been duly elected and qualified or until his or her earlier resignation, death or removal.</w:t>
      </w:r>
    </w:p>
    <w:p>
      <w:pPr>
        <w:spacing w:after="0" w:line="147" w:lineRule="exact"/>
        <w:rPr>
          <w:sz w:val="20"/>
          <w:szCs w:val="20"/>
          <w:color w:val="auto"/>
        </w:rPr>
      </w:pPr>
    </w:p>
    <w:p>
      <w:pPr>
        <w:jc w:val="both"/>
        <w:ind w:firstLine="656"/>
        <w:spacing w:after="0" w:line="289" w:lineRule="auto"/>
        <w:tabs>
          <w:tab w:leader="none" w:pos="1067"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Classified Board Structure</w:t>
      </w:r>
      <w:r>
        <w:rPr>
          <w:rFonts w:ascii="Arial" w:cs="Arial" w:eastAsia="Arial" w:hAnsi="Arial"/>
          <w:sz w:val="19"/>
          <w:szCs w:val="19"/>
          <w:color w:val="auto"/>
        </w:rPr>
        <w:t>. From and after the Effective Time, and subject to the rights of holders of any series of Preferred Stock with respect to the election of directors, the directors of the Corporation shall be divided into three (3) classes as nearly equal in size as is practicable, hereby designated Class I, Class II and Class III. The Board of Directors may assign members of the Board of Directors already in office to such classes at the time such classification becomes effective. The term of office of the initial Class I directors shall expire at the first regularly-scheduled annual meeting of stockholders following the Effective Time, the term of office of the initial Class II directors shall expire at the second annual meeting of stockholders following the Effective Time and the term of office of the initial Class III directors shall expire at the third annual meeting of stockholders following the Effective Time. At each annual meeting of stockholders, commencing with the first regularly-scheduled annual meeting of stockholders following the Effective Time,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75" w:right="239" w:bottom="1440" w:gutter="0" w:footer="0" w:header="0"/>
        </w:sectPr>
      </w:pPr>
    </w:p>
    <w:bookmarkStart w:id="66" w:name="page67"/>
    <w:bookmarkEnd w:id="66"/>
    <w:p>
      <w:pPr>
        <w:jc w:val="both"/>
        <w:ind w:firstLine="648"/>
        <w:spacing w:after="0" w:line="247" w:lineRule="auto"/>
        <w:rPr>
          <w:sz w:val="20"/>
          <w:szCs w:val="20"/>
          <w:color w:val="auto"/>
        </w:rPr>
      </w:pPr>
      <w:r>
        <w:rPr>
          <w:rFonts w:ascii="Arial" w:cs="Arial" w:eastAsia="Arial" w:hAnsi="Arial"/>
          <w:sz w:val="22"/>
          <w:szCs w:val="22"/>
          <w:color w:val="auto"/>
        </w:rPr>
        <w:t xml:space="preserve">Notwithstanding the foregoing provisions of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each director shall serve until his or her successor is duly elected and qualified or until his or her death, resignation, or removal. Subject to the rights of holders of any series of Preferred Stock with respect to the election of directors, if the number of directors is hereafter changed, any newly created directorships or decrease in directorships shall be so apportioned among the classes as to make all classes as nearly equal in number as is practicable,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decrease in the number of directors constituting the Board of Directors shall shorten the term of any incumbent director.</w:t>
      </w:r>
    </w:p>
    <w:p>
      <w:pPr>
        <w:spacing w:after="0" w:line="194" w:lineRule="exact"/>
        <w:rPr>
          <w:sz w:val="20"/>
          <w:szCs w:val="20"/>
          <w:color w:val="auto"/>
        </w:rPr>
      </w:pPr>
    </w:p>
    <w:p>
      <w:pPr>
        <w:jc w:val="both"/>
        <w:ind w:firstLine="656"/>
        <w:spacing w:after="0" w:line="307" w:lineRule="auto"/>
        <w:tabs>
          <w:tab w:leader="none" w:pos="1065"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Removal; Vacancies</w:t>
      </w:r>
      <w:r>
        <w:rPr>
          <w:rFonts w:ascii="Arial" w:cs="Arial" w:eastAsia="Arial" w:hAnsi="Arial"/>
          <w:sz w:val="19"/>
          <w:szCs w:val="19"/>
          <w:color w:val="auto"/>
        </w:rPr>
        <w:t xml:space="preserve">. Subject to the rights of holders of any series of Preferred Stock with respect to the election of directors, for so long as the board of directors is divided into classes pursuant to </w:t>
      </w:r>
      <w:r>
        <w:rPr>
          <w:rFonts w:ascii="Arial" w:cs="Arial" w:eastAsia="Arial" w:hAnsi="Arial"/>
          <w:sz w:val="19"/>
          <w:szCs w:val="19"/>
          <w:u w:val="single" w:color="auto"/>
          <w:color w:val="auto"/>
        </w:rPr>
        <w:t>Article VI Section C</w:t>
      </w:r>
      <w:r>
        <w:rPr>
          <w:rFonts w:ascii="Arial" w:cs="Arial" w:eastAsia="Arial" w:hAnsi="Arial"/>
          <w:sz w:val="19"/>
          <w:szCs w:val="19"/>
          <w:color w:val="auto"/>
        </w:rPr>
        <w:t>, any director may be removed from office by the stockholders of the Corporation only for cause by the affirmative vote of the holders of at least sixty-six and two-thirds (66-2/3%) of the outstanding shares of Class A Common Stock and Class B Common Stock voting as a single class.</w:t>
      </w:r>
    </w:p>
    <w:p>
      <w:pPr>
        <w:spacing w:after="0" w:line="13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chosen and until his or her successor shall be duly elected and qualified.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26" w:lineRule="exact"/>
        <w:rPr>
          <w:sz w:val="20"/>
          <w:szCs w:val="20"/>
          <w:color w:val="auto"/>
        </w:rPr>
      </w:pPr>
    </w:p>
    <w:p>
      <w:pPr>
        <w:ind w:left="1120" w:hanging="464"/>
        <w:spacing w:after="0"/>
        <w:tabs>
          <w:tab w:leader="none" w:pos="112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Written Ballot</w:t>
      </w:r>
      <w:r>
        <w:rPr>
          <w:rFonts w:ascii="Arial" w:cs="Arial" w:eastAsia="Arial" w:hAnsi="Arial"/>
          <w:sz w:val="21"/>
          <w:szCs w:val="21"/>
          <w:color w:val="auto"/>
        </w:rPr>
        <w:t>. Elections of directors need not be by written ballot unless the Bylaws of the Corporation shall so</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provide.</w:t>
      </w:r>
    </w:p>
    <w:p>
      <w:pPr>
        <w:spacing w:after="0" w:line="215" w:lineRule="exact"/>
        <w:rPr>
          <w:sz w:val="20"/>
          <w:szCs w:val="20"/>
          <w:color w:val="auto"/>
        </w:rPr>
      </w:pPr>
    </w:p>
    <w:p>
      <w:pPr>
        <w:ind w:right="20" w:firstLine="656"/>
        <w:spacing w:after="0" w:line="276" w:lineRule="auto"/>
        <w:tabs>
          <w:tab w:leader="none" w:pos="972"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Amendment of Bylaws</w:t>
      </w:r>
      <w:r>
        <w:rPr>
          <w:rFonts w:ascii="Arial" w:cs="Arial" w:eastAsia="Arial" w:hAnsi="Arial"/>
          <w:sz w:val="22"/>
          <w:szCs w:val="22"/>
          <w:color w:val="auto"/>
        </w:rPr>
        <w:t>. In furtherance and not in limitation of the powers conferred by statute, the Board of Directors is expressly authorized to adopt, amend or repeal the Bylaws of the Corporation.</w:t>
      </w:r>
    </w:p>
    <w:p>
      <w:pPr>
        <w:spacing w:after="0" w:line="161" w:lineRule="exact"/>
        <w:rPr>
          <w:sz w:val="20"/>
          <w:szCs w:val="20"/>
          <w:color w:val="auto"/>
        </w:rPr>
      </w:pPr>
    </w:p>
    <w:p>
      <w:pPr>
        <w:jc w:val="both"/>
        <w:ind w:firstLine="656"/>
        <w:spacing w:after="0" w:line="320" w:lineRule="auto"/>
        <w:tabs>
          <w:tab w:leader="none" w:pos="101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stockholders may be called only by (i) the Board of Directors pursuant to a resolution adopted by a majority of the Board of Directors; (ii) the chairman of the Board of Directors; (iii) the chief executive officer of the Corporation; or (iv) the president of the Corporation (in the absence of a chief executive officer).</w:t>
      </w:r>
    </w:p>
    <w:p>
      <w:pPr>
        <w:spacing w:after="0" w:line="125" w:lineRule="exact"/>
        <w:rPr>
          <w:sz w:val="20"/>
          <w:szCs w:val="20"/>
          <w:color w:val="auto"/>
        </w:rPr>
      </w:pPr>
    </w:p>
    <w:p>
      <w:pPr>
        <w:jc w:val="both"/>
        <w:ind w:firstLine="656"/>
        <w:spacing w:after="0" w:line="254" w:lineRule="auto"/>
        <w:tabs>
          <w:tab w:leader="none" w:pos="1065"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No Stockholder Action by Written Consent</w:t>
      </w:r>
      <w:r>
        <w:rPr>
          <w:rFonts w:ascii="Arial" w:cs="Arial" w:eastAsia="Arial" w:hAnsi="Arial"/>
          <w:sz w:val="22"/>
          <w:szCs w:val="22"/>
          <w:color w:val="auto"/>
        </w:rPr>
        <w:t>. Subject to the rights of the holders of any series of Preferred Stock, no action shall be taken by the stockholders of the Corporation except at an annual or special meeting of the stockholders called in accordance with the Bylaws, and other than by holders of Class B Common Stock, no action shall be taken by the stockholders by written consent.</w:t>
      </w:r>
    </w:p>
    <w:p>
      <w:pPr>
        <w:spacing w:after="0" w:line="185" w:lineRule="exact"/>
        <w:rPr>
          <w:sz w:val="20"/>
          <w:szCs w:val="20"/>
          <w:color w:val="auto"/>
        </w:rPr>
      </w:pPr>
    </w:p>
    <w:p>
      <w:pPr>
        <w:ind w:left="660"/>
        <w:spacing w:after="0"/>
        <w:tabs>
          <w:tab w:leader="none" w:pos="9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u w:val="single" w:color="auto"/>
          <w:color w:val="auto"/>
        </w:rPr>
        <w:t>No Cumulative Voting</w:t>
      </w:r>
      <w:r>
        <w:rPr>
          <w:rFonts w:ascii="Arial" w:cs="Arial" w:eastAsia="Arial" w:hAnsi="Arial"/>
          <w:sz w:val="19"/>
          <w:szCs w:val="19"/>
          <w:color w:val="auto"/>
        </w:rPr>
        <w:t>. No stockholder will be permitted to cumulate votes at any election of directors.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To the fullest extent permitted by the DGCL, as it presently exists or may hereafter be amended from time to time, a director of the Corporation shall not be personally liable to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75" w:right="239" w:bottom="1440" w:gutter="0" w:footer="0" w:header="0"/>
        </w:sectPr>
      </w:pPr>
    </w:p>
    <w:bookmarkStart w:id="67" w:name="page68"/>
    <w:bookmarkEnd w:id="67"/>
    <w:p>
      <w:pPr>
        <w:jc w:val="both"/>
        <w:spacing w:after="0" w:line="271" w:lineRule="auto"/>
        <w:rPr>
          <w:sz w:val="20"/>
          <w:szCs w:val="20"/>
          <w:color w:val="auto"/>
        </w:rPr>
      </w:pPr>
      <w:r>
        <w:rPr>
          <w:rFonts w:ascii="Arial" w:cs="Arial" w:eastAsia="Arial" w:hAnsi="Arial"/>
          <w:sz w:val="21"/>
          <w:szCs w:val="21"/>
          <w:color w:val="auto"/>
        </w:rPr>
        <w:t>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Neither any amendment nor repeal of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nor the adoption of any provision of the Corporation’s Certificate of Incorporation inconsistent with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shall eliminate or reduce the effect of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in respect of any matter occurring, or any cause of action, suit or proceeding accruing or arising or that, but for this </w:t>
      </w:r>
      <w:r>
        <w:rPr>
          <w:rFonts w:ascii="Arial" w:cs="Arial" w:eastAsia="Arial" w:hAnsi="Arial"/>
          <w:sz w:val="22"/>
          <w:szCs w:val="22"/>
          <w:u w:val="single" w:color="auto"/>
          <w:color w:val="auto"/>
        </w:rPr>
        <w:t>Article VIII</w:t>
      </w:r>
      <w:r>
        <w:rPr>
          <w:rFonts w:ascii="Arial" w:cs="Arial" w:eastAsia="Arial" w:hAnsi="Arial"/>
          <w:sz w:val="22"/>
          <w:szCs w:val="22"/>
          <w:color w:val="auto"/>
        </w:rPr>
        <w:t>, would accrue or arise, prior to such amendment, repeal or adoption of an inconsistent provision.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Subject to any provisions in the Bylaws of the Corporation related to indemnification of directors or officers of the Corporation,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Arial" w:cs="Arial" w:eastAsia="Arial" w:hAnsi="Arial"/>
          <w:sz w:val="21"/>
          <w:szCs w:val="21"/>
          <w:b w:val="1"/>
          <w:bCs w:val="1"/>
          <w:color w:val="auto"/>
        </w:rPr>
        <w:t>Proceeding</w:t>
      </w:r>
      <w:r>
        <w:rPr>
          <w:rFonts w:ascii="Arial" w:cs="Arial" w:eastAsia="Arial" w:hAnsi="Arial"/>
          <w:sz w:val="21"/>
          <w:szCs w:val="21"/>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A right to indemnification or to advancement of expenses arising under a provision of this Second Amended and Restated Certificate of Incorporation or the Bylaws of the Corporation shall not be eliminated or impaired by an amendment to this Second Amended and Restated Certificate of Incorporation or the Bylaws of the Corporation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26" w:lineRule="exact"/>
        <w:rPr>
          <w:sz w:val="20"/>
          <w:szCs w:val="20"/>
          <w:color w:val="auto"/>
        </w:rPr>
      </w:pPr>
    </w:p>
    <w:p>
      <w:pPr>
        <w:jc w:val="center"/>
        <w:ind w:left="260"/>
        <w:spacing w:after="0" w:line="253" w:lineRule="auto"/>
        <w:rPr>
          <w:sz w:val="20"/>
          <w:szCs w:val="20"/>
          <w:color w:val="auto"/>
        </w:rPr>
      </w:pPr>
      <w:r>
        <w:rPr>
          <w:rFonts w:ascii="Arial" w:cs="Arial" w:eastAsia="Arial" w:hAnsi="Arial"/>
          <w:sz w:val="22"/>
          <w:szCs w:val="22"/>
          <w:color w:val="auto"/>
        </w:rPr>
        <w:t>If any provision of this Second Amended and Restated Certificate of Incorporation becomes or is declared on any ground by a court of competent jurisdiction to be illegal, unenforceable or void, portions of such provision, or such provision in its entirety, to the extent necessary,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75"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9"/>
          <w:szCs w:val="19"/>
          <w:color w:val="auto"/>
        </w:rPr>
        <w:t>shall be severed from this Second Amended and Restated Certificate of Incorporation, and the court will replace such illegal, void</w:t>
      </w:r>
    </w:p>
    <w:p>
      <w:pPr>
        <w:spacing w:after="0" w:line="56" w:lineRule="exact"/>
        <w:rPr>
          <w:sz w:val="20"/>
          <w:szCs w:val="20"/>
          <w:color w:val="auto"/>
        </w:rPr>
      </w:pPr>
    </w:p>
    <w:p>
      <w:pPr>
        <w:jc w:val="center"/>
        <w:spacing w:after="0" w:line="260" w:lineRule="auto"/>
        <w:rPr>
          <w:sz w:val="20"/>
          <w:szCs w:val="20"/>
          <w:color w:val="auto"/>
        </w:rPr>
      </w:pPr>
      <w:r>
        <w:rPr>
          <w:rFonts w:ascii="Arial" w:cs="Arial" w:eastAsia="Arial" w:hAnsi="Arial"/>
          <w:sz w:val="21"/>
          <w:szCs w:val="21"/>
          <w:color w:val="auto"/>
        </w:rPr>
        <w:t>or unenforceable provision of this Second Amended and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Second Amended and Restated Certificate of Incorporation shall be enforceable in accordance with its terms.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above, the Corporation reserves the right to amend, alter, change or repeal any provision contained in this Second Amended and Restated Certificate of Incorporation, in the manner now or hereafter prescribed by statute, and all rights conferred upon stockholders herein are granted subject to this reservation;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notwithstanding any other provision of this Second Amended and Restated Certificate of Incorporation or any provision of law that might otherwise permit a lesser vote or no vote, but in addition to any vote of the holders of any class or series of the stock of this Corporation required by law or by this Second Amended and Restated Certificate of Incorporation, the affirmative vote of the holders of at least sixty-six and two-thirds percent (66-2/3%) of the voting power of the outstanding shares of stock of the Corporation entitled to vote generally in the election of directors, voting together as a single class, shall be required to amend or repeal, or adopt any provision of this Second Amended and Restated Certificate of Incorporation inconsistent with,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ARTICLE X</w:t>
      </w:r>
      <w:r>
        <w:rPr>
          <w:rFonts w:ascii="Arial" w:cs="Arial" w:eastAsia="Arial" w:hAnsi="Arial"/>
          <w:sz w:val="19"/>
          <w:szCs w:val="19"/>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75" w:right="239" w:bottom="1440" w:gutter="0" w:footer="0" w:header="0"/>
        </w:sectPr>
      </w:pPr>
    </w:p>
    <w:bookmarkStart w:id="69" w:name="page70"/>
    <w:bookmarkEnd w:id="69"/>
    <w:p>
      <w:pPr>
        <w:ind w:firstLine="648"/>
        <w:spacing w:after="0" w:line="27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Second Amended and Restated Certificate of Incorporation has been signed on behalf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by its duly authorized officer effective this 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November, 2017.</w:t>
      </w:r>
    </w:p>
    <w:p>
      <w:pPr>
        <w:spacing w:after="0" w:line="200" w:lineRule="exact"/>
        <w:rPr>
          <w:sz w:val="20"/>
          <w:szCs w:val="20"/>
          <w:color w:val="auto"/>
        </w:rPr>
      </w:pPr>
    </w:p>
    <w:p>
      <w:pPr>
        <w:spacing w:after="0" w:line="228" w:lineRule="exact"/>
        <w:rPr>
          <w:sz w:val="20"/>
          <w:szCs w:val="20"/>
          <w:color w:val="auto"/>
        </w:rPr>
      </w:pPr>
    </w:p>
    <w:p>
      <w:pPr>
        <w:ind w:left="5860"/>
        <w:spacing w:after="0"/>
        <w:rPr>
          <w:sz w:val="20"/>
          <w:szCs w:val="20"/>
          <w:color w:val="auto"/>
        </w:rPr>
      </w:pPr>
      <w:r>
        <w:rPr>
          <w:rFonts w:ascii="Arial" w:cs="Arial" w:eastAsia="Arial" w:hAnsi="Arial"/>
          <w:sz w:val="22"/>
          <w:szCs w:val="22"/>
          <w:b w:val="1"/>
          <w:bCs w:val="1"/>
          <w:color w:val="auto"/>
        </w:rPr>
        <w:t>BANDWIDTH INC.</w:t>
      </w:r>
    </w:p>
    <w:p>
      <w:pPr>
        <w:spacing w:after="0" w:line="374"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31813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8"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David A. Morken</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US-DOCS\94234926.9</w:t>
      </w:r>
    </w:p>
    <w:p>
      <w:pPr>
        <w:sectPr>
          <w:pgSz w:w="11900" w:h="16838" w:orient="portrait"/>
          <w:cols w:equalWidth="0" w:num="1">
            <w:col w:w="11420"/>
          </w:cols>
          <w:pgMar w:left="240" w:top="369" w:right="239" w:bottom="1440" w:gutter="0" w:footer="0" w:header="0"/>
        </w:sectPr>
      </w:pPr>
    </w:p>
    <w:bookmarkStart w:id="70" w:name="page71"/>
    <w:bookmarkEnd w:id="70"/>
    <w:p>
      <w:pPr>
        <w:jc w:val="center"/>
        <w:ind w:right="-1220"/>
        <w:spacing w:after="0"/>
        <w:rPr>
          <w:sz w:val="20"/>
          <w:szCs w:val="20"/>
          <w:color w:val="auto"/>
        </w:rPr>
      </w:pPr>
      <w:r>
        <w:rPr>
          <w:rFonts w:ascii="Arial" w:cs="Arial" w:eastAsia="Arial" w:hAnsi="Arial"/>
          <w:sz w:val="22"/>
          <w:szCs w:val="22"/>
          <w:b w:val="1"/>
          <w:bCs w:val="1"/>
          <w:color w:val="auto"/>
        </w:rPr>
        <w:t>SECOND AMENDED AND RESTATED BYLAWS</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BANDWIDTH INC.</w:t>
      </w:r>
    </w:p>
    <w:p>
      <w:pPr>
        <w:spacing w:after="0" w:line="226" w:lineRule="exact"/>
        <w:rPr>
          <w:sz w:val="20"/>
          <w:szCs w:val="20"/>
          <w:color w:val="auto"/>
        </w:rPr>
      </w:pPr>
    </w:p>
    <w:p>
      <w:pPr>
        <w:jc w:val="center"/>
        <w:ind w:right="-1220"/>
        <w:spacing w:after="0"/>
        <w:rPr>
          <w:sz w:val="20"/>
          <w:szCs w:val="20"/>
          <w:color w:val="auto"/>
        </w:rPr>
      </w:pPr>
      <w:r>
        <w:rPr>
          <w:rFonts w:ascii="Arial" w:cs="Arial" w:eastAsia="Arial" w:hAnsi="Arial"/>
          <w:sz w:val="19"/>
          <w:szCs w:val="19"/>
          <w:color w:val="auto"/>
        </w:rPr>
        <w:t>(effective as of the pricing of the corporation’s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0219"/>
          </w:cols>
          <w:pgMar w:left="240" w:top="369" w:right="1440" w:bottom="1440" w:gutter="0" w:footer="0" w:header="0"/>
        </w:sectPr>
      </w:pPr>
    </w:p>
    <w:bookmarkStart w:id="71" w:name="page72"/>
    <w:bookmarkEnd w:id="71"/>
    <w:tbl>
      <w:tblPr>
        <w:tblLayout w:type="fixed"/>
        <w:tblInd w:w="40" w:type="dxa"/>
        <w:tblCellMar>
          <w:top w:w="0" w:type="dxa"/>
          <w:left w:w="0" w:type="dxa"/>
          <w:bottom w:w="0" w:type="dxa"/>
          <w:right w:w="0" w:type="dxa"/>
        </w:tblCellMar>
      </w:tblPr>
      <w:tr>
        <w:trPr>
          <w:trHeight w:val="281"/>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00" w:type="dxa"/>
            <w:vAlign w:val="bottom"/>
            <w:gridSpan w:val="4"/>
          </w:tcPr>
          <w:p>
            <w:pPr>
              <w:ind w:left="40"/>
              <w:spacing w:after="0"/>
              <w:rPr>
                <w:sz w:val="20"/>
                <w:szCs w:val="20"/>
                <w:color w:val="auto"/>
              </w:rPr>
            </w:pPr>
            <w:r>
              <w:rPr>
                <w:rFonts w:ascii="Arial" w:cs="Arial" w:eastAsia="Arial" w:hAnsi="Arial"/>
                <w:sz w:val="22"/>
                <w:szCs w:val="22"/>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4"/>
        </w:trPr>
        <w:tc>
          <w:tcPr>
            <w:tcW w:w="11180" w:type="dxa"/>
            <w:vAlign w:val="bottom"/>
            <w:gridSpan w:val="3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ARTICLE I CORPORATE OFFICES</w:t>
              </w:r>
            </w:hyperlink>
          </w:p>
        </w:tc>
        <w:tc>
          <w:tcPr>
            <w:tcW w:w="180" w:type="dxa"/>
            <w:vAlign w:val="bottom"/>
            <w:gridSpan w:val="2"/>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1</w:t>
              </w:r>
            </w:hyperlink>
          </w:p>
        </w:tc>
      </w:tr>
      <w:tr>
        <w:trPr>
          <w:trHeight w:val="250"/>
        </w:trPr>
        <w:tc>
          <w:tcPr>
            <w:tcW w:w="1320" w:type="dxa"/>
            <w:vAlign w:val="bottom"/>
            <w:tcBorders>
              <w:top w:val="single" w:sz="8" w:color="0000EE"/>
            </w:tcBorders>
            <w:gridSpan w:val="4"/>
          </w:tcPr>
          <w:p>
            <w:pPr>
              <w:jc w:val="right"/>
              <w:spacing w:after="0"/>
              <w:rPr>
                <w:sz w:val="20"/>
                <w:szCs w:val="20"/>
                <w:color w:val="auto"/>
              </w:rPr>
            </w:pPr>
            <w:r>
              <w:rPr>
                <w:rFonts w:ascii="Arial" w:cs="Arial" w:eastAsia="Arial" w:hAnsi="Arial"/>
                <w:sz w:val="18"/>
                <w:szCs w:val="18"/>
                <w:color w:val="0000FF"/>
              </w:rPr>
              <w:t>1.</w:t>
            </w:r>
            <w:r>
              <w:rPr>
                <w:rFonts w:ascii="Arial" w:cs="Arial" w:eastAsia="Arial" w:hAnsi="Arial"/>
                <w:sz w:val="18"/>
                <w:szCs w:val="18"/>
                <w:u w:val="single" w:color="auto"/>
                <w:color w:val="0000FF"/>
              </w:rPr>
              <w:t>1</w:t>
            </w: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320" w:type="dxa"/>
            <w:vAlign w:val="bottom"/>
            <w:tcBorders>
              <w:top w:val="single" w:sz="8" w:color="0000EE"/>
            </w:tcBorders>
            <w:gridSpan w:val="12"/>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Registered Office</w:t>
              </w:r>
            </w:hyperlink>
          </w:p>
        </w:tc>
        <w:tc>
          <w:tcPr>
            <w:tcW w:w="8480" w:type="dxa"/>
            <w:vAlign w:val="bottom"/>
            <w:gridSpan w:val="1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1</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1.</w:t>
            </w:r>
            <w:r>
              <w:rPr>
                <w:rFonts w:ascii="Arial" w:cs="Arial" w:eastAsia="Arial" w:hAnsi="Arial"/>
                <w:sz w:val="18"/>
                <w:szCs w:val="18"/>
                <w:u w:val="single" w:color="auto"/>
                <w:color w:val="0000FF"/>
              </w:rPr>
              <w:t>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Other Offices</w:t>
              </w:r>
            </w:hyperlink>
          </w:p>
        </w:tc>
        <w:tc>
          <w:tcPr>
            <w:tcW w:w="180" w:type="dxa"/>
            <w:vAlign w:val="bottom"/>
            <w:gridSpan w:val="2"/>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1</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180" w:type="dxa"/>
            <w:vAlign w:val="bottom"/>
            <w:gridSpan w:val="3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ARTICLE II MEETINGS OF STOCKHOLDERS</w:t>
              </w:r>
            </w:hyperlink>
          </w:p>
        </w:tc>
        <w:tc>
          <w:tcPr>
            <w:tcW w:w="180" w:type="dxa"/>
            <w:vAlign w:val="bottom"/>
            <w:gridSpan w:val="2"/>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1</w:t>
              </w:r>
            </w:hyperlink>
          </w:p>
        </w:tc>
      </w:tr>
      <w:tr>
        <w:trPr>
          <w:trHeight w:val="250"/>
        </w:trPr>
        <w:tc>
          <w:tcPr>
            <w:tcW w:w="1320" w:type="dxa"/>
            <w:vAlign w:val="bottom"/>
            <w:tcBorders>
              <w:top w:val="single" w:sz="8" w:color="0000EE"/>
            </w:tcBorders>
            <w:gridSpan w:val="4"/>
          </w:tcPr>
          <w:p>
            <w:pPr>
              <w:jc w:val="right"/>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1</w:t>
            </w: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20" w:type="dxa"/>
            <w:vAlign w:val="bottom"/>
            <w:tcBorders>
              <w:top w:val="single" w:sz="8" w:color="0000EE"/>
            </w:tcBorders>
            <w:gridSpan w:val="1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Place of Meetings</w:t>
              </w:r>
            </w:hyperlink>
          </w:p>
        </w:tc>
        <w:tc>
          <w:tcPr>
            <w:tcW w:w="7580" w:type="dxa"/>
            <w:vAlign w:val="bottom"/>
            <w:gridSpan w:val="8"/>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1</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Annual Meeting</w:t>
              </w:r>
            </w:hyperlink>
          </w:p>
        </w:tc>
        <w:tc>
          <w:tcPr>
            <w:tcW w:w="180" w:type="dxa"/>
            <w:vAlign w:val="bottom"/>
            <w:gridSpan w:val="2"/>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1</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Special Meeting</w:t>
              </w:r>
            </w:hyperlink>
          </w:p>
        </w:tc>
        <w:tc>
          <w:tcPr>
            <w:tcW w:w="180" w:type="dxa"/>
            <w:vAlign w:val="bottom"/>
            <w:gridSpan w:val="2"/>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1</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Advance Notice Procedures</w:t>
              </w:r>
            </w:hyperlink>
          </w:p>
        </w:tc>
        <w:tc>
          <w:tcPr>
            <w:tcW w:w="180" w:type="dxa"/>
            <w:vAlign w:val="bottom"/>
            <w:gridSpan w:val="2"/>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2</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Notice of Stockholders’ Meetings</w:t>
              </w:r>
            </w:hyperlink>
          </w:p>
        </w:tc>
        <w:tc>
          <w:tcPr>
            <w:tcW w:w="180" w:type="dxa"/>
            <w:vAlign w:val="bottom"/>
            <w:gridSpan w:val="2"/>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6</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Quorum</w:t>
              </w:r>
            </w:hyperlink>
          </w:p>
        </w:tc>
        <w:tc>
          <w:tcPr>
            <w:tcW w:w="180" w:type="dxa"/>
            <w:vAlign w:val="bottom"/>
            <w:gridSpan w:val="2"/>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6</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Adjourned Meeting; Notice</w:t>
              </w:r>
            </w:hyperlink>
          </w:p>
        </w:tc>
        <w:tc>
          <w:tcPr>
            <w:tcW w:w="180" w:type="dxa"/>
            <w:vAlign w:val="bottom"/>
            <w:gridSpan w:val="2"/>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Conduct of Business</w:t>
              </w:r>
            </w:hyperlink>
          </w:p>
        </w:tc>
        <w:tc>
          <w:tcPr>
            <w:tcW w:w="180" w:type="dxa"/>
            <w:vAlign w:val="bottom"/>
            <w:gridSpan w:val="2"/>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Voting</w:t>
              </w:r>
            </w:hyperlink>
          </w:p>
        </w:tc>
        <w:tc>
          <w:tcPr>
            <w:tcW w:w="180" w:type="dxa"/>
            <w:vAlign w:val="bottom"/>
            <w:gridSpan w:val="2"/>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Stockholder Action By Written Consent Without A Meeting</w:t>
              </w:r>
            </w:hyperlink>
          </w:p>
        </w:tc>
        <w:tc>
          <w:tcPr>
            <w:tcW w:w="180" w:type="dxa"/>
            <w:vAlign w:val="bottom"/>
            <w:gridSpan w:val="2"/>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11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Record Dates</w:t>
              </w:r>
            </w:hyperlink>
          </w:p>
        </w:tc>
        <w:tc>
          <w:tcPr>
            <w:tcW w:w="180" w:type="dxa"/>
            <w:vAlign w:val="bottom"/>
            <w:gridSpan w:val="2"/>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w:t>
              </w:r>
            </w:hyperlink>
          </w:p>
        </w:tc>
      </w:tr>
      <w:tr>
        <w:trPr>
          <w:trHeight w:val="250"/>
        </w:trPr>
        <w:tc>
          <w:tcPr>
            <w:tcW w:w="1000" w:type="dxa"/>
            <w:vAlign w:val="bottom"/>
          </w:tcPr>
          <w:p>
            <w:pPr>
              <w:spacing w:after="0"/>
              <w:rPr>
                <w:sz w:val="21"/>
                <w:szCs w:val="21"/>
                <w:color w:val="auto"/>
              </w:rPr>
            </w:pPr>
          </w:p>
        </w:tc>
        <w:tc>
          <w:tcPr>
            <w:tcW w:w="32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12</w:t>
            </w:r>
          </w:p>
        </w:tc>
        <w:tc>
          <w:tcPr>
            <w:tcW w:w="20" w:type="dxa"/>
            <w:vAlign w:val="bottom"/>
            <w:tcBorders>
              <w:bottom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81">
              <w:r>
                <w:rPr>
                  <w:rFonts w:ascii="Arial" w:cs="Arial" w:eastAsia="Arial" w:hAnsi="Arial"/>
                  <w:sz w:val="18"/>
                  <w:szCs w:val="18"/>
                  <w:color w:val="0000EE"/>
                  <w:w w:val="86"/>
                </w:rPr>
                <w:t>Proxies</w:t>
              </w:r>
            </w:hyperlink>
          </w:p>
        </w:tc>
        <w:tc>
          <w:tcPr>
            <w:tcW w:w="440" w:type="dxa"/>
            <w:vAlign w:val="bottom"/>
            <w:tcBorders>
              <w:top w:val="single" w:sz="8" w:color="0000EE"/>
            </w:tcBorders>
            <w:gridSpan w:val="4"/>
          </w:tcPr>
          <w:p>
            <w:pPr>
              <w:spacing w:after="0"/>
              <w:rPr>
                <w:sz w:val="21"/>
                <w:szCs w:val="21"/>
                <w:color w:val="auto"/>
              </w:rPr>
            </w:pPr>
          </w:p>
        </w:tc>
        <w:tc>
          <w:tcPr>
            <w:tcW w:w="8820" w:type="dxa"/>
            <w:vAlign w:val="bottom"/>
            <w:gridSpan w:val="20"/>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8</w:t>
              </w:r>
            </w:hyperlink>
          </w:p>
        </w:tc>
      </w:tr>
      <w:tr>
        <w:trPr>
          <w:trHeight w:val="250"/>
        </w:trPr>
        <w:tc>
          <w:tcPr>
            <w:tcW w:w="1000" w:type="dxa"/>
            <w:vAlign w:val="bottom"/>
          </w:tcPr>
          <w:p>
            <w:pPr>
              <w:spacing w:after="0"/>
              <w:rPr>
                <w:sz w:val="21"/>
                <w:szCs w:val="21"/>
                <w:color w:val="auto"/>
              </w:rPr>
            </w:pPr>
          </w:p>
        </w:tc>
        <w:tc>
          <w:tcPr>
            <w:tcW w:w="340" w:type="dxa"/>
            <w:vAlign w:val="bottom"/>
            <w:tcBorders>
              <w:bottom w:val="single" w:sz="8" w:color="0000FF"/>
            </w:tcBorders>
            <w:gridSpan w:val="4"/>
          </w:tcPr>
          <w:p>
            <w:pPr>
              <w:jc w:val="right"/>
              <w:ind w:right="20"/>
              <w:spacing w:after="0"/>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13</w:t>
            </w:r>
          </w:p>
        </w:tc>
        <w:tc>
          <w:tcPr>
            <w:tcW w:w="40" w:type="dxa"/>
            <w:vAlign w:val="bottom"/>
          </w:tcPr>
          <w:p>
            <w:pPr>
              <w:spacing w:after="0"/>
              <w:rPr>
                <w:sz w:val="21"/>
                <w:szCs w:val="21"/>
                <w:color w:val="auto"/>
              </w:rPr>
            </w:pPr>
          </w:p>
        </w:tc>
        <w:tc>
          <w:tcPr>
            <w:tcW w:w="2680" w:type="dxa"/>
            <w:vAlign w:val="bottom"/>
            <w:tcBorders>
              <w:bottom w:val="single" w:sz="8" w:color="0000EE"/>
            </w:tcBorders>
            <w:gridSpan w:val="22"/>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List of Stockholders Entitled to Vote</w:t>
              </w:r>
            </w:hyperlink>
          </w:p>
        </w:tc>
        <w:tc>
          <w:tcPr>
            <w:tcW w:w="712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9</w:t>
              </w:r>
            </w:hyperlink>
          </w:p>
        </w:tc>
      </w:tr>
      <w:tr>
        <w:trPr>
          <w:trHeight w:val="250"/>
        </w:trPr>
        <w:tc>
          <w:tcPr>
            <w:tcW w:w="1000" w:type="dxa"/>
            <w:vAlign w:val="bottom"/>
          </w:tcPr>
          <w:p>
            <w:pPr>
              <w:spacing w:after="0"/>
              <w:rPr>
                <w:sz w:val="21"/>
                <w:szCs w:val="21"/>
                <w:color w:val="auto"/>
              </w:rPr>
            </w:pPr>
          </w:p>
        </w:tc>
        <w:tc>
          <w:tcPr>
            <w:tcW w:w="340" w:type="dxa"/>
            <w:vAlign w:val="bottom"/>
            <w:tcBorders>
              <w:bottom w:val="single" w:sz="8" w:color="0000FF"/>
            </w:tcBorders>
            <w:gridSpan w:val="4"/>
          </w:tcPr>
          <w:p>
            <w:pPr>
              <w:jc w:val="right"/>
              <w:ind w:right="20"/>
              <w:spacing w:after="0"/>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14</w:t>
            </w:r>
          </w:p>
        </w:tc>
        <w:tc>
          <w:tcPr>
            <w:tcW w:w="40" w:type="dxa"/>
            <w:vAlign w:val="bottom"/>
          </w:tcPr>
          <w:p>
            <w:pPr>
              <w:spacing w:after="0"/>
              <w:rPr>
                <w:sz w:val="21"/>
                <w:szCs w:val="21"/>
                <w:color w:val="auto"/>
              </w:rPr>
            </w:pPr>
          </w:p>
        </w:tc>
        <w:tc>
          <w:tcPr>
            <w:tcW w:w="15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Inspectors of Election</w:t>
              </w:r>
            </w:hyperlink>
          </w:p>
        </w:tc>
        <w:tc>
          <w:tcPr>
            <w:tcW w:w="8220" w:type="dxa"/>
            <w:vAlign w:val="bottom"/>
            <w:gridSpan w:val="1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9</w:t>
              </w:r>
            </w:hyperlink>
          </w:p>
        </w:tc>
      </w:tr>
      <w:tr>
        <w:trPr>
          <w:trHeight w:val="250"/>
        </w:trPr>
        <w:tc>
          <w:tcPr>
            <w:tcW w:w="202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83">
              <w:r>
                <w:rPr>
                  <w:rFonts w:ascii="Arial" w:cs="Arial" w:eastAsia="Arial" w:hAnsi="Arial"/>
                  <w:sz w:val="18"/>
                  <w:szCs w:val="18"/>
                  <w:color w:val="0000EE"/>
                  <w:w w:val="96"/>
                </w:rPr>
                <w:t>ARTICLE III DIRECTORS</w:t>
              </w:r>
            </w:hyperlink>
          </w:p>
        </w:tc>
        <w:tc>
          <w:tcPr>
            <w:tcW w:w="9160" w:type="dxa"/>
            <w:vAlign w:val="bottom"/>
            <w:gridSpan w:val="2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10</w:t>
              </w:r>
            </w:hyperlink>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Powers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10</w:t>
              </w:r>
            </w:hyperlink>
          </w:p>
        </w:tc>
      </w:tr>
      <w:tr>
        <w:trPr>
          <w:trHeight w:val="20"/>
        </w:trPr>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Number of Directors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10</w:t>
              </w:r>
            </w:hyperlink>
          </w:p>
        </w:tc>
      </w:tr>
      <w:tr>
        <w:trPr>
          <w:trHeight w:val="20"/>
        </w:trPr>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Election, Qualification and Term of Office Of Directors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10</w:t>
              </w:r>
            </w:hyperlink>
          </w:p>
        </w:tc>
      </w:tr>
      <w:tr>
        <w:trPr>
          <w:trHeight w:val="20"/>
        </w:trPr>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Resignation and Vacancies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11</w:t>
              </w:r>
            </w:hyperlink>
          </w:p>
        </w:tc>
      </w:tr>
      <w:tr>
        <w:trPr>
          <w:trHeight w:val="20"/>
        </w:trPr>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Place of Meetings; Meetings By Telephone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11</w:t>
              </w:r>
            </w:hyperlink>
          </w:p>
        </w:tc>
      </w:tr>
      <w:tr>
        <w:trPr>
          <w:trHeight w:val="20"/>
        </w:trPr>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Regular Meetings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12</w:t>
              </w:r>
            </w:hyperlink>
          </w:p>
        </w:tc>
      </w:tr>
      <w:tr>
        <w:trPr>
          <w:trHeight w:val="20"/>
        </w:trPr>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Special Meetings; Notice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12</w:t>
              </w:r>
            </w:hyperlink>
          </w:p>
        </w:tc>
      </w:tr>
      <w:tr>
        <w:trPr>
          <w:trHeight w:val="20"/>
        </w:trPr>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Quorum; Voting</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12</w:t>
              </w:r>
            </w:hyperlink>
          </w:p>
        </w:tc>
      </w:tr>
      <w:tr>
        <w:trPr>
          <w:trHeight w:val="20"/>
        </w:trPr>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Board Action By Written Consent Without A Meeting</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13</w:t>
              </w:r>
            </w:hyperlink>
          </w:p>
        </w:tc>
      </w:tr>
      <w:tr>
        <w:trPr>
          <w:trHeight w:val="20"/>
        </w:trPr>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Fees and Compensation of Directors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13</w:t>
              </w:r>
            </w:hyperlink>
          </w:p>
        </w:tc>
      </w:tr>
      <w:tr>
        <w:trPr>
          <w:trHeight w:val="20"/>
        </w:trPr>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3.</w:t>
            </w:r>
            <w:r>
              <w:rPr>
                <w:rFonts w:ascii="Arial" w:cs="Arial" w:eastAsia="Arial" w:hAnsi="Arial"/>
                <w:sz w:val="18"/>
                <w:szCs w:val="18"/>
                <w:u w:val="single" w:color="auto"/>
                <w:color w:val="0000FF"/>
              </w:rPr>
              <w:t>11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Removal of Directors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13</w:t>
              </w:r>
            </w:hyperlink>
          </w:p>
        </w:tc>
      </w:tr>
      <w:tr>
        <w:trPr>
          <w:trHeight w:val="20"/>
        </w:trPr>
        <w:tc>
          <w:tcPr>
            <w:tcW w:w="102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20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86">
              <w:r>
                <w:rPr>
                  <w:rFonts w:ascii="Arial" w:cs="Arial" w:eastAsia="Arial" w:hAnsi="Arial"/>
                  <w:sz w:val="18"/>
                  <w:szCs w:val="18"/>
                  <w:color w:val="0000EE"/>
                  <w:w w:val="97"/>
                </w:rPr>
                <w:t>ARTICLE IV COMMITTEES</w:t>
              </w:r>
            </w:hyperlink>
          </w:p>
        </w:tc>
        <w:tc>
          <w:tcPr>
            <w:tcW w:w="8980" w:type="dxa"/>
            <w:vAlign w:val="bottom"/>
            <w:gridSpan w:val="21"/>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13</w:t>
              </w:r>
            </w:hyperlink>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Committees of Directors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13</w:t>
              </w:r>
            </w:hyperlink>
          </w:p>
        </w:tc>
      </w:tr>
      <w:tr>
        <w:trPr>
          <w:trHeight w:val="20"/>
        </w:trPr>
        <w:tc>
          <w:tcPr>
            <w:tcW w:w="110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Committee Minutes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14</w:t>
              </w:r>
            </w:hyperlink>
          </w:p>
        </w:tc>
      </w:tr>
      <w:tr>
        <w:trPr>
          <w:trHeight w:val="20"/>
        </w:trPr>
        <w:tc>
          <w:tcPr>
            <w:tcW w:w="110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Meetings and Action of Committees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14</w:t>
              </w:r>
            </w:hyperlink>
          </w:p>
        </w:tc>
      </w:tr>
      <w:tr>
        <w:trPr>
          <w:trHeight w:val="20"/>
        </w:trPr>
        <w:tc>
          <w:tcPr>
            <w:tcW w:w="110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6"/>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Subcommittees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14</w:t>
              </w:r>
            </w:hyperlink>
          </w:p>
        </w:tc>
      </w:tr>
      <w:tr>
        <w:trPr>
          <w:trHeight w:val="20"/>
        </w:trPr>
        <w:tc>
          <w:tcPr>
            <w:tcW w:w="110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33"/>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ARTICLE V OFFICERS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14</w:t>
              </w:r>
            </w:hyperlink>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5.</w:t>
            </w:r>
            <w:r>
              <w:rPr>
                <w:rFonts w:ascii="Arial" w:cs="Arial" w:eastAsia="Arial" w:hAnsi="Arial"/>
                <w:sz w:val="18"/>
                <w:szCs w:val="18"/>
                <w:u w:val="single" w:color="auto"/>
                <w:color w:val="0000FF"/>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Officers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14</w:t>
              </w:r>
            </w:hyperlink>
          </w:p>
        </w:tc>
      </w:tr>
      <w:tr>
        <w:trPr>
          <w:trHeight w:val="20"/>
        </w:trPr>
        <w:tc>
          <w:tcPr>
            <w:tcW w:w="110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5.</w:t>
            </w:r>
            <w:r>
              <w:rPr>
                <w:rFonts w:ascii="Arial" w:cs="Arial" w:eastAsia="Arial" w:hAnsi="Arial"/>
                <w:sz w:val="18"/>
                <w:szCs w:val="18"/>
                <w:u w:val="single" w:color="auto"/>
                <w:color w:val="0000FF"/>
              </w:rPr>
              <w:t>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Appointment of Officers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15</w:t>
              </w:r>
            </w:hyperlink>
          </w:p>
        </w:tc>
      </w:tr>
      <w:tr>
        <w:trPr>
          <w:trHeight w:val="20"/>
        </w:trPr>
        <w:tc>
          <w:tcPr>
            <w:tcW w:w="110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14"/>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5.</w:t>
            </w:r>
            <w:r>
              <w:rPr>
                <w:rFonts w:ascii="Arial" w:cs="Arial" w:eastAsia="Arial" w:hAnsi="Arial"/>
                <w:sz w:val="18"/>
                <w:szCs w:val="18"/>
                <w:u w:val="single" w:color="auto"/>
                <w:color w:val="0000FF"/>
              </w:rPr>
              <w:t>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Subordinate Officers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15</w:t>
              </w:r>
            </w:hyperlink>
          </w:p>
        </w:tc>
      </w:tr>
      <w:tr>
        <w:trPr>
          <w:trHeight w:val="20"/>
        </w:trPr>
        <w:tc>
          <w:tcPr>
            <w:tcW w:w="110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14"/>
            <w:shd w:val="clear" w:color="auto" w:fill="0000EE"/>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5.</w:t>
            </w:r>
            <w:r>
              <w:rPr>
                <w:rFonts w:ascii="Arial" w:cs="Arial" w:eastAsia="Arial" w:hAnsi="Arial"/>
                <w:sz w:val="18"/>
                <w:szCs w:val="18"/>
                <w:u w:val="single" w:color="auto"/>
                <w:color w:val="0000FF"/>
              </w:rPr>
              <w:t>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0" w:type="dxa"/>
            <w:vAlign w:val="bottom"/>
            <w:gridSpan w:val="2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Removal and Resignation of Officers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15</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00"/>
          </w:cols>
          <w:pgMar w:left="240" w:top="369" w:right="259" w:bottom="1440" w:gutter="0" w:footer="0" w:header="0"/>
        </w:sectPr>
      </w:pPr>
    </w:p>
    <w:bookmarkStart w:id="72" w:name="page73"/>
    <w:bookmarkEnd w:id="72"/>
    <w:tbl>
      <w:tblPr>
        <w:tblLayout w:type="fixed"/>
        <w:tblInd w:w="40" w:type="dxa"/>
        <w:tblCellMar>
          <w:top w:w="0" w:type="dxa"/>
          <w:left w:w="0" w:type="dxa"/>
          <w:bottom w:w="0" w:type="dxa"/>
          <w:right w:w="0" w:type="dxa"/>
        </w:tblCellMar>
      </w:tblPr>
      <w:tr>
        <w:trPr>
          <w:trHeight w:val="207"/>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5.</w:t>
            </w:r>
            <w:r>
              <w:rPr>
                <w:rFonts w:ascii="Arial" w:cs="Arial" w:eastAsia="Arial" w:hAnsi="Arial"/>
                <w:sz w:val="18"/>
                <w:szCs w:val="18"/>
                <w:u w:val="single" w:color="auto"/>
                <w:color w:val="0000FF"/>
              </w:rPr>
              <w:t>5</w:t>
            </w:r>
          </w:p>
        </w:tc>
        <w:tc>
          <w:tcPr>
            <w:tcW w:w="60" w:type="dxa"/>
            <w:vAlign w:val="bottom"/>
          </w:tcPr>
          <w:p>
            <w:pPr>
              <w:spacing w:after="0"/>
              <w:rPr>
                <w:sz w:val="17"/>
                <w:szCs w:val="17"/>
                <w:color w:val="auto"/>
              </w:rPr>
            </w:pPr>
          </w:p>
        </w:tc>
        <w:tc>
          <w:tcPr>
            <w:tcW w:w="9800" w:type="dxa"/>
            <w:vAlign w:val="bottom"/>
            <w:gridSpan w:val="2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Vacancies In Offices</w:t>
              </w:r>
            </w:hyperlink>
          </w:p>
        </w:tc>
        <w:tc>
          <w:tcPr>
            <w:tcW w:w="180" w:type="dxa"/>
            <w:vAlign w:val="bottom"/>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15</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5.</w:t>
            </w:r>
            <w:r>
              <w:rPr>
                <w:rFonts w:ascii="Arial" w:cs="Arial" w:eastAsia="Arial" w:hAnsi="Arial"/>
                <w:sz w:val="18"/>
                <w:szCs w:val="18"/>
                <w:u w:val="single" w:color="auto"/>
                <w:color w:val="0000FF"/>
              </w:rPr>
              <w:t>6</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Representation of Shares of Other Corporations</w:t>
              </w:r>
            </w:hyperlink>
          </w:p>
        </w:tc>
        <w:tc>
          <w:tcPr>
            <w:tcW w:w="180" w:type="dxa"/>
            <w:vAlign w:val="bottom"/>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15</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5.</w:t>
            </w:r>
            <w:r>
              <w:rPr>
                <w:rFonts w:ascii="Arial" w:cs="Arial" w:eastAsia="Arial" w:hAnsi="Arial"/>
                <w:sz w:val="18"/>
                <w:szCs w:val="18"/>
                <w:u w:val="single" w:color="auto"/>
                <w:color w:val="0000FF"/>
              </w:rPr>
              <w:t>7</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Authority and Duties of Officers</w:t>
              </w:r>
            </w:hyperlink>
          </w:p>
        </w:tc>
        <w:tc>
          <w:tcPr>
            <w:tcW w:w="180" w:type="dxa"/>
            <w:vAlign w:val="bottom"/>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15</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62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89">
              <w:r>
                <w:rPr>
                  <w:rFonts w:ascii="Arial" w:cs="Arial" w:eastAsia="Arial" w:hAnsi="Arial"/>
                  <w:sz w:val="18"/>
                  <w:szCs w:val="18"/>
                  <w:color w:val="0000EE"/>
                  <w:w w:val="96"/>
                </w:rPr>
                <w:t>ARTICLE VI STOCK</w:t>
              </w:r>
            </w:hyperlink>
          </w:p>
        </w:tc>
        <w:tc>
          <w:tcPr>
            <w:tcW w:w="9560" w:type="dxa"/>
            <w:vAlign w:val="bottom"/>
            <w:gridSpan w:val="28"/>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16</w:t>
              </w:r>
            </w:hyperlink>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6.</w:t>
            </w:r>
            <w:r>
              <w:rPr>
                <w:rFonts w:ascii="Arial" w:cs="Arial" w:eastAsia="Arial" w:hAnsi="Arial"/>
                <w:sz w:val="18"/>
                <w:szCs w:val="18"/>
                <w:u w:val="single" w:color="auto"/>
                <w:color w:val="0000FF"/>
              </w:rPr>
              <w:t>1</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Stock Certificates; Partly Paid Shares</w:t>
              </w:r>
            </w:hyperlink>
          </w:p>
        </w:tc>
        <w:tc>
          <w:tcPr>
            <w:tcW w:w="180" w:type="dxa"/>
            <w:vAlign w:val="bottom"/>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16</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6.</w:t>
            </w:r>
            <w:r>
              <w:rPr>
                <w:rFonts w:ascii="Arial" w:cs="Arial" w:eastAsia="Arial" w:hAnsi="Arial"/>
                <w:sz w:val="18"/>
                <w:szCs w:val="18"/>
                <w:u w:val="single" w:color="auto"/>
                <w:color w:val="0000FF"/>
              </w:rPr>
              <w:t>2</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Special Designation On Certificates</w:t>
              </w:r>
            </w:hyperlink>
          </w:p>
        </w:tc>
        <w:tc>
          <w:tcPr>
            <w:tcW w:w="180" w:type="dxa"/>
            <w:vAlign w:val="bottom"/>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16</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6.</w:t>
            </w:r>
            <w:r>
              <w:rPr>
                <w:rFonts w:ascii="Arial" w:cs="Arial" w:eastAsia="Arial" w:hAnsi="Arial"/>
                <w:sz w:val="18"/>
                <w:szCs w:val="18"/>
                <w:u w:val="single" w:color="auto"/>
                <w:color w:val="0000FF"/>
              </w:rPr>
              <w:t>3</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Lost Certificates</w:t>
              </w:r>
            </w:hyperlink>
          </w:p>
        </w:tc>
        <w:tc>
          <w:tcPr>
            <w:tcW w:w="180" w:type="dxa"/>
            <w:vAlign w:val="bottom"/>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17</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6.</w:t>
            </w:r>
            <w:r>
              <w:rPr>
                <w:rFonts w:ascii="Arial" w:cs="Arial" w:eastAsia="Arial" w:hAnsi="Arial"/>
                <w:sz w:val="18"/>
                <w:szCs w:val="18"/>
                <w:u w:val="single" w:color="auto"/>
                <w:color w:val="0000FF"/>
              </w:rPr>
              <w:t>4</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Dividends</w:t>
              </w:r>
            </w:hyperlink>
          </w:p>
        </w:tc>
        <w:tc>
          <w:tcPr>
            <w:tcW w:w="180" w:type="dxa"/>
            <w:vAlign w:val="bottom"/>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17</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6.</w:t>
            </w:r>
            <w:r>
              <w:rPr>
                <w:rFonts w:ascii="Arial" w:cs="Arial" w:eastAsia="Arial" w:hAnsi="Arial"/>
                <w:sz w:val="18"/>
                <w:szCs w:val="18"/>
                <w:u w:val="single" w:color="auto"/>
                <w:color w:val="0000FF"/>
              </w:rPr>
              <w:t>5</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Transfer of Stock</w:t>
              </w:r>
            </w:hyperlink>
          </w:p>
        </w:tc>
        <w:tc>
          <w:tcPr>
            <w:tcW w:w="180" w:type="dxa"/>
            <w:vAlign w:val="bottom"/>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17</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6.</w:t>
            </w:r>
            <w:r>
              <w:rPr>
                <w:rFonts w:ascii="Arial" w:cs="Arial" w:eastAsia="Arial" w:hAnsi="Arial"/>
                <w:sz w:val="18"/>
                <w:szCs w:val="18"/>
                <w:u w:val="single" w:color="auto"/>
                <w:color w:val="0000FF"/>
              </w:rPr>
              <w:t>6</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Stock Transfer Agreements</w:t>
              </w:r>
            </w:hyperlink>
          </w:p>
        </w:tc>
        <w:tc>
          <w:tcPr>
            <w:tcW w:w="180" w:type="dxa"/>
            <w:vAlign w:val="bottom"/>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17</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6.</w:t>
            </w:r>
            <w:r>
              <w:rPr>
                <w:rFonts w:ascii="Arial" w:cs="Arial" w:eastAsia="Arial" w:hAnsi="Arial"/>
                <w:sz w:val="18"/>
                <w:szCs w:val="18"/>
                <w:u w:val="single" w:color="auto"/>
                <w:color w:val="0000FF"/>
              </w:rPr>
              <w:t>7</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Registered Stockholders</w:t>
              </w:r>
            </w:hyperlink>
          </w:p>
        </w:tc>
        <w:tc>
          <w:tcPr>
            <w:tcW w:w="180" w:type="dxa"/>
            <w:vAlign w:val="bottom"/>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17</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180" w:type="dxa"/>
            <w:vAlign w:val="bottom"/>
            <w:gridSpan w:val="34"/>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ARTICLE VII MANNER OF GIVING NOTICE AND WAIVER</w:t>
              </w:r>
            </w:hyperlink>
          </w:p>
        </w:tc>
        <w:tc>
          <w:tcPr>
            <w:tcW w:w="180" w:type="dxa"/>
            <w:vAlign w:val="bottom"/>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18</w:t>
              </w:r>
            </w:hyperlink>
          </w:p>
        </w:tc>
      </w:tr>
      <w:tr>
        <w:trPr>
          <w:trHeight w:val="250"/>
        </w:trPr>
        <w:tc>
          <w:tcPr>
            <w:tcW w:w="1320" w:type="dxa"/>
            <w:vAlign w:val="bottom"/>
            <w:tcBorders>
              <w:top w:val="single" w:sz="8" w:color="0000EE"/>
            </w:tcBorders>
            <w:gridSpan w:val="4"/>
          </w:tcPr>
          <w:p>
            <w:pPr>
              <w:jc w:val="right"/>
              <w:spacing w:after="0"/>
              <w:rPr>
                <w:sz w:val="20"/>
                <w:szCs w:val="20"/>
                <w:color w:val="auto"/>
              </w:rPr>
            </w:pPr>
            <w:r>
              <w:rPr>
                <w:rFonts w:ascii="Arial" w:cs="Arial" w:eastAsia="Arial" w:hAnsi="Arial"/>
                <w:sz w:val="18"/>
                <w:szCs w:val="18"/>
                <w:color w:val="0000FF"/>
              </w:rPr>
              <w:t>7.</w:t>
            </w:r>
            <w:r>
              <w:rPr>
                <w:rFonts w:ascii="Arial" w:cs="Arial" w:eastAsia="Arial" w:hAnsi="Arial"/>
                <w:sz w:val="18"/>
                <w:szCs w:val="18"/>
                <w:u w:val="single" w:color="auto"/>
                <w:color w:val="0000FF"/>
              </w:rPr>
              <w:t>1</w:t>
            </w:r>
          </w:p>
        </w:tc>
        <w:tc>
          <w:tcPr>
            <w:tcW w:w="60" w:type="dxa"/>
            <w:vAlign w:val="bottom"/>
            <w:tcBorders>
              <w:top w:val="single" w:sz="8" w:color="0000EE"/>
            </w:tcBorders>
          </w:tcPr>
          <w:p>
            <w:pPr>
              <w:spacing w:after="0"/>
              <w:rPr>
                <w:sz w:val="21"/>
                <w:szCs w:val="21"/>
                <w:color w:val="auto"/>
              </w:rPr>
            </w:pPr>
          </w:p>
        </w:tc>
        <w:tc>
          <w:tcPr>
            <w:tcW w:w="3320" w:type="dxa"/>
            <w:vAlign w:val="bottom"/>
            <w:tcBorders>
              <w:top w:val="single" w:sz="8" w:color="0000EE"/>
            </w:tcBorders>
            <w:gridSpan w:val="23"/>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Notice of Stockholders’ Meetings</w:t>
              </w:r>
            </w:hyperlink>
          </w:p>
        </w:tc>
        <w:tc>
          <w:tcPr>
            <w:tcW w:w="6480" w:type="dxa"/>
            <w:vAlign w:val="bottom"/>
            <w:gridSpan w:val="6"/>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18</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7.</w:t>
            </w:r>
            <w:r>
              <w:rPr>
                <w:rFonts w:ascii="Arial" w:cs="Arial" w:eastAsia="Arial" w:hAnsi="Arial"/>
                <w:sz w:val="18"/>
                <w:szCs w:val="18"/>
                <w:u w:val="single" w:color="auto"/>
                <w:color w:val="0000FF"/>
              </w:rPr>
              <w:t>2</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Notice By Electronic Transmission</w:t>
              </w:r>
            </w:hyperlink>
          </w:p>
        </w:tc>
        <w:tc>
          <w:tcPr>
            <w:tcW w:w="180" w:type="dxa"/>
            <w:vAlign w:val="bottom"/>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18</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7.</w:t>
            </w:r>
            <w:r>
              <w:rPr>
                <w:rFonts w:ascii="Arial" w:cs="Arial" w:eastAsia="Arial" w:hAnsi="Arial"/>
                <w:sz w:val="18"/>
                <w:szCs w:val="18"/>
                <w:u w:val="single" w:color="auto"/>
                <w:color w:val="0000FF"/>
              </w:rPr>
              <w:t>3</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Notice To Stockholders Sharing An Address</w:t>
              </w:r>
            </w:hyperlink>
          </w:p>
        </w:tc>
        <w:tc>
          <w:tcPr>
            <w:tcW w:w="180" w:type="dxa"/>
            <w:vAlign w:val="bottom"/>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19</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7.</w:t>
            </w:r>
            <w:r>
              <w:rPr>
                <w:rFonts w:ascii="Arial" w:cs="Arial" w:eastAsia="Arial" w:hAnsi="Arial"/>
                <w:sz w:val="18"/>
                <w:szCs w:val="18"/>
                <w:u w:val="single" w:color="auto"/>
                <w:color w:val="0000FF"/>
              </w:rPr>
              <w:t>4</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Notice To Person With Whom Communication Is Unlawful</w:t>
              </w:r>
            </w:hyperlink>
          </w:p>
        </w:tc>
        <w:tc>
          <w:tcPr>
            <w:tcW w:w="180" w:type="dxa"/>
            <w:vAlign w:val="bottom"/>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19</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7.</w:t>
            </w:r>
            <w:r>
              <w:rPr>
                <w:rFonts w:ascii="Arial" w:cs="Arial" w:eastAsia="Arial" w:hAnsi="Arial"/>
                <w:sz w:val="18"/>
                <w:szCs w:val="18"/>
                <w:u w:val="single" w:color="auto"/>
                <w:color w:val="0000FF"/>
              </w:rPr>
              <w:t>5</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Waiver of Notice</w:t>
              </w:r>
            </w:hyperlink>
          </w:p>
        </w:tc>
        <w:tc>
          <w:tcPr>
            <w:tcW w:w="180" w:type="dxa"/>
            <w:vAlign w:val="bottom"/>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19</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180" w:type="dxa"/>
            <w:vAlign w:val="bottom"/>
            <w:gridSpan w:val="34"/>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ARTICLE VIII FORUM FOR CERTAIN ACTIONS</w:t>
              </w:r>
            </w:hyperlink>
          </w:p>
        </w:tc>
        <w:tc>
          <w:tcPr>
            <w:tcW w:w="180" w:type="dxa"/>
            <w:vAlign w:val="bottom"/>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19</w:t>
              </w:r>
            </w:hyperlink>
          </w:p>
        </w:tc>
      </w:tr>
      <w:tr>
        <w:trPr>
          <w:trHeight w:val="250"/>
        </w:trPr>
        <w:tc>
          <w:tcPr>
            <w:tcW w:w="3820" w:type="dxa"/>
            <w:vAlign w:val="bottom"/>
            <w:tcBorders>
              <w:top w:val="single" w:sz="8" w:color="0000EE"/>
            </w:tcBorders>
            <w:gridSpan w:val="2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ARTICLE IX INDEMNIFICATION</w:t>
              </w:r>
            </w:hyperlink>
          </w:p>
        </w:tc>
        <w:tc>
          <w:tcPr>
            <w:tcW w:w="7360" w:type="dxa"/>
            <w:vAlign w:val="bottom"/>
            <w:gridSpan w:val="10"/>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20</w:t>
              </w:r>
            </w:hyperlink>
          </w:p>
        </w:tc>
      </w:tr>
      <w:tr>
        <w:trPr>
          <w:trHeight w:val="20"/>
        </w:trPr>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9.</w:t>
            </w:r>
            <w:r>
              <w:rPr>
                <w:rFonts w:ascii="Arial" w:cs="Arial" w:eastAsia="Arial" w:hAnsi="Arial"/>
                <w:sz w:val="18"/>
                <w:szCs w:val="18"/>
                <w:u w:val="single" w:color="auto"/>
                <w:color w:val="0000FF"/>
              </w:rPr>
              <w:t>1</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Indemnification of Directors and Officers In Third Party Proceedings</w:t>
              </w:r>
            </w:hyperlink>
          </w:p>
        </w:tc>
        <w:tc>
          <w:tcPr>
            <w:tcW w:w="180" w:type="dxa"/>
            <w:vAlign w:val="bottom"/>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20</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9.</w:t>
            </w:r>
            <w:r>
              <w:rPr>
                <w:rFonts w:ascii="Arial" w:cs="Arial" w:eastAsia="Arial" w:hAnsi="Arial"/>
                <w:sz w:val="18"/>
                <w:szCs w:val="18"/>
                <w:u w:val="single" w:color="auto"/>
                <w:color w:val="0000FF"/>
              </w:rPr>
              <w:t>2</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Indemnification of Directors and Officers in Actions by or in the Right of the Corporation</w:t>
              </w:r>
            </w:hyperlink>
          </w:p>
        </w:tc>
        <w:tc>
          <w:tcPr>
            <w:tcW w:w="180" w:type="dxa"/>
            <w:vAlign w:val="bottom"/>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20</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9.</w:t>
            </w:r>
            <w:r>
              <w:rPr>
                <w:rFonts w:ascii="Arial" w:cs="Arial" w:eastAsia="Arial" w:hAnsi="Arial"/>
                <w:sz w:val="18"/>
                <w:szCs w:val="18"/>
                <w:u w:val="single" w:color="auto"/>
                <w:color w:val="0000FF"/>
              </w:rPr>
              <w:t>3</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Successful Defense</w:t>
              </w:r>
            </w:hyperlink>
          </w:p>
        </w:tc>
        <w:tc>
          <w:tcPr>
            <w:tcW w:w="180" w:type="dxa"/>
            <w:vAlign w:val="bottom"/>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21</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9.</w:t>
            </w:r>
            <w:r>
              <w:rPr>
                <w:rFonts w:ascii="Arial" w:cs="Arial" w:eastAsia="Arial" w:hAnsi="Arial"/>
                <w:sz w:val="18"/>
                <w:szCs w:val="18"/>
                <w:u w:val="single" w:color="auto"/>
                <w:color w:val="0000FF"/>
              </w:rPr>
              <w:t>4</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Indemnification of Others</w:t>
              </w:r>
            </w:hyperlink>
          </w:p>
        </w:tc>
        <w:tc>
          <w:tcPr>
            <w:tcW w:w="180" w:type="dxa"/>
            <w:vAlign w:val="bottom"/>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21</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9.</w:t>
            </w:r>
            <w:r>
              <w:rPr>
                <w:rFonts w:ascii="Arial" w:cs="Arial" w:eastAsia="Arial" w:hAnsi="Arial"/>
                <w:sz w:val="18"/>
                <w:szCs w:val="18"/>
                <w:u w:val="single" w:color="auto"/>
                <w:color w:val="0000FF"/>
              </w:rPr>
              <w:t>5</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Advance Payment of Expenses</w:t>
              </w:r>
            </w:hyperlink>
          </w:p>
        </w:tc>
        <w:tc>
          <w:tcPr>
            <w:tcW w:w="180" w:type="dxa"/>
            <w:vAlign w:val="bottom"/>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21</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9.</w:t>
            </w:r>
            <w:r>
              <w:rPr>
                <w:rFonts w:ascii="Arial" w:cs="Arial" w:eastAsia="Arial" w:hAnsi="Arial"/>
                <w:sz w:val="18"/>
                <w:szCs w:val="18"/>
                <w:u w:val="single" w:color="auto"/>
                <w:color w:val="0000FF"/>
              </w:rPr>
              <w:t>6</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Limitation On Indemnification</w:t>
              </w:r>
            </w:hyperlink>
          </w:p>
        </w:tc>
        <w:tc>
          <w:tcPr>
            <w:tcW w:w="180" w:type="dxa"/>
            <w:vAlign w:val="bottom"/>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21</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9.</w:t>
            </w:r>
            <w:r>
              <w:rPr>
                <w:rFonts w:ascii="Arial" w:cs="Arial" w:eastAsia="Arial" w:hAnsi="Arial"/>
                <w:sz w:val="18"/>
                <w:szCs w:val="18"/>
                <w:u w:val="single" w:color="auto"/>
                <w:color w:val="0000FF"/>
              </w:rPr>
              <w:t>7</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Determination; Claim</w:t>
              </w:r>
            </w:hyperlink>
          </w:p>
        </w:tc>
        <w:tc>
          <w:tcPr>
            <w:tcW w:w="180" w:type="dxa"/>
            <w:vAlign w:val="bottom"/>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22</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9.</w:t>
            </w:r>
            <w:r>
              <w:rPr>
                <w:rFonts w:ascii="Arial" w:cs="Arial" w:eastAsia="Arial" w:hAnsi="Arial"/>
                <w:sz w:val="18"/>
                <w:szCs w:val="18"/>
                <w:u w:val="single" w:color="auto"/>
                <w:color w:val="0000FF"/>
              </w:rPr>
              <w:t>8</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Non-Exclusivity of Rights</w:t>
              </w:r>
            </w:hyperlink>
          </w:p>
        </w:tc>
        <w:tc>
          <w:tcPr>
            <w:tcW w:w="180" w:type="dxa"/>
            <w:vAlign w:val="bottom"/>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22</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9.</w:t>
            </w:r>
            <w:r>
              <w:rPr>
                <w:rFonts w:ascii="Arial" w:cs="Arial" w:eastAsia="Arial" w:hAnsi="Arial"/>
                <w:sz w:val="18"/>
                <w:szCs w:val="18"/>
                <w:u w:val="single" w:color="auto"/>
                <w:color w:val="0000FF"/>
              </w:rPr>
              <w:t>9</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Insurance</w:t>
              </w:r>
            </w:hyperlink>
          </w:p>
        </w:tc>
        <w:tc>
          <w:tcPr>
            <w:tcW w:w="180" w:type="dxa"/>
            <w:vAlign w:val="bottom"/>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23</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9.</w:t>
            </w:r>
            <w:r>
              <w:rPr>
                <w:rFonts w:ascii="Arial" w:cs="Arial" w:eastAsia="Arial" w:hAnsi="Arial"/>
                <w:sz w:val="18"/>
                <w:szCs w:val="18"/>
                <w:u w:val="single" w:color="auto"/>
                <w:color w:val="0000FF"/>
              </w:rPr>
              <w:t>1</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Survival</w:t>
              </w:r>
            </w:hyperlink>
          </w:p>
        </w:tc>
        <w:tc>
          <w:tcPr>
            <w:tcW w:w="180" w:type="dxa"/>
            <w:vAlign w:val="bottom"/>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23</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320" w:type="dxa"/>
            <w:vAlign w:val="bottom"/>
            <w:gridSpan w:val="4"/>
          </w:tcPr>
          <w:p>
            <w:pPr>
              <w:jc w:val="right"/>
              <w:spacing w:after="0"/>
              <w:rPr>
                <w:sz w:val="20"/>
                <w:szCs w:val="20"/>
                <w:color w:val="auto"/>
              </w:rPr>
            </w:pPr>
            <w:r>
              <w:rPr>
                <w:rFonts w:ascii="Arial" w:cs="Arial" w:eastAsia="Arial" w:hAnsi="Arial"/>
                <w:sz w:val="18"/>
                <w:szCs w:val="18"/>
                <w:color w:val="0000FF"/>
              </w:rPr>
              <w:t>9.</w:t>
            </w:r>
            <w:r>
              <w:rPr>
                <w:rFonts w:ascii="Arial" w:cs="Arial" w:eastAsia="Arial" w:hAnsi="Arial"/>
                <w:sz w:val="18"/>
                <w:szCs w:val="18"/>
                <w:u w:val="single" w:color="auto"/>
                <w:color w:val="0000FF"/>
              </w:rPr>
              <w:t>11</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Effect of Repeal or Modification</w:t>
              </w:r>
            </w:hyperlink>
          </w:p>
        </w:tc>
        <w:tc>
          <w:tcPr>
            <w:tcW w:w="180" w:type="dxa"/>
            <w:vAlign w:val="bottom"/>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23</w:t>
              </w:r>
            </w:hyperlink>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12</w:t>
            </w:r>
          </w:p>
        </w:tc>
        <w:tc>
          <w:tcPr>
            <w:tcW w:w="60" w:type="dxa"/>
            <w:vAlign w:val="bottom"/>
          </w:tcPr>
          <w:p>
            <w:pPr>
              <w:spacing w:after="0"/>
              <w:rPr>
                <w:sz w:val="21"/>
                <w:szCs w:val="21"/>
                <w:color w:val="auto"/>
              </w:rPr>
            </w:pPr>
          </w:p>
        </w:tc>
        <w:tc>
          <w:tcPr>
            <w:tcW w:w="140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Certain Definitions</w:t>
              </w:r>
            </w:hyperlink>
          </w:p>
        </w:tc>
        <w:tc>
          <w:tcPr>
            <w:tcW w:w="8400" w:type="dxa"/>
            <w:vAlign w:val="bottom"/>
            <w:gridSpan w:val="18"/>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23</w:t>
              </w:r>
            </w:hyperlink>
          </w:p>
        </w:tc>
      </w:tr>
      <w:tr>
        <w:trPr>
          <w:trHeight w:val="250"/>
        </w:trPr>
        <w:tc>
          <w:tcPr>
            <w:tcW w:w="11180" w:type="dxa"/>
            <w:vAlign w:val="bottom"/>
            <w:gridSpan w:val="34"/>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ARTICLE X GENERAL MATTERS</w:t>
              </w:r>
            </w:hyperlink>
          </w:p>
        </w:tc>
        <w:tc>
          <w:tcPr>
            <w:tcW w:w="180" w:type="dxa"/>
            <w:vAlign w:val="bottom"/>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24</w:t>
              </w:r>
            </w:hyperlink>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p>
        </w:tc>
        <w:tc>
          <w:tcPr>
            <w:tcW w:w="60" w:type="dxa"/>
            <w:vAlign w:val="bottom"/>
          </w:tcPr>
          <w:p>
            <w:pPr>
              <w:spacing w:after="0"/>
              <w:rPr>
                <w:sz w:val="21"/>
                <w:szCs w:val="21"/>
                <w:color w:val="auto"/>
              </w:rPr>
            </w:pPr>
          </w:p>
        </w:tc>
        <w:tc>
          <w:tcPr>
            <w:tcW w:w="362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Execution of Corporate Contracts and Instruments</w:t>
              </w:r>
            </w:hyperlink>
          </w:p>
        </w:tc>
        <w:tc>
          <w:tcPr>
            <w:tcW w:w="618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24</w:t>
              </w:r>
            </w:hyperlink>
          </w:p>
        </w:tc>
      </w:tr>
      <w:tr>
        <w:trPr>
          <w:trHeight w:val="250"/>
        </w:trPr>
        <w:tc>
          <w:tcPr>
            <w:tcW w:w="1000" w:type="dxa"/>
            <w:vAlign w:val="bottom"/>
          </w:tcPr>
          <w:p>
            <w:pPr>
              <w:spacing w:after="0"/>
              <w:rPr>
                <w:sz w:val="21"/>
                <w:szCs w:val="21"/>
                <w:color w:val="auto"/>
              </w:rPr>
            </w:pP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p>
        </w:tc>
        <w:tc>
          <w:tcPr>
            <w:tcW w:w="60" w:type="dxa"/>
            <w:vAlign w:val="bottom"/>
          </w:tcPr>
          <w:p>
            <w:pPr>
              <w:spacing w:after="0"/>
              <w:rPr>
                <w:sz w:val="21"/>
                <w:szCs w:val="21"/>
                <w:color w:val="auto"/>
              </w:rPr>
            </w:pPr>
          </w:p>
        </w:tc>
        <w:tc>
          <w:tcPr>
            <w:tcW w:w="80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97">
              <w:r>
                <w:rPr>
                  <w:rFonts w:ascii="Arial" w:cs="Arial" w:eastAsia="Arial" w:hAnsi="Arial"/>
                  <w:sz w:val="18"/>
                  <w:szCs w:val="18"/>
                  <w:color w:val="0000EE"/>
                  <w:w w:val="86"/>
                </w:rPr>
                <w:t>Fiscal Year</w:t>
              </w:r>
            </w:hyperlink>
          </w:p>
        </w:tc>
        <w:tc>
          <w:tcPr>
            <w:tcW w:w="9000" w:type="dxa"/>
            <w:vAlign w:val="bottom"/>
            <w:gridSpan w:val="2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24</w:t>
              </w:r>
            </w:hyperlink>
          </w:p>
        </w:tc>
      </w:tr>
      <w:tr>
        <w:trPr>
          <w:trHeight w:val="250"/>
        </w:trPr>
        <w:tc>
          <w:tcPr>
            <w:tcW w:w="100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Seal</w:t>
              </w:r>
            </w:hyperlink>
          </w:p>
        </w:tc>
        <w:tc>
          <w:tcPr>
            <w:tcW w:w="180" w:type="dxa"/>
            <w:vAlign w:val="bottom"/>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24</w:t>
              </w:r>
            </w:hyperlink>
          </w:p>
        </w:tc>
      </w:tr>
      <w:tr>
        <w:trPr>
          <w:trHeight w:val="20"/>
        </w:trPr>
        <w:tc>
          <w:tcPr>
            <w:tcW w:w="100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7980" w:type="dxa"/>
            <w:vAlign w:val="bottom"/>
            <w:gridSpan w:val="1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p>
        </w:tc>
        <w:tc>
          <w:tcPr>
            <w:tcW w:w="60" w:type="dxa"/>
            <w:vAlign w:val="bottom"/>
          </w:tcPr>
          <w:p>
            <w:pPr>
              <w:spacing w:after="0"/>
              <w:rPr>
                <w:sz w:val="21"/>
                <w:szCs w:val="21"/>
                <w:color w:val="auto"/>
              </w:rPr>
            </w:pPr>
          </w:p>
        </w:tc>
        <w:tc>
          <w:tcPr>
            <w:tcW w:w="9800" w:type="dxa"/>
            <w:vAlign w:val="bottom"/>
            <w:gridSpan w:val="2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Construction; Definitions</w:t>
              </w:r>
            </w:hyperlink>
          </w:p>
        </w:tc>
        <w:tc>
          <w:tcPr>
            <w:tcW w:w="180" w:type="dxa"/>
            <w:vAlign w:val="bottom"/>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24</w:t>
              </w:r>
            </w:hyperlink>
          </w:p>
        </w:tc>
      </w:tr>
      <w:tr>
        <w:trPr>
          <w:trHeight w:val="20"/>
        </w:trPr>
        <w:tc>
          <w:tcPr>
            <w:tcW w:w="100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900" w:type="dxa"/>
            <w:vAlign w:val="bottom"/>
            <w:gridSpan w:val="9"/>
            <w:shd w:val="clear" w:color="auto" w:fill="0000EE"/>
          </w:tcPr>
          <w:p>
            <w:pPr>
              <w:spacing w:after="0" w:line="20" w:lineRule="exact"/>
              <w:rPr>
                <w:sz w:val="1"/>
                <w:szCs w:val="1"/>
                <w:color w:val="auto"/>
              </w:rPr>
            </w:pPr>
          </w:p>
        </w:tc>
        <w:tc>
          <w:tcPr>
            <w:tcW w:w="7980" w:type="dxa"/>
            <w:vAlign w:val="bottom"/>
            <w:gridSpan w:val="1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230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97">
              <w:r>
                <w:rPr>
                  <w:rFonts w:ascii="Arial" w:cs="Arial" w:eastAsia="Arial" w:hAnsi="Arial"/>
                  <w:sz w:val="18"/>
                  <w:szCs w:val="18"/>
                  <w:color w:val="0000EE"/>
                  <w:w w:val="98"/>
                </w:rPr>
                <w:t>ARTICLE XI AMENDMENTS</w:t>
              </w:r>
            </w:hyperlink>
          </w:p>
        </w:tc>
        <w:tc>
          <w:tcPr>
            <w:tcW w:w="8880" w:type="dxa"/>
            <w:vAlign w:val="bottom"/>
            <w:gridSpan w:val="2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24</w:t>
              </w:r>
            </w:hyperlink>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00"/>
          </w:cols>
          <w:pgMar w:left="240" w:top="513"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b w:val="1"/>
          <w:bCs w:val="1"/>
          <w:color w:val="auto"/>
        </w:rPr>
        <w:t>BYLAWS OF BANDWIDTH INC.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CORPORATE OFFICES</w:t>
      </w:r>
    </w:p>
    <w:p>
      <w:pPr>
        <w:spacing w:after="0" w:line="266"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Registered Office</w:t>
      </w:r>
      <w:r>
        <w:rPr>
          <w:rFonts w:ascii="Arial" w:cs="Arial" w:eastAsia="Arial" w:hAnsi="Arial"/>
          <w:sz w:val="22"/>
          <w:szCs w:val="22"/>
          <w:color w:val="auto"/>
        </w:rPr>
        <w:t>. The registered office of Bandwidth Inc. shall be fixed in the corporation’s certificate of incorporation, as the same may be amended from time to time.</w:t>
      </w:r>
    </w:p>
    <w:p>
      <w:pPr>
        <w:spacing w:after="0" w:line="16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Other Offices</w:t>
      </w:r>
      <w:r>
        <w:rPr>
          <w:rFonts w:ascii="Arial" w:cs="Arial" w:eastAsia="Arial" w:hAnsi="Arial"/>
          <w:sz w:val="22"/>
          <w:szCs w:val="22"/>
          <w:color w:val="auto"/>
        </w:rPr>
        <w:t>. The corporation’s board of directors may at any time establish other offices at any place or places where the corporation is qualified to do business.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 MEETINGS OF STOCKHOLDERS</w:t>
      </w:r>
    </w:p>
    <w:p>
      <w:pPr>
        <w:spacing w:after="0" w:line="2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Place of Meetings</w:t>
      </w:r>
      <w:r>
        <w:rPr>
          <w:rFonts w:ascii="Arial" w:cs="Arial" w:eastAsia="Arial" w:hAnsi="Arial"/>
          <w:sz w:val="19"/>
          <w:szCs w:val="19"/>
          <w:color w:val="auto"/>
        </w:rPr>
        <w:t>. Meetings of stockholders shall be held at any place, within or outside the State of Delaware, designated by the board of directors. The board of directors may, in its sole discretion, determine that a meeting of stockholders shall not be held at any place, but may instead be held solely by means of remote communication as authorized by Section 211(a)</w:t>
      </w:r>
    </w:p>
    <w:p>
      <w:pPr>
        <w:spacing w:after="0" w:line="1" w:lineRule="exact"/>
        <w:rPr>
          <w:sz w:val="20"/>
          <w:szCs w:val="20"/>
          <w:color w:val="auto"/>
        </w:rPr>
      </w:pPr>
    </w:p>
    <w:p>
      <w:pPr>
        <w:ind w:right="20" w:firstLine="8"/>
        <w:spacing w:after="0" w:line="246" w:lineRule="auto"/>
        <w:tabs>
          <w:tab w:leader="none" w:pos="372" w:val="left"/>
        </w:tabs>
        <w:numPr>
          <w:ilvl w:val="0"/>
          <w:numId w:val="54"/>
        </w:numPr>
        <w:rPr>
          <w:rFonts w:ascii="Arial" w:cs="Arial" w:eastAsia="Arial" w:hAnsi="Arial"/>
          <w:sz w:val="22"/>
          <w:szCs w:val="22"/>
          <w:color w:val="auto"/>
        </w:rPr>
      </w:pPr>
      <w:r>
        <w:rPr>
          <w:rFonts w:ascii="Arial" w:cs="Arial" w:eastAsia="Arial" w:hAnsi="Arial"/>
          <w:sz w:val="22"/>
          <w:szCs w:val="22"/>
          <w:color w:val="auto"/>
        </w:rPr>
        <w:t>of the Delaware General Corporation Law (the “</w:t>
      </w:r>
      <w:r>
        <w:rPr>
          <w:rFonts w:ascii="Arial" w:cs="Arial" w:eastAsia="Arial" w:hAnsi="Arial"/>
          <w:sz w:val="22"/>
          <w:szCs w:val="22"/>
          <w:b w:val="1"/>
          <w:bCs w:val="1"/>
          <w:color w:val="auto"/>
        </w:rPr>
        <w:t>DGCL</w:t>
      </w:r>
      <w:r>
        <w:rPr>
          <w:rFonts w:ascii="Arial" w:cs="Arial" w:eastAsia="Arial" w:hAnsi="Arial"/>
          <w:sz w:val="22"/>
          <w:szCs w:val="22"/>
          <w:color w:val="auto"/>
        </w:rPr>
        <w:t>”). In the absence of any such designation or determination, stockholders’ meetings shall be held at the corporation’s principal executive office.</w:t>
      </w:r>
    </w:p>
    <w:p>
      <w:pPr>
        <w:spacing w:after="0" w:line="19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Annual Meeting</w:t>
      </w:r>
      <w:r>
        <w:rPr>
          <w:rFonts w:ascii="Arial" w:cs="Arial" w:eastAsia="Arial" w:hAnsi="Arial"/>
          <w:sz w:val="19"/>
          <w:szCs w:val="19"/>
          <w:color w:val="auto"/>
        </w:rPr>
        <w:t>. The annual meeting of stockholders shall be held on such date, at such time, and at such place (if any) within or without the State of Delaware as shall be designated from time to time by the board of directors and stated in the corporation’s notice of the meeting. At the annual meeting, directors shall be elected and any other proper business, brought in accordance with Section 2.4 of these bylaws, may be transacted. The board of directors may cancel, postpone or reschedule any previously scheduled annual meeting at any time, before or after the notice for such meeting has been sent to the stockholders.</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Special Meeting</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1" w:lineRule="auto"/>
        <w:tabs>
          <w:tab w:leader="none" w:pos="16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special meeting of the stockholders, other than those required by statute, may be called at any time by (A) the board of directors, (B) the chairperson of the board of directors, (C) the chief executive officer or (D) the president (in the absence of a chief executive officer), but a special meeting may not be called by any other person or persons. The board of directors may cancel, postpone or reschedule any previously scheduled special meeting at any time, before or after the notice for such meeting has been sent to the stockholders.</w:t>
      </w:r>
    </w:p>
    <w:p>
      <w:pPr>
        <w:spacing w:after="0" w:line="189" w:lineRule="exact"/>
        <w:rPr>
          <w:rFonts w:ascii="Arial" w:cs="Arial" w:eastAsia="Arial" w:hAnsi="Arial"/>
          <w:sz w:val="22"/>
          <w:szCs w:val="22"/>
          <w:color w:val="auto"/>
        </w:rPr>
      </w:pPr>
    </w:p>
    <w:p>
      <w:pPr>
        <w:jc w:val="both"/>
        <w:ind w:firstLine="1305"/>
        <w:spacing w:after="0" w:line="320" w:lineRule="auto"/>
        <w:tabs>
          <w:tab w:leader="none" w:pos="1781"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notice of a special meeting shall include the purpose for which the meeting is called. Only such business shall be conducted at a special meeting of stockholders as shall have been brought before the meeting by or at the direction of the board of directors, chairperson of the board of directors, chief executive officer or president (in the absence of a chief executive</w:t>
      </w:r>
    </w:p>
    <w:p>
      <w:pPr>
        <w:sectPr>
          <w:pgSz w:w="11900" w:h="16838" w:orient="portrait"/>
          <w:cols w:equalWidth="0" w:num="1">
            <w:col w:w="11420"/>
          </w:cols>
          <w:pgMar w:left="240" w:top="369" w:right="239" w:bottom="1440" w:gutter="0" w:footer="0" w:header="0"/>
        </w:sectPr>
      </w:pPr>
    </w:p>
    <w:bookmarkStart w:id="74" w:name="page75"/>
    <w:bookmarkEnd w:id="74"/>
    <w:p>
      <w:pPr>
        <w:spacing w:after="0" w:line="263" w:lineRule="auto"/>
        <w:rPr>
          <w:sz w:val="20"/>
          <w:szCs w:val="20"/>
          <w:color w:val="auto"/>
        </w:rPr>
      </w:pPr>
      <w:r>
        <w:rPr>
          <w:rFonts w:ascii="Arial" w:cs="Arial" w:eastAsia="Arial" w:hAnsi="Arial"/>
          <w:sz w:val="22"/>
          <w:szCs w:val="22"/>
          <w:color w:val="auto"/>
        </w:rPr>
        <w:t>officer). Nothing contained in this Section 2.3(ii) shall be construed as limiting, fixing or affecting the time when a meeting of stockholders called by action of the board of directors may be held.</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Advance Notice Procedures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9" w:lineRule="auto"/>
        <w:tabs>
          <w:tab w:leader="none" w:pos="1694"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Advance Notice of Stockholder Business</w:t>
      </w:r>
      <w:r>
        <w:rPr>
          <w:rFonts w:ascii="Arial" w:cs="Arial" w:eastAsia="Arial" w:hAnsi="Arial"/>
          <w:sz w:val="19"/>
          <w:szCs w:val="19"/>
          <w:color w:val="auto"/>
        </w:rPr>
        <w:t>. At an annual meeting of the stockholders, only such business shall be conducted as shall have been properly brought before the meeting. To be properly brought before an annual meeting, business must be brought: (A) pursuant to the corporation’s proxy materials with respect to such meeting, (B) by or at the direction of the board of directors, or (C) by a stockholder of the corporation who (1) is a stockholder of record at the time of the giving of the notice required by this Section 2.4(i) and on the record date for the determination of stockholders entitled to vote at the annual meeting and (2) 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For the avoidance of doubt, except for proposals properly made in accordance with Rule 14a-8 under the Securities and Exchange Act of 1934, as amended, or any successor thereto (the “</w:t>
      </w:r>
      <w:r>
        <w:rPr>
          <w:rFonts w:ascii="Arial" w:cs="Arial" w:eastAsia="Arial" w:hAnsi="Arial"/>
          <w:sz w:val="19"/>
          <w:szCs w:val="19"/>
          <w:b w:val="1"/>
          <w:bCs w:val="1"/>
          <w:color w:val="auto"/>
        </w:rPr>
        <w:t>1934 Act</w:t>
      </w:r>
      <w:r>
        <w:rPr>
          <w:rFonts w:ascii="Arial" w:cs="Arial" w:eastAsia="Arial" w:hAnsi="Arial"/>
          <w:sz w:val="19"/>
          <w:szCs w:val="19"/>
          <w:color w:val="auto"/>
        </w:rPr>
        <w:t>”), and the regulations thereunder (or any successor rule and in any case as so amended), clause (C) above shall be the exclusive means for a stockholder to bring business before an annual meeting of stockholders.</w:t>
      </w:r>
    </w:p>
    <w:p>
      <w:pPr>
        <w:spacing w:after="0" w:line="158" w:lineRule="exact"/>
        <w:rPr>
          <w:rFonts w:ascii="Arial" w:cs="Arial" w:eastAsia="Arial" w:hAnsi="Arial"/>
          <w:sz w:val="19"/>
          <w:szCs w:val="19"/>
          <w:color w:val="auto"/>
        </w:rPr>
      </w:pPr>
    </w:p>
    <w:p>
      <w:pPr>
        <w:jc w:val="both"/>
        <w:ind w:firstLine="1953"/>
        <w:spacing w:after="0" w:line="285" w:lineRule="auto"/>
        <w:tabs>
          <w:tab w:leader="none" w:pos="2378" w:val="left"/>
        </w:tabs>
        <w:numPr>
          <w:ilvl w:val="2"/>
          <w:numId w:val="56"/>
        </w:numPr>
        <w:rPr>
          <w:rFonts w:ascii="Arial" w:cs="Arial" w:eastAsia="Arial" w:hAnsi="Arial"/>
          <w:sz w:val="19"/>
          <w:szCs w:val="19"/>
          <w:color w:val="auto"/>
        </w:rPr>
      </w:pPr>
      <w:r>
        <w:rPr>
          <w:rFonts w:ascii="Arial" w:cs="Arial" w:eastAsia="Arial" w:hAnsi="Arial"/>
          <w:sz w:val="19"/>
          <w:szCs w:val="19"/>
          <w:color w:val="auto"/>
        </w:rPr>
        <w:t xml:space="preserve">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w:t>
      </w:r>
    </w:p>
    <w:p>
      <w:pPr>
        <w:spacing w:after="0" w:line="5" w:lineRule="exact"/>
        <w:rPr>
          <w:rFonts w:ascii="Arial" w:cs="Arial" w:eastAsia="Arial" w:hAnsi="Arial"/>
          <w:sz w:val="19"/>
          <w:szCs w:val="19"/>
          <w:color w:val="auto"/>
        </w:rPr>
      </w:pPr>
    </w:p>
    <w:p>
      <w:pPr>
        <w:jc w:val="both"/>
        <w:ind w:firstLine="8"/>
        <w:spacing w:after="0" w:line="244" w:lineRule="auto"/>
        <w:tabs>
          <w:tab w:leader="none" w:pos="33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tenth day following the day on which Public Announcement (as defined below) of the date of such annual meeting is first made. In no event shall any adjournment, rescheduling or postponement of an annual meeting or the announcement thereof commence a new time period for the giving of a stockholder’s notice as described in this Section 2.4(i)(a). “</w:t>
      </w:r>
      <w:r>
        <w:rPr>
          <w:rFonts w:ascii="Arial" w:cs="Arial" w:eastAsia="Arial" w:hAnsi="Arial"/>
          <w:sz w:val="22"/>
          <w:szCs w:val="22"/>
          <w:b w:val="1"/>
          <w:bCs w:val="1"/>
          <w:color w:val="auto"/>
        </w:rPr>
        <w:t>Public</w:t>
      </w:r>
      <w:r>
        <w:rPr>
          <w:rFonts w:ascii="Arial" w:cs="Arial" w:eastAsia="Arial" w:hAnsi="Arial"/>
          <w:sz w:val="22"/>
          <w:szCs w:val="22"/>
          <w:color w:val="auto"/>
        </w:rPr>
        <w:t xml:space="preserve"> </w:t>
      </w:r>
      <w:r>
        <w:rPr>
          <w:rFonts w:ascii="Arial" w:cs="Arial" w:eastAsia="Arial" w:hAnsi="Arial"/>
          <w:sz w:val="22"/>
          <w:szCs w:val="22"/>
          <w:b w:val="1"/>
          <w:bCs w:val="1"/>
          <w:color w:val="auto"/>
        </w:rPr>
        <w:t>Announcement</w:t>
      </w:r>
      <w:r>
        <w:rPr>
          <w:rFonts w:ascii="Arial" w:cs="Arial" w:eastAsia="Arial" w:hAnsi="Arial"/>
          <w:sz w:val="22"/>
          <w:szCs w:val="22"/>
          <w:color w:val="auto"/>
        </w:rPr>
        <w:t>” shall mean disclosure in a press release reported by the Dow Jones News Service, Associated Press or a</w:t>
      </w:r>
      <w:r>
        <w:rPr>
          <w:rFonts w:ascii="Arial" w:cs="Arial" w:eastAsia="Arial" w:hAnsi="Arial"/>
          <w:sz w:val="22"/>
          <w:szCs w:val="22"/>
          <w:b w:val="1"/>
          <w:bCs w:val="1"/>
          <w:color w:val="auto"/>
        </w:rPr>
        <w:t xml:space="preserve"> </w:t>
      </w:r>
      <w:r>
        <w:rPr>
          <w:rFonts w:ascii="Arial" w:cs="Arial" w:eastAsia="Arial" w:hAnsi="Arial"/>
          <w:sz w:val="22"/>
          <w:szCs w:val="22"/>
          <w:color w:val="auto"/>
        </w:rPr>
        <w:t>comparable national news service, in a document publicly filed by the corporation with the Securities and Exchange Commission pursuant to Section 13, 14 or 15(d) of the 1934 Act, or made via a Tweet from a verified account operated by the corporation (e.g., @ Bandwidth).</w:t>
      </w:r>
    </w:p>
    <w:p>
      <w:pPr>
        <w:spacing w:after="0" w:line="194" w:lineRule="exact"/>
        <w:rPr>
          <w:rFonts w:ascii="Arial" w:cs="Arial" w:eastAsia="Arial" w:hAnsi="Arial"/>
          <w:sz w:val="22"/>
          <w:szCs w:val="22"/>
          <w:color w:val="auto"/>
        </w:rPr>
      </w:pPr>
    </w:p>
    <w:p>
      <w:pPr>
        <w:jc w:val="both"/>
        <w:ind w:firstLine="1953"/>
        <w:spacing w:after="0" w:line="320" w:lineRule="auto"/>
        <w:tabs>
          <w:tab w:leader="none" w:pos="2404" w:val="left"/>
        </w:tabs>
        <w:numPr>
          <w:ilvl w:val="2"/>
          <w:numId w:val="57"/>
        </w:numPr>
        <w:rPr>
          <w:rFonts w:ascii="Arial" w:cs="Arial" w:eastAsia="Arial" w:hAnsi="Arial"/>
          <w:sz w:val="19"/>
          <w:szCs w:val="19"/>
          <w:color w:val="auto"/>
        </w:rPr>
      </w:pPr>
      <w:r>
        <w:rPr>
          <w:rFonts w:ascii="Arial" w:cs="Arial" w:eastAsia="Arial" w:hAnsi="Arial"/>
          <w:sz w:val="19"/>
          <w:szCs w:val="19"/>
          <w:color w:val="auto"/>
        </w:rPr>
        <w:t>To be in proper written form, a stockholder’s notice to the secretary must set forth as to each matter of business the stockholder intends to bring before the annual meeting: (1) a brief description of the business intended to be brought before the annual meeting and the reasons for conducting such business at the annual meeting, (2) the name and address, as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75" w:name="page76"/>
    <w:bookmarkEnd w:id="75"/>
    <w:p>
      <w:pPr>
        <w:jc w:val="both"/>
        <w:spacing w:after="0" w:line="285" w:lineRule="auto"/>
        <w:rPr>
          <w:sz w:val="20"/>
          <w:szCs w:val="20"/>
          <w:color w:val="auto"/>
        </w:rPr>
      </w:pPr>
      <w:r>
        <w:rPr>
          <w:rFonts w:ascii="Arial" w:cs="Arial" w:eastAsia="Arial" w:hAnsi="Arial"/>
          <w:sz w:val="19"/>
          <w:szCs w:val="19"/>
          <w:color w:val="auto"/>
        </w:rPr>
        <w:t>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voting power of the corporation’s voting shares required under applicable law to carry the proposal (such information provided and statements made as required by clauses (1) through (6), a “</w:t>
      </w:r>
      <w:r>
        <w:rPr>
          <w:rFonts w:ascii="Arial" w:cs="Arial" w:eastAsia="Arial" w:hAnsi="Arial"/>
          <w:sz w:val="19"/>
          <w:szCs w:val="19"/>
          <w:b w:val="1"/>
          <w:bCs w:val="1"/>
          <w:color w:val="auto"/>
        </w:rPr>
        <w:t>Business Solicitation</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In addition, to be in proper written form, a stockholder’s notice to the secretary must be supplemented not later than</w:t>
      </w:r>
      <w:r>
        <w:rPr>
          <w:rFonts w:ascii="Arial" w:cs="Arial" w:eastAsia="Arial" w:hAnsi="Arial"/>
          <w:sz w:val="19"/>
          <w:szCs w:val="19"/>
          <w:b w:val="1"/>
          <w:bCs w:val="1"/>
          <w:color w:val="auto"/>
        </w:rPr>
        <w:t xml:space="preserve"> </w:t>
      </w:r>
      <w:r>
        <w:rPr>
          <w:rFonts w:ascii="Arial" w:cs="Arial" w:eastAsia="Arial" w:hAnsi="Arial"/>
          <w:sz w:val="19"/>
          <w:szCs w:val="19"/>
          <w:color w:val="auto"/>
        </w:rPr>
        <w:t>ten days following the record date for the determination of stockholders entitled to notice of the meeting to disclose the information contained in clauses (3) and (4) above as of the record date. For purposes of this Section 2.4, a “</w:t>
      </w:r>
      <w:r>
        <w:rPr>
          <w:rFonts w:ascii="Arial" w:cs="Arial" w:eastAsia="Arial" w:hAnsi="Arial"/>
          <w:sz w:val="19"/>
          <w:szCs w:val="19"/>
          <w:b w:val="1"/>
          <w:bCs w:val="1"/>
          <w:color w:val="auto"/>
        </w:rPr>
        <w:t>Stockholder Associated Person</w:t>
      </w:r>
      <w:r>
        <w:rPr>
          <w:rFonts w:ascii="Arial" w:cs="Arial" w:eastAsia="Arial" w:hAnsi="Arial"/>
          <w:sz w:val="19"/>
          <w:szCs w:val="19"/>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162" w:lineRule="exact"/>
        <w:rPr>
          <w:sz w:val="20"/>
          <w:szCs w:val="20"/>
          <w:color w:val="auto"/>
        </w:rPr>
      </w:pPr>
    </w:p>
    <w:p>
      <w:pPr>
        <w:jc w:val="both"/>
        <w:ind w:firstLine="1953"/>
        <w:spacing w:after="0" w:line="291" w:lineRule="auto"/>
        <w:tabs>
          <w:tab w:leader="none" w:pos="2378" w:val="left"/>
        </w:tabs>
        <w:numPr>
          <w:ilvl w:val="1"/>
          <w:numId w:val="58"/>
        </w:numPr>
        <w:rPr>
          <w:rFonts w:ascii="Arial" w:cs="Arial" w:eastAsia="Arial" w:hAnsi="Arial"/>
          <w:sz w:val="19"/>
          <w:szCs w:val="19"/>
          <w:color w:val="auto"/>
        </w:rPr>
      </w:pPr>
      <w:r>
        <w:rPr>
          <w:rFonts w:ascii="Arial" w:cs="Arial" w:eastAsia="Arial" w:hAnsi="Arial"/>
          <w:sz w:val="19"/>
          <w:szCs w:val="19"/>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2.4(i), and, if the chairperson should so determine, he or she shall so declare at the annual meeting that any such business not properly brought before the annual meeting shall not be conducted.</w:t>
      </w:r>
    </w:p>
    <w:p>
      <w:pPr>
        <w:spacing w:after="0" w:line="154" w:lineRule="exact"/>
        <w:rPr>
          <w:rFonts w:ascii="Arial" w:cs="Arial" w:eastAsia="Arial" w:hAnsi="Arial"/>
          <w:sz w:val="19"/>
          <w:szCs w:val="19"/>
          <w:color w:val="auto"/>
        </w:rPr>
      </w:pPr>
    </w:p>
    <w:p>
      <w:pPr>
        <w:jc w:val="both"/>
        <w:ind w:firstLine="1305"/>
        <w:spacing w:after="0" w:line="263" w:lineRule="exact"/>
        <w:tabs>
          <w:tab w:leader="none" w:pos="1741"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Advance Notice of Director Nominations at Annual Meetings</w:t>
      </w:r>
      <w:r>
        <w:rPr>
          <w:rFonts w:ascii="Arial" w:cs="Arial" w:eastAsia="Arial" w:hAnsi="Arial"/>
          <w:sz w:val="22"/>
          <w:szCs w:val="22"/>
          <w:color w:val="auto"/>
        </w:rPr>
        <w:t>. Notwithstanding anything in these bylaws to the contrary, only persons who are nominated in accordance with the procedures set forth in this Section 2.4(ii) shall be eligible for election or re</w:t>
      </w:r>
      <w:r>
        <w:rPr>
          <w:rFonts w:ascii="MS PGothic" w:cs="MS PGothic" w:eastAsia="MS PGothic" w:hAnsi="MS PGothic"/>
          <w:sz w:val="22"/>
          <w:szCs w:val="22"/>
          <w:color w:val="auto"/>
        </w:rPr>
        <w:t>‑</w:t>
      </w:r>
      <w:r>
        <w:rPr>
          <w:rFonts w:ascii="Arial" w:cs="Arial" w:eastAsia="Arial" w:hAnsi="Arial"/>
          <w:sz w:val="22"/>
          <w:szCs w:val="22"/>
          <w:color w:val="auto"/>
        </w:rPr>
        <w:t>election as directors at an annual meeting of stockholders. Nominations of persons for election to the board of directors of the corporation shall be made at an annual meeting of stockholders only (A) by or at the direction of the board of directors or (B) by a stockholder of the corporation who</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76" w:name="page77"/>
    <w:bookmarkEnd w:id="76"/>
    <w:p>
      <w:pPr>
        <w:jc w:val="both"/>
        <w:ind w:firstLine="8"/>
        <w:spacing w:after="0" w:line="302" w:lineRule="auto"/>
        <w:tabs>
          <w:tab w:leader="none" w:pos="312" w:val="left"/>
        </w:tabs>
        <w:numPr>
          <w:ilvl w:val="0"/>
          <w:numId w:val="60"/>
        </w:numPr>
        <w:rPr>
          <w:rFonts w:ascii="Arial" w:cs="Arial" w:eastAsia="Arial" w:hAnsi="Arial"/>
          <w:sz w:val="19"/>
          <w:szCs w:val="19"/>
          <w:color w:val="auto"/>
        </w:rPr>
      </w:pPr>
      <w:r>
        <w:rPr>
          <w:rFonts w:ascii="Arial" w:cs="Arial" w:eastAsia="Arial" w:hAnsi="Arial"/>
          <w:sz w:val="19"/>
          <w:szCs w:val="19"/>
          <w:color w:val="auto"/>
        </w:rPr>
        <w:t>was a stockholder of record at the time of the giving of the notice required by this Section 2.4(ii)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142" w:lineRule="exact"/>
        <w:rPr>
          <w:rFonts w:ascii="Arial" w:cs="Arial" w:eastAsia="Arial" w:hAnsi="Arial"/>
          <w:sz w:val="19"/>
          <w:szCs w:val="19"/>
          <w:color w:val="auto"/>
        </w:rPr>
      </w:pPr>
    </w:p>
    <w:p>
      <w:pPr>
        <w:jc w:val="both"/>
        <w:ind w:firstLine="1953"/>
        <w:spacing w:after="0" w:line="293" w:lineRule="auto"/>
        <w:tabs>
          <w:tab w:leader="none" w:pos="2392" w:val="left"/>
        </w:tabs>
        <w:numPr>
          <w:ilvl w:val="1"/>
          <w:numId w:val="60"/>
        </w:numPr>
        <w:rPr>
          <w:rFonts w:ascii="Arial" w:cs="Arial" w:eastAsia="Arial" w:hAnsi="Arial"/>
          <w:sz w:val="19"/>
          <w:szCs w:val="19"/>
          <w:color w:val="auto"/>
        </w:rPr>
      </w:pPr>
      <w:r>
        <w:rPr>
          <w:rFonts w:ascii="Arial" w:cs="Arial" w:eastAsia="Arial" w:hAnsi="Arial"/>
          <w:sz w:val="19"/>
          <w:szCs w:val="19"/>
          <w:color w:val="auto"/>
        </w:rPr>
        <w:t>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w:t>
      </w:r>
    </w:p>
    <w:p>
      <w:pPr>
        <w:spacing w:after="0" w:line="1" w:lineRule="exact"/>
        <w:rPr>
          <w:rFonts w:ascii="Arial" w:cs="Arial" w:eastAsia="Arial" w:hAnsi="Arial"/>
          <w:sz w:val="19"/>
          <w:szCs w:val="19"/>
          <w:color w:val="auto"/>
        </w:rPr>
      </w:pPr>
    </w:p>
    <w:p>
      <w:pPr>
        <w:jc w:val="both"/>
        <w:spacing w:after="0" w:line="257" w:lineRule="auto"/>
        <w:rPr>
          <w:rFonts w:ascii="Arial" w:cs="Arial" w:eastAsia="Arial" w:hAnsi="Arial"/>
          <w:sz w:val="19"/>
          <w:szCs w:val="19"/>
          <w:color w:val="auto"/>
        </w:rPr>
      </w:pPr>
      <w:r>
        <w:rPr>
          <w:rFonts w:ascii="Arial" w:cs="Arial" w:eastAsia="Arial" w:hAnsi="Arial"/>
          <w:sz w:val="21"/>
          <w:szCs w:val="21"/>
          <w:color w:val="auto"/>
        </w:rPr>
        <w:t xml:space="preserve">(a) above;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event that the number of directors to be elected to the board of directors is increased and there is no Public Announcement naming all of the nominees for director or specifying the size of the increased board made by the corporation at least ten days before the last day a stockholder may deliver a notice of nomination pursuant to the foregoing provisions, a stockholder’s notice required by this Section 2.4(ii) shall also be considered timely, but only with respect to nominees for any new positions created by such increase, if it shall be received by the secretary of the corporation at the principal executive offices of the corporation not later than the close of business on the tenth day following the day on which such Public Announcement is first made by the corporation.</w:t>
      </w:r>
    </w:p>
    <w:p>
      <w:pPr>
        <w:spacing w:after="0" w:line="184" w:lineRule="exact"/>
        <w:rPr>
          <w:rFonts w:ascii="Arial" w:cs="Arial" w:eastAsia="Arial" w:hAnsi="Arial"/>
          <w:sz w:val="19"/>
          <w:szCs w:val="19"/>
          <w:color w:val="auto"/>
        </w:rPr>
      </w:pPr>
    </w:p>
    <w:p>
      <w:pPr>
        <w:ind w:left="2380" w:hanging="427"/>
        <w:spacing w:after="0"/>
        <w:tabs>
          <w:tab w:leader="none" w:pos="23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To be in proper written form, such stockholder’s notice to the secretary must set forth:</w:t>
      </w:r>
    </w:p>
    <w:p>
      <w:pPr>
        <w:spacing w:after="0" w:line="227" w:lineRule="exact"/>
        <w:rPr>
          <w:rFonts w:ascii="Arial" w:cs="Arial" w:eastAsia="Arial" w:hAnsi="Arial"/>
          <w:sz w:val="22"/>
          <w:szCs w:val="22"/>
          <w:color w:val="auto"/>
        </w:rPr>
      </w:pPr>
    </w:p>
    <w:p>
      <w:pPr>
        <w:ind w:left="3060" w:hanging="459"/>
        <w:spacing w:after="0"/>
        <w:tabs>
          <w:tab w:leader="none" w:pos="3060" w:val="left"/>
        </w:tabs>
        <w:numPr>
          <w:ilvl w:val="2"/>
          <w:numId w:val="60"/>
        </w:numPr>
        <w:rPr>
          <w:rFonts w:ascii="Arial" w:cs="Arial" w:eastAsia="Arial" w:hAnsi="Arial"/>
          <w:sz w:val="19"/>
          <w:szCs w:val="19"/>
          <w:color w:val="auto"/>
        </w:rPr>
      </w:pPr>
      <w:r>
        <w:rPr>
          <w:rFonts w:ascii="Arial" w:cs="Arial" w:eastAsia="Arial" w:hAnsi="Arial"/>
          <w:sz w:val="19"/>
          <w:szCs w:val="19"/>
          <w:color w:val="auto"/>
        </w:rPr>
        <w:t>as to each person (a “</w:t>
      </w:r>
      <w:r>
        <w:rPr>
          <w:rFonts w:ascii="Arial" w:cs="Arial" w:eastAsia="Arial" w:hAnsi="Arial"/>
          <w:sz w:val="19"/>
          <w:szCs w:val="19"/>
          <w:b w:val="1"/>
          <w:bCs w:val="1"/>
          <w:color w:val="auto"/>
        </w:rPr>
        <w:t>nominee</w:t>
      </w:r>
      <w:r>
        <w:rPr>
          <w:rFonts w:ascii="Arial" w:cs="Arial" w:eastAsia="Arial" w:hAnsi="Arial"/>
          <w:sz w:val="19"/>
          <w:szCs w:val="19"/>
          <w:color w:val="auto"/>
        </w:rPr>
        <w:t>”) whom the stockholder proposes to nominate for election or re-</w:t>
      </w:r>
    </w:p>
    <w:p>
      <w:pPr>
        <w:spacing w:after="0" w:line="62" w:lineRule="exact"/>
        <w:rPr>
          <w:rFonts w:ascii="Arial" w:cs="Arial" w:eastAsia="Arial" w:hAnsi="Arial"/>
          <w:sz w:val="19"/>
          <w:szCs w:val="19"/>
          <w:color w:val="auto"/>
        </w:rPr>
      </w:pPr>
    </w:p>
    <w:p>
      <w:pPr>
        <w:jc w:val="both"/>
        <w:spacing w:after="0" w:line="286" w:lineRule="auto"/>
        <w:rPr>
          <w:rFonts w:ascii="Arial" w:cs="Arial" w:eastAsia="Arial" w:hAnsi="Arial"/>
          <w:sz w:val="19"/>
          <w:szCs w:val="19"/>
          <w:color w:val="auto"/>
        </w:rPr>
      </w:pPr>
      <w:r>
        <w:rPr>
          <w:rFonts w:ascii="Arial" w:cs="Arial" w:eastAsia="Arial" w:hAnsi="Arial"/>
          <w:sz w:val="19"/>
          <w:szCs w:val="19"/>
          <w:color w:val="auto"/>
        </w:rPr>
        <w:t>election as a director: (A) the name, age, business address and residence address of the nominee, (B) the principal occupation or employment of the 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or among any of the stockholder, each nominee and/or any other person or persons (naming such person or persons) pursuant to which the nominations are to be made by the stockholder or relating to the nominee’s potential service on the board of directors, (F) a written statement executed by the nominee acknowledging that as a director of the corporation, the nominee will owe a fiduciary duty under Delaware law with respect to the corporation and its stockholders, and (G) any other information relating to the nominee that would be required to be disclosed about such nominee if proxies were being solicited for the election of the nominee as a director, or that is otherwise required, in each case pursuant to Regulation 14A under the 1934 Act (including without limitation the nominee’s written consent to being named in the proxy statement, if any, as a nominee and to serving as a director if elected);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4" w:right="239" w:bottom="1440" w:gutter="0" w:footer="0" w:header="0"/>
        </w:sectPr>
      </w:pPr>
    </w:p>
    <w:bookmarkStart w:id="77" w:name="page78"/>
    <w:bookmarkEnd w:id="77"/>
    <w:p>
      <w:pPr>
        <w:jc w:val="both"/>
        <w:ind w:firstLine="2601"/>
        <w:spacing w:after="0" w:line="294" w:lineRule="auto"/>
        <w:tabs>
          <w:tab w:leader="none" w:pos="3106" w:val="left"/>
        </w:tabs>
        <w:numPr>
          <w:ilvl w:val="3"/>
          <w:numId w:val="61"/>
        </w:numPr>
        <w:rPr>
          <w:rFonts w:ascii="Arial" w:cs="Arial" w:eastAsia="Arial" w:hAnsi="Arial"/>
          <w:sz w:val="19"/>
          <w:szCs w:val="19"/>
          <w:color w:val="auto"/>
        </w:rPr>
      </w:pPr>
      <w:r>
        <w:rPr>
          <w:rFonts w:ascii="Arial" w:cs="Arial" w:eastAsia="Arial" w:hAnsi="Arial"/>
          <w:sz w:val="19"/>
          <w:szCs w:val="19"/>
          <w:color w:val="auto"/>
        </w:rPr>
        <w:t>as to such stockholder giving notice, (A) the information required to be provided pursuant to clauses (2) through (5) of Section 2.4(i)(b) above, and the supplement referenced in the second sentence of Section 2.4(i)(b) above (except that the references to “business” in such clauses shall instead refer to nominations of directors for purposes of this paragraph), and (B) a statement whether either such stockholder or Stockholder Associated Person will deliver a proxy statement and form of proxy to holders at least the percentage of the corporation’s voting shares reasonably believed by such stockholder or Stockholder Associated Person to be necessary to elect such nominee(s) (such information provided and statements made as required by clauses (A) and (B) above, a “</w:t>
      </w:r>
      <w:r>
        <w:rPr>
          <w:rFonts w:ascii="Arial" w:cs="Arial" w:eastAsia="Arial" w:hAnsi="Arial"/>
          <w:sz w:val="19"/>
          <w:szCs w:val="19"/>
          <w:b w:val="1"/>
          <w:bCs w:val="1"/>
          <w:color w:val="auto"/>
        </w:rPr>
        <w:t>Nominee Solicitation Statement</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1953"/>
        <w:spacing w:after="0" w:line="294" w:lineRule="auto"/>
        <w:tabs>
          <w:tab w:leader="none" w:pos="2365" w:val="left"/>
        </w:tabs>
        <w:numPr>
          <w:ilvl w:val="2"/>
          <w:numId w:val="62"/>
        </w:numPr>
        <w:rPr>
          <w:rFonts w:ascii="Arial" w:cs="Arial" w:eastAsia="Arial" w:hAnsi="Arial"/>
          <w:sz w:val="19"/>
          <w:szCs w:val="19"/>
          <w:color w:val="auto"/>
        </w:rPr>
      </w:pPr>
      <w:r>
        <w:rPr>
          <w:rFonts w:ascii="Arial" w:cs="Arial" w:eastAsia="Arial" w:hAnsi="Arial"/>
          <w:sz w:val="19"/>
          <w:szCs w:val="19"/>
          <w:color w:val="auto"/>
        </w:rPr>
        <w:t>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furnishing of such information if requested, such stockholder’s nomination shall not be considered in proper form pursuant to this Section 2.4(ii).</w:t>
      </w:r>
    </w:p>
    <w:p>
      <w:pPr>
        <w:spacing w:after="0" w:line="152" w:lineRule="exact"/>
        <w:rPr>
          <w:rFonts w:ascii="Arial" w:cs="Arial" w:eastAsia="Arial" w:hAnsi="Arial"/>
          <w:sz w:val="19"/>
          <w:szCs w:val="19"/>
          <w:color w:val="auto"/>
        </w:rPr>
      </w:pPr>
    </w:p>
    <w:p>
      <w:pPr>
        <w:jc w:val="both"/>
        <w:ind w:firstLine="1953"/>
        <w:spacing w:after="0" w:line="260" w:lineRule="auto"/>
        <w:tabs>
          <w:tab w:leader="none" w:pos="2390" w:val="left"/>
        </w:tabs>
        <w:numPr>
          <w:ilvl w:val="2"/>
          <w:numId w:val="62"/>
        </w:numPr>
        <w:rPr>
          <w:rFonts w:ascii="Arial" w:cs="Arial" w:eastAsia="Arial" w:hAnsi="Arial"/>
          <w:sz w:val="21"/>
          <w:szCs w:val="21"/>
          <w:color w:val="auto"/>
        </w:rPr>
      </w:pPr>
      <w:r>
        <w:rPr>
          <w:rFonts w:ascii="Arial" w:cs="Arial" w:eastAsia="Arial" w:hAnsi="Arial"/>
          <w:sz w:val="21"/>
          <w:szCs w:val="21"/>
          <w:color w:val="auto"/>
        </w:rPr>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w:t>
      </w:r>
    </w:p>
    <w:p>
      <w:pPr>
        <w:spacing w:after="0" w:line="184" w:lineRule="exact"/>
        <w:rPr>
          <w:rFonts w:ascii="Arial" w:cs="Arial" w:eastAsia="Arial" w:hAnsi="Arial"/>
          <w:sz w:val="21"/>
          <w:szCs w:val="21"/>
          <w:color w:val="auto"/>
        </w:rPr>
      </w:pPr>
    </w:p>
    <w:p>
      <w:pPr>
        <w:ind w:left="1800" w:hanging="495"/>
        <w:spacing w:after="0"/>
        <w:tabs>
          <w:tab w:leader="none" w:pos="18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Advance Notice of Director Nominations for Special Meetings.</w:t>
      </w:r>
    </w:p>
    <w:p>
      <w:pPr>
        <w:spacing w:after="0" w:line="233" w:lineRule="exact"/>
        <w:rPr>
          <w:rFonts w:ascii="Arial" w:cs="Arial" w:eastAsia="Arial" w:hAnsi="Arial"/>
          <w:sz w:val="22"/>
          <w:szCs w:val="22"/>
          <w:color w:val="auto"/>
        </w:rPr>
      </w:pPr>
    </w:p>
    <w:p>
      <w:pPr>
        <w:jc w:val="both"/>
        <w:ind w:firstLine="1953"/>
        <w:spacing w:after="0" w:line="299" w:lineRule="auto"/>
        <w:tabs>
          <w:tab w:leader="none" w:pos="2486" w:val="left"/>
        </w:tabs>
        <w:numPr>
          <w:ilvl w:val="2"/>
          <w:numId w:val="63"/>
        </w:numPr>
        <w:rPr>
          <w:rFonts w:ascii="Arial" w:cs="Arial" w:eastAsia="Arial" w:hAnsi="Arial"/>
          <w:sz w:val="19"/>
          <w:szCs w:val="19"/>
          <w:color w:val="auto"/>
        </w:rPr>
      </w:pPr>
      <w:r>
        <w:rPr>
          <w:rFonts w:ascii="Arial" w:cs="Arial" w:eastAsia="Arial" w:hAnsi="Arial"/>
          <w:sz w:val="19"/>
          <w:szCs w:val="19"/>
          <w:color w:val="auto"/>
        </w:rPr>
        <w:t>For a special meeting of stockholders at which directors are to be elected pursuant to Section 2.3, nominations of persons for election to the board of directors shall be made only (1) by or at the direction of the board of directors or</w:t>
      </w:r>
    </w:p>
    <w:p>
      <w:pPr>
        <w:jc w:val="both"/>
        <w:ind w:firstLine="8"/>
        <w:spacing w:after="0" w:line="281" w:lineRule="auto"/>
        <w:tabs>
          <w:tab w:leader="none" w:pos="312" w:val="left"/>
        </w:tabs>
        <w:numPr>
          <w:ilvl w:val="0"/>
          <w:numId w:val="64"/>
        </w:numPr>
        <w:rPr>
          <w:rFonts w:ascii="Arial" w:cs="Arial" w:eastAsia="Arial" w:hAnsi="Arial"/>
          <w:sz w:val="19"/>
          <w:szCs w:val="19"/>
          <w:color w:val="auto"/>
        </w:rPr>
      </w:pPr>
      <w:r>
        <w:rPr>
          <w:rFonts w:ascii="Arial" w:cs="Arial" w:eastAsia="Arial" w:hAnsi="Arial"/>
          <w:sz w:val="19"/>
          <w:szCs w:val="19"/>
          <w:color w:val="auto"/>
        </w:rPr>
        <w:t>by any stockholder of the corporation who (A) is a stockholder of record at the time of the giving of the notice required by this Section 2.4(iii) and on the record date for the determination of stockholders entitled to vote at the special meeting and (B) delivers a timely written notice of the nomination to the secretary of the corporation that includes the information set forth in Sections 2.4(ii)</w:t>
      </w:r>
    </w:p>
    <w:p>
      <w:pPr>
        <w:spacing w:after="0" w:line="2"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color w:val="auto"/>
        </w:rPr>
        <w:t>(b) and (ii)(c) above.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78" w:name="page79"/>
    <w:bookmarkEnd w:id="78"/>
    <w:p>
      <w:pPr>
        <w:jc w:val="both"/>
        <w:spacing w:after="0" w:line="259" w:lineRule="auto"/>
        <w:rPr>
          <w:sz w:val="20"/>
          <w:szCs w:val="20"/>
          <w:color w:val="auto"/>
        </w:rPr>
      </w:pPr>
      <w:r>
        <w:rPr>
          <w:rFonts w:ascii="Arial" w:cs="Arial" w:eastAsia="Arial" w:hAnsi="Arial"/>
          <w:sz w:val="21"/>
          <w:szCs w:val="21"/>
          <w:color w:val="auto"/>
        </w:rPr>
        <w:t>meeting. In no event shall any adjournment, rescheduling or postponement of a special meeting or the announcement thereof commence a new time period for the giving of a stockholder’s notice. A person shall not be eligible for election or re-election as a director at a 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w:t>
      </w:r>
    </w:p>
    <w:p>
      <w:pPr>
        <w:spacing w:after="0" w:line="184" w:lineRule="exact"/>
        <w:rPr>
          <w:sz w:val="20"/>
          <w:szCs w:val="20"/>
          <w:color w:val="auto"/>
        </w:rPr>
      </w:pPr>
    </w:p>
    <w:p>
      <w:pPr>
        <w:jc w:val="both"/>
        <w:ind w:firstLine="1953"/>
        <w:spacing w:after="0" w:line="320" w:lineRule="auto"/>
        <w:tabs>
          <w:tab w:leader="none" w:pos="2404"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125" w:lineRule="exact"/>
        <w:rPr>
          <w:rFonts w:ascii="Arial" w:cs="Arial" w:eastAsia="Arial" w:hAnsi="Arial"/>
          <w:sz w:val="19"/>
          <w:szCs w:val="19"/>
          <w:color w:val="auto"/>
        </w:rPr>
      </w:pPr>
    </w:p>
    <w:p>
      <w:pPr>
        <w:jc w:val="both"/>
        <w:ind w:firstLine="1305"/>
        <w:spacing w:after="0" w:line="262" w:lineRule="auto"/>
        <w:tabs>
          <w:tab w:leader="none" w:pos="1802"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Other Requirements and Rights</w:t>
      </w:r>
      <w:r>
        <w:rPr>
          <w:rFonts w:ascii="Arial" w:cs="Arial" w:eastAsia="Arial" w:hAnsi="Arial"/>
          <w:sz w:val="21"/>
          <w:szCs w:val="21"/>
          <w:color w:val="auto"/>
        </w:rPr>
        <w:t>. In addition to the foregoing provisions of this Section 2.4, a stockholder must also comply with all applicable requirements of state law and of the 1934 Act and the rules and regulations thereunder with respect to the matters set forth in this Section 2.4, including, with respect to business such stockholder intends to bring before the annual meeting that involves a proposal that such stockholder requests to be included in the corporation’s proxy statement, the requirements of Rule 14a-8 (or any successor provision) under the 1934 Act. Nothing in this Section 2.4 shall be deemed to affect any right of the corporation to omit a proposal from the corporation’s proxy statement pursuant to Rule 14a-8 (or any successor provision) under the 1934 Act.</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Notice of Stockholders’ Meetings</w:t>
      </w:r>
      <w:r>
        <w:rPr>
          <w:rFonts w:ascii="Arial" w:cs="Arial" w:eastAsia="Arial" w:hAnsi="Arial"/>
          <w:sz w:val="19"/>
          <w:szCs w:val="19"/>
          <w:color w:val="auto"/>
        </w:rPr>
        <w:t>.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Quorum</w:t>
      </w:r>
      <w:r>
        <w:rPr>
          <w:rFonts w:ascii="Arial" w:cs="Arial" w:eastAsia="Arial" w:hAnsi="Arial"/>
          <w:sz w:val="22"/>
          <w:szCs w:val="22"/>
          <w:color w:val="auto"/>
        </w:rPr>
        <w:t>. The holders of a majority of the voting power of the stock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Where a separate vote by a class or series or classes or series is required, a majority of the voting power of the issued and outstanding shares of such class or series or classes or series, present in person or represented by proxy, shall constitute a quorum entitled to take action with respect to that vote 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22"/>
          <w:szCs w:val="22"/>
          <w:color w:val="auto"/>
        </w:rPr>
        <w:t>that matter, except as otherwise required by law, the certificate of incorporation, these bylaws or the rules of any applicable stock exchange.</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Whether or not a quorum is present at a meeting of stockholders, the chairperson of the meeting shall have power to adjourn the meeting from time to time, without notice other than announcement at the meeting. At such adjourned meeting at which a quorum is present or represented, any business may be transacted that might have been transacted at the original meeting.</w:t>
      </w:r>
    </w:p>
    <w:p>
      <w:pPr>
        <w:spacing w:after="0" w:line="1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Adjourned Meeting; Notice</w:t>
      </w:r>
      <w:r>
        <w:rPr>
          <w:rFonts w:ascii="Arial" w:cs="Arial" w:eastAsia="Arial" w:hAnsi="Arial"/>
          <w:sz w:val="21"/>
          <w:szCs w:val="21"/>
          <w:color w:val="auto"/>
        </w:rPr>
        <w:t>. 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u w:val="single" w:color="auto"/>
          <w:color w:val="auto"/>
        </w:rPr>
        <w:t>Conduct of Business</w:t>
      </w:r>
      <w:r>
        <w:rPr>
          <w:rFonts w:ascii="Arial" w:cs="Arial" w:eastAsia="Arial" w:hAnsi="Arial"/>
          <w:sz w:val="21"/>
          <w:szCs w:val="21"/>
          <w:color w:val="auto"/>
        </w:rPr>
        <w:t>. The chairperson of any meeting of stockholders shall determine the order of business and the procedure at the meeting, including such regulation of the manner of voting and the conduct of business. The chairperson of any meeting of stockholders shall be designated by the board of directors; in the absence of such designation, the chairperson of the board, if any, the chief executive officer (in the absence of the chairperson) or the lead independent director (in the absence of the chairperson of the board and the chief executive officer), or in their absence any other executive officer of the corporation, shall serve as chairperson of the stockholder meeting.</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u w:val="single" w:color="auto"/>
          <w:color w:val="auto"/>
        </w:rPr>
        <w:t>Voting</w:t>
      </w:r>
      <w:r>
        <w:rPr>
          <w:rFonts w:ascii="Arial" w:cs="Arial" w:eastAsia="Arial" w:hAnsi="Arial"/>
          <w:sz w:val="21"/>
          <w:szCs w:val="21"/>
          <w:color w:val="auto"/>
        </w:rPr>
        <w:t>. 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Except as may be otherwise provided in the certificate of incorporation, each stockholder shall be entitled to one vote for each share of capital stock held by such stockholder.</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Except as otherwise required by law, the certificate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these bylaws or the rules of any applicable stock exchange, directors shall be elected by a plurality of the voting power of the shares present in person or represented by proxy at the meeting and entitled to vote on the election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80" w:name="page81"/>
    <w:bookmarkEnd w:id="80"/>
    <w:p>
      <w:pPr>
        <w:jc w:val="both"/>
        <w:spacing w:after="0" w:line="302" w:lineRule="auto"/>
        <w:rPr>
          <w:sz w:val="20"/>
          <w:szCs w:val="20"/>
          <w:color w:val="auto"/>
        </w:rPr>
      </w:pPr>
      <w:r>
        <w:rPr>
          <w:rFonts w:ascii="Arial" w:cs="Arial" w:eastAsia="Arial" w:hAnsi="Arial"/>
          <w:sz w:val="19"/>
          <w:szCs w:val="19"/>
          <w:color w:val="auto"/>
        </w:rPr>
        <w:t>of directors. Where a separate vote by a class or series or classes or series is required, in all matters other than the election of directors, the affirmative vote of the majority of the voting power of shares of such class or series or classes or series present in person or represented by proxy at the meeting shall be the act of such class or series or classes or series, except as otherwise provided by law, the certificate of incorporation, these bylaws or the rules of any applicable stock exchange.</w:t>
      </w:r>
    </w:p>
    <w:p>
      <w:pPr>
        <w:spacing w:after="0" w:line="1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Stockholder Action By Written Consent Without A Meeting</w:t>
      </w:r>
      <w:r>
        <w:rPr>
          <w:rFonts w:ascii="Arial" w:cs="Arial" w:eastAsia="Arial" w:hAnsi="Arial"/>
          <w:sz w:val="22"/>
          <w:szCs w:val="22"/>
          <w:color w:val="auto"/>
        </w:rPr>
        <w:t>. Subject to the rights of the holders of the shares of any series of preferred stock or any other class of stock or series thereof that have been expressly granted the right to take action by written consent,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Record Dates</w:t>
      </w:r>
      <w:r>
        <w:rPr>
          <w:rFonts w:ascii="Arial" w:cs="Arial" w:eastAsia="Arial" w:hAnsi="Arial"/>
          <w:sz w:val="19"/>
          <w:szCs w:val="19"/>
          <w:color w:val="auto"/>
        </w:rPr>
        <w:t>.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A determination of stockholders of record entitled to notice of or to vote at a meeting of stockholders shall apply to any adjournment of the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Proxies</w:t>
      </w:r>
      <w:r>
        <w:rPr>
          <w:rFonts w:ascii="Arial" w:cs="Arial" w:eastAsia="Arial" w:hAnsi="Arial"/>
          <w:sz w:val="22"/>
          <w:szCs w:val="22"/>
          <w:color w:val="auto"/>
        </w:rPr>
        <w:t>. Each stockholder entitled to vote at a meeting of stockholders may authorize another person or persons to act for such stockholder by proxy authorized by an instrument in writing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81" w:name="page82"/>
    <w:bookmarkEnd w:id="81"/>
    <w:p>
      <w:pPr>
        <w:jc w:val="both"/>
        <w:spacing w:after="0" w:line="247" w:lineRule="auto"/>
        <w:rPr>
          <w:sz w:val="20"/>
          <w:szCs w:val="20"/>
          <w:color w:val="auto"/>
        </w:rPr>
      </w:pPr>
      <w:r>
        <w:rPr>
          <w:rFonts w:ascii="Arial" w:cs="Arial" w:eastAsia="Arial" w:hAnsi="Arial"/>
          <w:sz w:val="22"/>
          <w:szCs w:val="22"/>
          <w:color w:val="auto"/>
        </w:rPr>
        <w:t>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written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List of Stockholders Entitled to Vote</w:t>
      </w:r>
      <w:r>
        <w:rPr>
          <w:rFonts w:ascii="Arial" w:cs="Arial" w:eastAsia="Arial" w:hAnsi="Arial"/>
          <w:sz w:val="19"/>
          <w:szCs w:val="19"/>
          <w:color w:val="auto"/>
        </w:rPr>
        <w:t xml:space="preserve">. The officer who has charge of the stock ledger of the corporation shall prepare and make, at least 10 days before every meeting of stockholders, a complete list of the stockholders entitled to vote at the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if the record date for determining the stockholders entitled to vote is less than 10 days before the meeting date,</w:t>
      </w:r>
      <w:r>
        <w:rPr>
          <w:rFonts w:ascii="Arial" w:cs="Arial" w:eastAsia="Arial" w:hAnsi="Arial"/>
          <w:sz w:val="19"/>
          <w:szCs w:val="19"/>
          <w:i w:val="1"/>
          <w:iCs w:val="1"/>
          <w:color w:val="auto"/>
        </w:rPr>
        <w:t xml:space="preserve"> </w:t>
      </w:r>
      <w:r>
        <w:rPr>
          <w:rFonts w:ascii="Arial" w:cs="Arial" w:eastAsia="Arial" w:hAnsi="Arial"/>
          <w:sz w:val="19"/>
          <w:szCs w:val="19"/>
          <w:color w:val="auto"/>
        </w:rPr>
        <w:t>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w:t>
      </w:r>
    </w:p>
    <w:p>
      <w:pPr>
        <w:spacing w:after="0" w:line="5" w:lineRule="exact"/>
        <w:rPr>
          <w:sz w:val="20"/>
          <w:szCs w:val="20"/>
          <w:color w:val="auto"/>
        </w:rPr>
      </w:pPr>
    </w:p>
    <w:p>
      <w:pPr>
        <w:jc w:val="both"/>
        <w:ind w:firstLine="8"/>
        <w:spacing w:after="0" w:line="256" w:lineRule="auto"/>
        <w:tabs>
          <w:tab w:leader="none" w:pos="260"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on a reasonably accessible electronic network;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u w:val="single" w:color="auto"/>
          <w:color w:val="auto"/>
        </w:rPr>
        <w:t>Inspectors of Election</w:t>
      </w:r>
      <w:r>
        <w:rPr>
          <w:rFonts w:ascii="Arial" w:cs="Arial" w:eastAsia="Arial" w:hAnsi="Arial"/>
          <w:sz w:val="19"/>
          <w:szCs w:val="19"/>
          <w:color w:val="auto"/>
        </w:rPr>
        <w:t xml:space="preserve">. Before any meeting of stockholders, the board of directors shall appoint an inspector or inspectors of election to act at the meeting or its adjournment.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in any case, if no inspector or alternate is able to act at a meeting of stockholders, the chairperson of the meeting shall appoint at least 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 inspector to act at the meeting.</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Each inspector, before entering upon the discharge of his or her duties, shall take and sign an oath to execute faithfully the duties of inspector with strict impartiality and according to the best of his or her ability. Such inspectors shall: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82" w:name="page83"/>
    <w:bookmarkEnd w:id="82"/>
    <w:p>
      <w:pPr>
        <w:ind w:firstLine="1305"/>
        <w:spacing w:after="0" w:line="276" w:lineRule="auto"/>
        <w:tabs>
          <w:tab w:leader="none" w:pos="1707"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determine the number of shares outstanding and the voting power of each, the number of shares represented at the meeting, the existence of a quorum, and the authenticity, validity, and effect of proxies;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receive votes, ballots or consents;</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68"/>
        </w:numPr>
        <w:rPr>
          <w:rFonts w:ascii="Arial" w:cs="Arial" w:eastAsia="Arial" w:hAnsi="Arial"/>
          <w:sz w:val="21"/>
          <w:szCs w:val="21"/>
          <w:color w:val="auto"/>
        </w:rPr>
      </w:pPr>
      <w:r>
        <w:rPr>
          <w:rFonts w:ascii="Arial" w:cs="Arial" w:eastAsia="Arial" w:hAnsi="Arial"/>
          <w:sz w:val="21"/>
          <w:szCs w:val="21"/>
          <w:color w:val="auto"/>
        </w:rPr>
        <w:t>hear and determine all challenges and questions in any way arising in connection with the right to vote;</w:t>
      </w:r>
    </w:p>
    <w:p>
      <w:pPr>
        <w:spacing w:after="0" w:line="244" w:lineRule="exact"/>
        <w:rPr>
          <w:rFonts w:ascii="Arial" w:cs="Arial" w:eastAsia="Arial" w:hAnsi="Arial"/>
          <w:sz w:val="21"/>
          <w:szCs w:val="21"/>
          <w:color w:val="auto"/>
        </w:rPr>
      </w:pPr>
    </w:p>
    <w:p>
      <w:pPr>
        <w:ind w:left="1800" w:hanging="495"/>
        <w:spacing w:after="0"/>
        <w:tabs>
          <w:tab w:leader="none" w:pos="18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count and tabulate all votes or consents;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determine when the polls shall close;</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determine the results; and</w:t>
      </w:r>
    </w:p>
    <w:p>
      <w:pPr>
        <w:spacing w:after="0" w:line="233" w:lineRule="exact"/>
        <w:rPr>
          <w:rFonts w:ascii="Arial" w:cs="Arial" w:eastAsia="Arial" w:hAnsi="Arial"/>
          <w:sz w:val="22"/>
          <w:szCs w:val="22"/>
          <w:color w:val="auto"/>
        </w:rPr>
      </w:pPr>
    </w:p>
    <w:p>
      <w:pPr>
        <w:ind w:left="1860" w:hanging="555"/>
        <w:spacing w:after="0"/>
        <w:tabs>
          <w:tab w:leader="none" w:pos="1860" w:val="left"/>
        </w:tabs>
        <w:numPr>
          <w:ilvl w:val="0"/>
          <w:numId w:val="68"/>
        </w:numPr>
        <w:rPr>
          <w:rFonts w:ascii="Arial" w:cs="Arial" w:eastAsia="Arial" w:hAnsi="Arial"/>
          <w:sz w:val="21"/>
          <w:szCs w:val="21"/>
          <w:color w:val="auto"/>
        </w:rPr>
      </w:pPr>
      <w:r>
        <w:rPr>
          <w:rFonts w:ascii="Arial" w:cs="Arial" w:eastAsia="Arial" w:hAnsi="Arial"/>
          <w:sz w:val="21"/>
          <w:szCs w:val="21"/>
          <w:color w:val="auto"/>
        </w:rPr>
        <w:t>do any other acts that may be proper to conduct the election or vote with fairness to all stockholders.</w:t>
      </w:r>
    </w:p>
    <w:p>
      <w:pPr>
        <w:spacing w:after="0" w:line="2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inspectors of election shall perform their duties impartially, in good faith, to the best of their ability and as expeditiously as is practical. If there are three (3) inspectors of election, the decision, act or certificate of a majority is effective in all respects as the decision, act or certificate of all. Any report or certificate made by the inspectors of election is prima facie evidence of the facts stated therein.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w:t>
      </w:r>
    </w:p>
    <w:p>
      <w:pPr>
        <w:spacing w:after="0" w:line="2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Powers</w:t>
      </w:r>
      <w:r>
        <w:rPr>
          <w:rFonts w:ascii="Arial" w:cs="Arial" w:eastAsia="Arial" w:hAnsi="Arial"/>
          <w:sz w:val="22"/>
          <w:szCs w:val="22"/>
          <w:color w:val="auto"/>
        </w:rPr>
        <w:t>. The business and affairs of the corporation shall be managed by or under the direction of the board of directors, except as may be otherwise provided in the DGCL or the certificate of incorporation.</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Number of Directors</w:t>
      </w:r>
      <w:r>
        <w:rPr>
          <w:rFonts w:ascii="Arial" w:cs="Arial" w:eastAsia="Arial" w:hAnsi="Arial"/>
          <w:sz w:val="22"/>
          <w:szCs w:val="22"/>
          <w:color w:val="auto"/>
        </w:rPr>
        <w:t>. The board of directors shall consist of one or more members, each of whom shall be a natural person. Unless the certificate of incorporation fixes the number of directors, the number of directors shall be determined from time to time by resolution of the board of directors. No reduction of the authorized number of directors shall have the effect of removing any director before that director’s term of office expires.</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Election, Qualification and Term of Office Of Directors</w:t>
      </w:r>
      <w:r>
        <w:rPr>
          <w:rFonts w:ascii="Arial" w:cs="Arial" w:eastAsia="Arial" w:hAnsi="Arial"/>
          <w:sz w:val="22"/>
          <w:szCs w:val="22"/>
          <w:color w:val="auto"/>
        </w:rPr>
        <w:t>. 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accordance with the provisions of the certificate of incorporation, the directors of the corporation shall be divided into three classes.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83" w:name="page84"/>
    <w:bookmarkEnd w:id="83"/>
    <w:p>
      <w:pPr>
        <w:jc w:val="both"/>
        <w:ind w:firstLine="648"/>
        <w:spacing w:after="0" w:line="294"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Resignation and Vacancies</w:t>
      </w:r>
      <w:r>
        <w:rPr>
          <w:rFonts w:ascii="Arial" w:cs="Arial" w:eastAsia="Arial" w:hAnsi="Arial"/>
          <w:sz w:val="19"/>
          <w:szCs w:val="19"/>
          <w:color w:val="auto"/>
        </w:rPr>
        <w:t>. Any director may resign at any time upon notice given in writing or by electronic transmission to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Unless otherwise provided in the certificate of incorporation or these bylaws, vacancies and newly created directorships resulting from any increase in the authorized number of directors elected by all of the stockholders having the right to vote as a single class shall be filled only by a majority of the directors then in office, although less than a quorum, or by a sole remaining director. If the directors are divided into classes, a person so elected by the directors then in office to fill a vacancy or newly created directorship shall hold office until the next election of the class for which such director shall have been chosen and until his or her successor shall have been duly elected and qualified.</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Delaware Court of Chancery for a decree summarily ordering an election as provided in Section 211 of the DGCL.</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If, at the time of filling any vacancy or any newly created directorship, the directors then in office constitute less than a majority of the whole board of directors (as constituted immediately prior to any such increase), the Court of Chancery may, upon application of any stockholder or stockholders holding at least 10% of the voting power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Place of Meetings; Meetings By Telephone</w:t>
      </w:r>
      <w:r>
        <w:rPr>
          <w:rFonts w:ascii="Arial" w:cs="Arial" w:eastAsia="Arial" w:hAnsi="Arial"/>
          <w:sz w:val="22"/>
          <w:szCs w:val="22"/>
          <w:color w:val="auto"/>
        </w:rPr>
        <w:t>. The board of directors may hold meetings, both regular and special, either within or outside the State of Delaware.</w:t>
      </w:r>
    </w:p>
    <w:p>
      <w:pPr>
        <w:spacing w:after="0" w:line="16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84" w:name="page85"/>
    <w:bookmarkEnd w:id="84"/>
    <w:p>
      <w:pPr>
        <w:jc w:val="both"/>
        <w:ind w:firstLine="648"/>
        <w:spacing w:after="0" w:line="276"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Regular Meetings</w:t>
      </w:r>
      <w:r>
        <w:rPr>
          <w:rFonts w:ascii="Arial" w:cs="Arial" w:eastAsia="Arial" w:hAnsi="Arial"/>
          <w:sz w:val="22"/>
          <w:szCs w:val="22"/>
          <w:color w:val="auto"/>
        </w:rPr>
        <w:t>. Regular meetings of the board of directors may be held without notice at such time and at such place as shall from time to time be determined by the board of directors.</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Special Meetings; Notice</w:t>
      </w:r>
      <w:r>
        <w:rPr>
          <w:rFonts w:ascii="Arial" w:cs="Arial" w:eastAsia="Arial" w:hAnsi="Arial"/>
          <w:sz w:val="22"/>
          <w:szCs w:val="22"/>
          <w:color w:val="auto"/>
        </w:rPr>
        <w:t>. Special meetings of the board of directors for any purpose or purposes may be called at any time by the chairperson of the board of directors, the chief executive officer, the president, the secretary or a majority of the authorized number of directors, at such times and places as he or she or they shall designate.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 of the time and place of special meetings shall be:</w:t>
      </w:r>
    </w:p>
    <w:p>
      <w:pPr>
        <w:spacing w:after="0" w:line="220" w:lineRule="exact"/>
        <w:rPr>
          <w:sz w:val="20"/>
          <w:szCs w:val="20"/>
          <w:color w:val="auto"/>
        </w:rPr>
      </w:pPr>
    </w:p>
    <w:p>
      <w:pPr>
        <w:ind w:left="1680" w:hanging="375"/>
        <w:spacing w:after="0"/>
        <w:tabs>
          <w:tab w:leader="none" w:pos="16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delivered personally by hand, by courier or by telephone;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sent by United States first-class mail, postage prepaid;</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sent by facsimile; or</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sent by electronic mail,</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directed to each director at that director’s address, telephone number, facsimile number or electronic mail address, as the case may be, as shown on the corporation’s records.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7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Quorum; Voting</w:t>
      </w:r>
      <w:r>
        <w:rPr>
          <w:rFonts w:ascii="Arial" w:cs="Arial" w:eastAsia="Arial" w:hAnsi="Arial"/>
          <w:sz w:val="19"/>
          <w:szCs w:val="19"/>
          <w:color w:val="auto"/>
        </w:rPr>
        <w:t>. At all meetings of the board of directors, a majority of the total authorized number of directors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4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85" w:name="page86"/>
    <w:bookmarkEnd w:id="85"/>
    <w:p>
      <w:pPr>
        <w:jc w:val="both"/>
        <w:ind w:firstLine="648"/>
        <w:spacing w:after="0" w:line="259" w:lineRule="auto"/>
        <w:rPr>
          <w:sz w:val="20"/>
          <w:szCs w:val="20"/>
          <w:color w:val="auto"/>
        </w:rPr>
      </w:pPr>
      <w:r>
        <w:rPr>
          <w:rFonts w:ascii="Arial" w:cs="Arial" w:eastAsia="Arial" w:hAnsi="Arial"/>
          <w:sz w:val="21"/>
          <w:szCs w:val="21"/>
          <w:color w:val="auto"/>
        </w:rPr>
        <w:t xml:space="preserve">3.9 </w:t>
      </w:r>
      <w:r>
        <w:rPr>
          <w:rFonts w:ascii="Arial" w:cs="Arial" w:eastAsia="Arial" w:hAnsi="Arial"/>
          <w:sz w:val="21"/>
          <w:szCs w:val="21"/>
          <w:u w:val="single" w:color="auto"/>
          <w:color w:val="auto"/>
        </w:rPr>
        <w:t>Board Action By Written Consent Without A Meeting</w:t>
      </w:r>
      <w:r>
        <w:rPr>
          <w:rFonts w:ascii="Arial" w:cs="Arial" w:eastAsia="Arial" w:hAnsi="Arial"/>
          <w:sz w:val="21"/>
          <w:szCs w:val="21"/>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u w:val="single" w:color="auto"/>
          <w:color w:val="auto"/>
        </w:rPr>
        <w:t>Fees and Compensation of Directors</w:t>
      </w:r>
      <w:r>
        <w:rPr>
          <w:rFonts w:ascii="Arial" w:cs="Arial" w:eastAsia="Arial" w:hAnsi="Arial"/>
          <w:sz w:val="22"/>
          <w:szCs w:val="22"/>
          <w:color w:val="auto"/>
        </w:rPr>
        <w:t>. Unless otherwise restricted by the certificate of incorporation or these bylaws, the board of directors shall have the authority to fix the compensation of directors.</w:t>
      </w:r>
    </w:p>
    <w:p>
      <w:pPr>
        <w:spacing w:after="0" w:line="16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Removal of Directors</w:t>
      </w:r>
      <w:r>
        <w:rPr>
          <w:rFonts w:ascii="Arial" w:cs="Arial" w:eastAsia="Arial" w:hAnsi="Arial"/>
          <w:sz w:val="22"/>
          <w:szCs w:val="22"/>
          <w:color w:val="auto"/>
        </w:rPr>
        <w:t>. A director may be removed from office by the stockholders of the corporation only as provided in the certificate of incorporation.</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 reduction of the authorized number of directors shall have the effect of removing any director prior to the expiration of such director’s term of office.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COMMITTEES</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Committees of Directors</w:t>
      </w:r>
      <w:r>
        <w:rPr>
          <w:rFonts w:ascii="Arial" w:cs="Arial" w:eastAsia="Arial" w:hAnsi="Arial"/>
          <w:sz w:val="19"/>
          <w:szCs w:val="19"/>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86" w:name="page87"/>
    <w:bookmarkEnd w:id="86"/>
    <w:p>
      <w:pPr>
        <w:ind w:firstLine="648"/>
        <w:spacing w:after="0" w:line="27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Committee Minutes</w:t>
      </w:r>
      <w:r>
        <w:rPr>
          <w:rFonts w:ascii="Arial" w:cs="Arial" w:eastAsia="Arial" w:hAnsi="Arial"/>
          <w:sz w:val="22"/>
          <w:szCs w:val="22"/>
          <w:color w:val="auto"/>
        </w:rPr>
        <w:t>. Each committee shall keep regular minutes of its meetings and report the same to the board of directors when required.</w:t>
      </w:r>
    </w:p>
    <w:p>
      <w:pPr>
        <w:spacing w:after="0" w:line="161"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Meetings and Action of Committees</w:t>
      </w:r>
      <w:r>
        <w:rPr>
          <w:rFonts w:ascii="Arial" w:cs="Arial" w:eastAsia="Arial" w:hAnsi="Arial"/>
          <w:sz w:val="22"/>
          <w:szCs w:val="22"/>
          <w:color w:val="auto"/>
        </w:rPr>
        <w:t>. Meetings and actions of committees shall be governed by, and held and taken in accordance with, the provisions of:</w:t>
      </w:r>
    </w:p>
    <w:p>
      <w:pPr>
        <w:spacing w:after="0" w:line="161" w:lineRule="exact"/>
        <w:rPr>
          <w:sz w:val="20"/>
          <w:szCs w:val="20"/>
          <w:color w:val="auto"/>
        </w:rPr>
      </w:pPr>
    </w:p>
    <w:p>
      <w:pPr>
        <w:ind w:left="1680" w:hanging="375"/>
        <w:spacing w:after="0"/>
        <w:tabs>
          <w:tab w:leader="none" w:pos="16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Section 3.5 (place of meetings and meetings by telephone);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Section 3.6 (regular meetings);</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Section 3.7 (special meetings and notice);</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Section 3.8 (quorum; voting);</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Section 3.9 (action without a meeting); and</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Section 7.5 (waiver of notice),</w:t>
      </w:r>
    </w:p>
    <w:p>
      <w:pPr>
        <w:spacing w:after="0" w:line="23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with such changes in the context of those bylaws as are necessary to substitute the committee and its members for the board of directors and its members. However:</w:t>
      </w:r>
    </w:p>
    <w:p>
      <w:pPr>
        <w:spacing w:after="0" w:line="175" w:lineRule="exact"/>
        <w:rPr>
          <w:sz w:val="20"/>
          <w:szCs w:val="20"/>
          <w:color w:val="auto"/>
        </w:rPr>
      </w:pPr>
    </w:p>
    <w:p>
      <w:pPr>
        <w:ind w:firstLine="1305"/>
        <w:spacing w:after="0" w:line="276" w:lineRule="auto"/>
        <w:tabs>
          <w:tab w:leader="none" w:pos="1707"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time of regular meetings of committees may be determined either by resolution of the board of directors or by resolution of the committee;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special meetings of committees may also be called by resolution of the board of directors; and</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814"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notice of special meetings of committees shall also be given to all alternate members, who shall have the right to attend all meetings of the committee. The board of directors or a committee may adopt rules for the government of any committee not inconsistent with the provisions of these bylaws.</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86"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Subcommittees</w:t>
      </w:r>
      <w:r>
        <w:rPr>
          <w:rFonts w:ascii="Arial" w:cs="Arial" w:eastAsia="Arial" w:hAnsi="Arial"/>
          <w:sz w:val="19"/>
          <w:szCs w:val="19"/>
          <w:color w:val="auto"/>
        </w:rPr>
        <w:t>. 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1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V</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OFFICERS</w:t>
      </w:r>
    </w:p>
    <w:p>
      <w:pPr>
        <w:spacing w:after="0" w:line="22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Officers</w:t>
      </w:r>
      <w:r>
        <w:rPr>
          <w:rFonts w:ascii="Arial" w:cs="Arial" w:eastAsia="Arial" w:hAnsi="Arial"/>
          <w:sz w:val="22"/>
          <w:szCs w:val="22"/>
          <w:color w:val="auto"/>
        </w:rPr>
        <w:t>. The officers of the corporation shall be a president and a secretary. The corporation may also have, at the discretion of the board of directors, a chairperson of the board 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87" w:name="page88"/>
    <w:bookmarkEnd w:id="87"/>
    <w:p>
      <w:pPr>
        <w:jc w:val="both"/>
        <w:spacing w:after="0" w:line="250" w:lineRule="auto"/>
        <w:rPr>
          <w:sz w:val="20"/>
          <w:szCs w:val="20"/>
          <w:color w:val="auto"/>
        </w:rPr>
      </w:pPr>
      <w:r>
        <w:rPr>
          <w:rFonts w:ascii="Arial" w:cs="Arial" w:eastAsia="Arial" w:hAnsi="Arial"/>
          <w:sz w:val="22"/>
          <w:szCs w:val="22"/>
          <w:color w:val="auto"/>
        </w:rPr>
        <w:t>directors, a vice chairperson of the board of directors, a chief executive officer, a chief financial officer,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Appointment of Officers</w:t>
      </w:r>
      <w:r>
        <w:rPr>
          <w:rFonts w:ascii="Arial" w:cs="Arial" w:eastAsia="Arial" w:hAnsi="Arial"/>
          <w:sz w:val="22"/>
          <w:szCs w:val="22"/>
          <w:color w:val="auto"/>
        </w:rPr>
        <w:t>. The board of directors shall appoint the officers of the corporation, except such officers as may be appointed in accordance with the provisions of Sections 5.3 of these bylaws, subject to the rights, if any, of an officer under any contract of employment.</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Subordinate Officers</w:t>
      </w:r>
      <w:r>
        <w:rPr>
          <w:rFonts w:ascii="Arial" w:cs="Arial" w:eastAsia="Arial" w:hAnsi="Arial"/>
          <w:sz w:val="22"/>
          <w:szCs w:val="22"/>
          <w:color w:val="auto"/>
        </w:rPr>
        <w:t>. 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Removal and Resignation of Officers</w:t>
      </w:r>
      <w:r>
        <w:rPr>
          <w:rFonts w:ascii="Arial" w:cs="Arial" w:eastAsia="Arial" w:hAnsi="Arial"/>
          <w:sz w:val="21"/>
          <w:szCs w:val="21"/>
          <w:color w:val="auto"/>
        </w:rPr>
        <w:t>. 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Vacancies In Offices</w:t>
      </w:r>
      <w:r>
        <w:rPr>
          <w:rFonts w:ascii="Arial" w:cs="Arial" w:eastAsia="Arial" w:hAnsi="Arial"/>
          <w:sz w:val="22"/>
          <w:szCs w:val="22"/>
          <w:color w:val="auto"/>
        </w:rPr>
        <w:t>. Any vacancy occurring in any office of the corporation shall be filled by the board of directors or as provided in Section 5.3.</w:t>
      </w:r>
    </w:p>
    <w:p>
      <w:pPr>
        <w:spacing w:after="0" w:line="16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Representation of Shares of Other Corporations</w:t>
      </w:r>
      <w:r>
        <w:rPr>
          <w:rFonts w:ascii="Arial" w:cs="Arial" w:eastAsia="Arial" w:hAnsi="Arial"/>
          <w:sz w:val="19"/>
          <w:szCs w:val="19"/>
          <w:color w:val="auto"/>
        </w:rPr>
        <w:t>. The chairperson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or other equity interests of any other corporation or corporations or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Authority and Duties of Officers</w:t>
      </w:r>
      <w:r>
        <w:rPr>
          <w:rFonts w:ascii="Arial" w:cs="Arial" w:eastAsia="Arial" w:hAnsi="Arial"/>
          <w:sz w:val="22"/>
          <w:szCs w:val="22"/>
          <w:color w:val="auto"/>
        </w:rPr>
        <w:t>. 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Stock Certificates; Partly Paid Shares</w:t>
      </w:r>
      <w:r>
        <w:rPr>
          <w:rFonts w:ascii="Arial" w:cs="Arial" w:eastAsia="Arial" w:hAnsi="Arial"/>
          <w:sz w:val="19"/>
          <w:szCs w:val="19"/>
          <w:color w:val="auto"/>
        </w:rPr>
        <w:t xml:space="preserve">. The shares of the corporation shall be represented by certificates;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of the board of directors or vice-chairperson of the board of directors, or the president or a vice-president,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Special Designation On Certificates</w:t>
      </w:r>
      <w:r>
        <w:rPr>
          <w:rFonts w:ascii="Arial" w:cs="Arial" w:eastAsia="Arial" w:hAnsi="Arial"/>
          <w:sz w:val="19"/>
          <w:szCs w:val="19"/>
          <w:color w:val="auto"/>
        </w:rPr>
        <w:t xml:space="preserve">.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9"/>
          <w:szCs w:val="19"/>
          <w:i w:val="1"/>
          <w:iCs w:val="1"/>
          <w:color w:val="auto"/>
        </w:rPr>
        <w:t>provided, however</w:t>
      </w:r>
      <w:r>
        <w:rPr>
          <w:rFonts w:ascii="Arial" w:cs="Arial" w:eastAsia="Arial" w:hAnsi="Arial"/>
          <w:sz w:val="19"/>
          <w:szCs w:val="19"/>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6.2 or Sections 151, 156, 202(a) or 218(a)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68" w:right="239" w:bottom="1440" w:gutter="0" w:footer="0" w:header="0"/>
        </w:sectPr>
      </w:pPr>
    </w:p>
    <w:bookmarkStart w:id="89" w:name="page90"/>
    <w:bookmarkEnd w:id="89"/>
    <w:p>
      <w:pPr>
        <w:jc w:val="both"/>
        <w:spacing w:after="0" w:line="343" w:lineRule="auto"/>
        <w:rPr>
          <w:sz w:val="20"/>
          <w:szCs w:val="20"/>
          <w:color w:val="auto"/>
        </w:rPr>
      </w:pPr>
      <w:r>
        <w:rPr>
          <w:rFonts w:ascii="Arial" w:cs="Arial" w:eastAsia="Arial" w:hAnsi="Arial"/>
          <w:sz w:val="19"/>
          <w:szCs w:val="19"/>
          <w:color w:val="auto"/>
        </w:rPr>
        <w:t>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Lost Certificates</w:t>
      </w:r>
      <w:r>
        <w:rPr>
          <w:rFonts w:ascii="Arial" w:cs="Arial" w:eastAsia="Arial" w:hAnsi="Arial"/>
          <w:sz w:val="19"/>
          <w:szCs w:val="19"/>
          <w:color w:val="auto"/>
        </w:rPr>
        <w:t>. 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Dividends</w:t>
      </w:r>
      <w:r>
        <w:rPr>
          <w:rFonts w:ascii="Arial" w:cs="Arial" w:eastAsia="Arial" w:hAnsi="Arial"/>
          <w:sz w:val="22"/>
          <w:szCs w:val="22"/>
          <w:color w:val="auto"/>
        </w:rPr>
        <w:t>. The board of directors, subject to any restrictions contained in the certificate of incorporation or applicable law, may declare and pay dividends upon the shares of the corporation’s capital stock.</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Transfer of Stock</w:t>
      </w:r>
      <w:r>
        <w:rPr>
          <w:rFonts w:ascii="Arial" w:cs="Arial" w:eastAsia="Arial" w:hAnsi="Arial"/>
          <w:sz w:val="22"/>
          <w:szCs w:val="22"/>
          <w:color w:val="auto"/>
        </w:rPr>
        <w:t>. Transfers of record of shares of stock of the corporation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Stock Transfer Agreements</w:t>
      </w:r>
      <w:r>
        <w:rPr>
          <w:rFonts w:ascii="Arial" w:cs="Arial" w:eastAsia="Arial" w:hAnsi="Arial"/>
          <w:sz w:val="21"/>
          <w:szCs w:val="21"/>
          <w:color w:val="auto"/>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u w:val="single" w:color="auto"/>
          <w:color w:val="auto"/>
        </w:rPr>
        <w:t>Registered Stockholders</w:t>
      </w:r>
      <w:r>
        <w:rPr>
          <w:rFonts w:ascii="Arial" w:cs="Arial" w:eastAsia="Arial" w:hAnsi="Arial"/>
          <w:sz w:val="19"/>
          <w:szCs w:val="19"/>
          <w:color w:val="auto"/>
        </w:rPr>
        <w:t>. The corporation:</w:t>
      </w:r>
    </w:p>
    <w:p>
      <w:pPr>
        <w:spacing w:after="0" w:line="233" w:lineRule="exact"/>
        <w:rPr>
          <w:sz w:val="20"/>
          <w:szCs w:val="20"/>
          <w:color w:val="auto"/>
        </w:rPr>
      </w:pPr>
    </w:p>
    <w:p>
      <w:pPr>
        <w:ind w:firstLine="1305"/>
        <w:spacing w:after="0" w:line="276" w:lineRule="auto"/>
        <w:tabs>
          <w:tab w:leader="none" w:pos="1734" w:val="left"/>
        </w:tabs>
        <w:numPr>
          <w:ilvl w:val="0"/>
          <w:numId w:val="72"/>
        </w:numPr>
        <w:rPr>
          <w:rFonts w:ascii="Arial" w:cs="Arial" w:eastAsia="Arial" w:hAnsi="Arial"/>
          <w:sz w:val="22"/>
          <w:szCs w:val="22"/>
          <w:color w:val="auto"/>
        </w:rPr>
      </w:pPr>
      <w:r>
        <w:rPr>
          <w:rFonts w:ascii="Arial" w:cs="Arial" w:eastAsia="Arial" w:hAnsi="Arial"/>
          <w:sz w:val="22"/>
          <w:szCs w:val="22"/>
          <w:color w:val="auto"/>
        </w:rPr>
        <w:t>shall be entitled to recognize the exclusive right of a person registered on its books as the owner of shares to receive dividends and to vote as such owner;</w:t>
      </w:r>
    </w:p>
    <w:p>
      <w:pPr>
        <w:spacing w:after="0" w:line="160" w:lineRule="exact"/>
        <w:rPr>
          <w:rFonts w:ascii="Arial" w:cs="Arial" w:eastAsia="Arial" w:hAnsi="Arial"/>
          <w:sz w:val="22"/>
          <w:szCs w:val="22"/>
          <w:color w:val="auto"/>
        </w:rPr>
      </w:pPr>
    </w:p>
    <w:p>
      <w:pPr>
        <w:ind w:left="1840" w:hanging="535"/>
        <w:spacing w:after="0"/>
        <w:tabs>
          <w:tab w:leader="none" w:pos="18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shall be entitled to hold liable for calls and assessments the person registered on its books as the owner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 and</w:t>
      </w:r>
    </w:p>
    <w:p>
      <w:pPr>
        <w:spacing w:after="0" w:line="215" w:lineRule="exact"/>
        <w:rPr>
          <w:rFonts w:ascii="Arial" w:cs="Arial" w:eastAsia="Arial" w:hAnsi="Arial"/>
          <w:sz w:val="19"/>
          <w:szCs w:val="19"/>
          <w:color w:val="auto"/>
        </w:rPr>
      </w:pPr>
    </w:p>
    <w:p>
      <w:pPr>
        <w:ind w:firstLine="1305"/>
        <w:spacing w:after="0" w:line="358" w:lineRule="auto"/>
        <w:tabs>
          <w:tab w:leader="none" w:pos="18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MANNER OF GIVING NOTICE AND WAIVER</w:t>
      </w:r>
    </w:p>
    <w:p>
      <w:pPr>
        <w:spacing w:after="0" w:line="22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Notice of Stockholders’ Meetings</w:t>
      </w:r>
      <w:r>
        <w:rPr>
          <w:rFonts w:ascii="Arial" w:cs="Arial" w:eastAsia="Arial" w:hAnsi="Arial"/>
          <w:sz w:val="19"/>
          <w:szCs w:val="19"/>
          <w:color w:val="auto"/>
        </w:rPr>
        <w:t xml:space="preserve">. Notice of any meeting of stockholders, if mailed, is given when deposited in the United States mail, postage prepaid, directed to the stockholder at such stockholder’s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facts stated therein.</w:t>
      </w:r>
    </w:p>
    <w:p>
      <w:pPr>
        <w:spacing w:after="0" w:line="13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Notice By Electronic Transmission</w:t>
      </w:r>
      <w:r>
        <w:rPr>
          <w:rFonts w:ascii="Arial" w:cs="Arial" w:eastAsia="Arial" w:hAnsi="Arial"/>
          <w:sz w:val="19"/>
          <w:szCs w:val="19"/>
          <w:color w:val="auto"/>
        </w:rPr>
        <w:t>.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47" w:lineRule="exact"/>
        <w:rPr>
          <w:sz w:val="20"/>
          <w:szCs w:val="20"/>
          <w:color w:val="auto"/>
        </w:rPr>
      </w:pPr>
    </w:p>
    <w:p>
      <w:pPr>
        <w:ind w:firstLine="1305"/>
        <w:spacing w:after="0" w:line="276" w:lineRule="auto"/>
        <w:tabs>
          <w:tab w:leader="none" w:pos="1694"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corporation is unable to deliver by electronic transmission two consecutive notices given by the corporation in accordance with such consent; and</w:t>
      </w:r>
    </w:p>
    <w:p>
      <w:pPr>
        <w:spacing w:after="0" w:line="160" w:lineRule="exact"/>
        <w:rPr>
          <w:rFonts w:ascii="Arial" w:cs="Arial" w:eastAsia="Arial" w:hAnsi="Arial"/>
          <w:sz w:val="22"/>
          <w:szCs w:val="22"/>
          <w:color w:val="auto"/>
        </w:rPr>
      </w:pPr>
    </w:p>
    <w:p>
      <w:pPr>
        <w:ind w:firstLine="1305"/>
        <w:spacing w:after="0" w:line="276" w:lineRule="auto"/>
        <w:tabs>
          <w:tab w:leader="none" w:pos="1822" w:val="left"/>
        </w:tabs>
        <w:numPr>
          <w:ilvl w:val="0"/>
          <w:numId w:val="73"/>
        </w:numPr>
        <w:rPr>
          <w:rFonts w:ascii="Arial" w:cs="Arial" w:eastAsia="Arial" w:hAnsi="Arial"/>
          <w:sz w:val="22"/>
          <w:szCs w:val="22"/>
          <w:color w:val="auto"/>
        </w:rPr>
      </w:pPr>
      <w:r>
        <w:rPr>
          <w:rFonts w:ascii="Arial" w:cs="Arial" w:eastAsia="Arial" w:hAnsi="Arial"/>
          <w:sz w:val="22"/>
          <w:szCs w:val="22"/>
          <w:color w:val="auto"/>
        </w:rPr>
        <w:t>such inability becomes known to the secretary or an assistant secretary of the corporation or to the transfer agent, or other person responsible for the giving of notice.</w:t>
      </w:r>
    </w:p>
    <w:p>
      <w:pPr>
        <w:spacing w:after="0" w:line="161" w:lineRule="exact"/>
        <w:rPr>
          <w:sz w:val="20"/>
          <w:szCs w:val="20"/>
          <w:color w:val="auto"/>
        </w:rPr>
      </w:pPr>
    </w:p>
    <w:p>
      <w:pPr>
        <w:ind w:left="660" w:right="260" w:hanging="4"/>
        <w:spacing w:after="0" w:line="454" w:lineRule="auto"/>
        <w:tabs>
          <w:tab w:leader="none" w:pos="948" w:val="left"/>
        </w:tabs>
        <w:numPr>
          <w:ilvl w:val="0"/>
          <w:numId w:val="74"/>
        </w:numPr>
        <w:rPr>
          <w:rFonts w:ascii="Arial" w:cs="Arial" w:eastAsia="Arial" w:hAnsi="Arial"/>
          <w:sz w:val="22"/>
          <w:szCs w:val="22"/>
          <w:color w:val="auto"/>
        </w:rPr>
      </w:pPr>
      <w:r>
        <w:rPr>
          <w:rFonts w:ascii="Arial" w:cs="Arial" w:eastAsia="Arial" w:hAnsi="Arial"/>
          <w:sz w:val="22"/>
          <w:szCs w:val="22"/>
          <w:color w:val="auto"/>
        </w:rPr>
        <w:t>However, the inadvertent failure to treat such inability as a revocation shall not invalidate any meeting or other action. Any notice given pursuant to the preceding paragraph shall be deemed given:</w:t>
      </w:r>
    </w:p>
    <w:p>
      <w:pPr>
        <w:spacing w:after="0" w:line="1" w:lineRule="exact"/>
        <w:rPr>
          <w:rFonts w:ascii="Arial" w:cs="Arial" w:eastAsia="Arial" w:hAnsi="Arial"/>
          <w:sz w:val="22"/>
          <w:szCs w:val="22"/>
          <w:color w:val="auto"/>
        </w:rPr>
      </w:pPr>
    </w:p>
    <w:p>
      <w:pPr>
        <w:ind w:left="1680" w:hanging="375"/>
        <w:spacing w:after="0"/>
        <w:tabs>
          <w:tab w:leader="none" w:pos="1680" w:val="left"/>
        </w:tabs>
        <w:numPr>
          <w:ilvl w:val="1"/>
          <w:numId w:val="74"/>
        </w:numPr>
        <w:rPr>
          <w:rFonts w:ascii="Arial" w:cs="Arial" w:eastAsia="Arial" w:hAnsi="Arial"/>
          <w:sz w:val="19"/>
          <w:szCs w:val="19"/>
          <w:color w:val="auto"/>
        </w:rPr>
      </w:pPr>
      <w:r>
        <w:rPr>
          <w:rFonts w:ascii="Arial" w:cs="Arial" w:eastAsia="Arial" w:hAnsi="Arial"/>
          <w:sz w:val="19"/>
          <w:szCs w:val="19"/>
          <w:color w:val="auto"/>
        </w:rPr>
        <w:t>if by facsimile telecommunication, when directed to a number at which the stockholder has consented to receive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notice;</w:t>
      </w:r>
    </w:p>
    <w:p>
      <w:pPr>
        <w:spacing w:after="0" w:line="215" w:lineRule="exact"/>
        <w:rPr>
          <w:sz w:val="20"/>
          <w:szCs w:val="20"/>
          <w:color w:val="auto"/>
        </w:rPr>
      </w:pPr>
    </w:p>
    <w:p>
      <w:pPr>
        <w:ind w:left="1820" w:hanging="515"/>
        <w:spacing w:after="0"/>
        <w:tabs>
          <w:tab w:leader="none" w:pos="18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by electronic mail, when directed to an electronic mail address at which the stockholder has consented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receive notice;</w:t>
      </w:r>
    </w:p>
    <w:p>
      <w:pPr>
        <w:spacing w:after="0" w:line="215" w:lineRule="exact"/>
        <w:rPr>
          <w:sz w:val="20"/>
          <w:szCs w:val="20"/>
          <w:color w:val="auto"/>
        </w:rPr>
      </w:pPr>
    </w:p>
    <w:p>
      <w:pPr>
        <w:ind w:firstLine="1305"/>
        <w:spacing w:after="0" w:line="276" w:lineRule="auto"/>
        <w:tabs>
          <w:tab w:leader="none" w:pos="1908"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by a posting on an electronic network together with separate notice to the stockholder of such specific posting, upon the later of (A) such posting and (B) the giving of such separate notice; and</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by any other form of electronic transmission, when directed to the stockholder.</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69" w:right="239" w:bottom="1440" w:gutter="0" w:footer="0" w:header="0"/>
        </w:sectPr>
      </w:pPr>
    </w:p>
    <w:bookmarkStart w:id="91" w:name="page92"/>
    <w:bookmarkEnd w:id="91"/>
    <w:p>
      <w:pPr>
        <w:jc w:val="both"/>
        <w:ind w:firstLine="648"/>
        <w:spacing w:after="0" w:line="256" w:lineRule="auto"/>
        <w:rPr>
          <w:sz w:val="20"/>
          <w:szCs w:val="20"/>
          <w:color w:val="auto"/>
        </w:rPr>
      </w:pPr>
      <w:r>
        <w:rPr>
          <w:rFonts w:ascii="Arial" w:cs="Arial" w:eastAsia="Arial" w:hAnsi="Arial"/>
          <w:sz w:val="22"/>
          <w:szCs w:val="22"/>
          <w:color w:val="auto"/>
        </w:rPr>
        <w:t>An “</w:t>
      </w:r>
      <w:r>
        <w:rPr>
          <w:rFonts w:ascii="Arial" w:cs="Arial" w:eastAsia="Arial" w:hAnsi="Arial"/>
          <w:sz w:val="22"/>
          <w:szCs w:val="22"/>
          <w:b w:val="1"/>
          <w:bCs w:val="1"/>
          <w:color w:val="auto"/>
        </w:rPr>
        <w:t>electronic transmission</w:t>
      </w:r>
      <w:r>
        <w:rPr>
          <w:rFonts w:ascii="Arial" w:cs="Arial" w:eastAsia="Arial" w:hAnsi="Arial"/>
          <w:sz w:val="22"/>
          <w:szCs w:val="22"/>
          <w:color w:val="auto"/>
        </w:rPr>
        <w:t>” means any form of communication, not directly involving the physical transmission of paper, that creates a record that may be retained, retrieved, and reviewed by a recipient thereof, and that may be directly reproduced in paper form by such a recipient.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Notice by a form of electronic transmission shall not apply with respect to Sections 164, 296, 311, 312 or 324 of the DGCL.</w:t>
      </w:r>
    </w:p>
    <w:p>
      <w:pPr>
        <w:spacing w:after="0" w:line="25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Notice To Stockholders Sharing An Address</w:t>
      </w:r>
      <w:r>
        <w:rPr>
          <w:rFonts w:ascii="Arial" w:cs="Arial" w:eastAsia="Arial" w:hAnsi="Arial"/>
          <w:sz w:val="19"/>
          <w:szCs w:val="19"/>
          <w:color w:val="auto"/>
        </w:rPr>
        <w:t>. 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Notice To Person With Whom Communication Is Unlawful</w:t>
      </w:r>
      <w:r>
        <w:rPr>
          <w:rFonts w:ascii="Arial" w:cs="Arial" w:eastAsia="Arial" w:hAnsi="Arial"/>
          <w:sz w:val="22"/>
          <w:szCs w:val="22"/>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9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Waiver of Notice</w:t>
      </w:r>
      <w:r>
        <w:rPr>
          <w:rFonts w:ascii="Arial" w:cs="Arial" w:eastAsia="Arial" w:hAnsi="Arial"/>
          <w:sz w:val="19"/>
          <w:szCs w:val="19"/>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FORUM FOR CERTAIN ACTIONS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the corporation consents in writing to the selection of an alternative forum, the Court of Chancery (the “</w:t>
      </w:r>
      <w:r>
        <w:rPr>
          <w:rFonts w:ascii="Arial" w:cs="Arial" w:eastAsia="Arial" w:hAnsi="Arial"/>
          <w:sz w:val="22"/>
          <w:szCs w:val="22"/>
          <w:u w:val="single" w:color="auto"/>
          <w:color w:val="auto"/>
        </w:rPr>
        <w:t>Chancery</w:t>
      </w:r>
      <w:r>
        <w:rPr>
          <w:rFonts w:ascii="Arial" w:cs="Arial" w:eastAsia="Arial" w:hAnsi="Arial"/>
          <w:sz w:val="22"/>
          <w:szCs w:val="22"/>
          <w:color w:val="auto"/>
        </w:rPr>
        <w:t xml:space="preserve"> </w:t>
      </w:r>
      <w:r>
        <w:rPr>
          <w:rFonts w:ascii="Arial" w:cs="Arial" w:eastAsia="Arial" w:hAnsi="Arial"/>
          <w:sz w:val="22"/>
          <w:szCs w:val="22"/>
          <w:u w:val="single" w:color="auto"/>
          <w:color w:val="auto"/>
        </w:rPr>
        <w:t>Court</w:t>
      </w:r>
      <w:r>
        <w:rPr>
          <w:rFonts w:ascii="Arial" w:cs="Arial" w:eastAsia="Arial" w:hAnsi="Arial"/>
          <w:sz w:val="22"/>
          <w:szCs w:val="22"/>
          <w:color w:val="auto"/>
        </w:rPr>
        <w:t>”) of the State of Delaware (or, in the event that the Chancery Court does not have jurisdiction, the federal district court for the District of Delaware or other state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69" w:right="239" w:bottom="1440" w:gutter="0" w:footer="0" w:header="0"/>
        </w:sectPr>
      </w:pPr>
    </w:p>
    <w:bookmarkStart w:id="92" w:name="page93"/>
    <w:bookmarkEnd w:id="92"/>
    <w:p>
      <w:pPr>
        <w:jc w:val="both"/>
        <w:spacing w:after="0" w:line="288" w:lineRule="auto"/>
        <w:rPr>
          <w:sz w:val="20"/>
          <w:szCs w:val="20"/>
          <w:color w:val="auto"/>
        </w:rPr>
      </w:pPr>
      <w:r>
        <w:rPr>
          <w:rFonts w:ascii="Arial" w:cs="Arial" w:eastAsia="Arial" w:hAnsi="Arial"/>
          <w:sz w:val="19"/>
          <w:szCs w:val="19"/>
          <w:color w:val="auto"/>
        </w:rPr>
        <w:t>courts of the State of Delaware) shall, to the fullest extent permitted by law, be the sole and exclusive forum for (i) any derivative action or proceeding brought on behalf of the corporation, (ii) any action asserting a claim of breach of a fiduciary duty owed by any director, officer or stockholder of the corporation to the corporation or to the corporation’s stockholders, (iii) any action arising pursuant to any provision of the DGCL or the certificate of incorporation or these bylaws (as either may be amended from time to time) or (iv) any action asserting a claim against the corporation governed by the internal affairs doctrine. If any action the subject matter of which is within the scope of the preceding sentence is filed in a court other than a court located within the State of Delaware (a “</w:t>
      </w:r>
      <w:r>
        <w:rPr>
          <w:rFonts w:ascii="Arial" w:cs="Arial" w:eastAsia="Arial" w:hAnsi="Arial"/>
          <w:sz w:val="19"/>
          <w:szCs w:val="19"/>
          <w:u w:val="single" w:color="auto"/>
          <w:color w:val="auto"/>
        </w:rPr>
        <w:t>Foreign Action</w:t>
      </w:r>
      <w:r>
        <w:rPr>
          <w:rFonts w:ascii="Arial" w:cs="Arial" w:eastAsia="Arial" w:hAnsi="Arial"/>
          <w:sz w:val="19"/>
          <w:szCs w:val="19"/>
          <w:color w:val="auto"/>
        </w:rPr>
        <w:t>”) in the name of any stockholder, such stockholder shall be deemed to have consented to (a) the personal jurisdiction of the state and federal courts located within the State of Delaware in connection with any action brought in any such court to enforce the preceding sentence and (b) having service of process made upon such stockholder in any such action by service upon such stockholder’s counsel in the Foreign Action as agent for such stockholder.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2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Indemnification of Directors and Officers In Third Party Proceedings</w:t>
      </w:r>
      <w:r>
        <w:rPr>
          <w:rFonts w:ascii="Arial" w:cs="Arial" w:eastAsia="Arial" w:hAnsi="Arial"/>
          <w:sz w:val="19"/>
          <w:szCs w:val="19"/>
          <w:color w:val="auto"/>
        </w:rPr>
        <w:t>. Subject to the other provisions of this Article IX,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9"/>
          <w:szCs w:val="19"/>
          <w:b w:val="1"/>
          <w:bCs w:val="1"/>
          <w:color w:val="auto"/>
        </w:rPr>
        <w:t>Proceeding</w:t>
      </w:r>
      <w:r>
        <w:rPr>
          <w:rFonts w:ascii="Arial" w:cs="Arial" w:eastAsia="Arial" w:hAnsi="Arial"/>
          <w:sz w:val="19"/>
          <w:szCs w:val="19"/>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Indemnification of Directors and Officers in Actions by or in the Right of the Corporation</w:t>
      </w:r>
      <w:r>
        <w:rPr>
          <w:rFonts w:ascii="Arial" w:cs="Arial" w:eastAsia="Arial" w:hAnsi="Arial"/>
          <w:sz w:val="19"/>
          <w:szCs w:val="19"/>
          <w:color w:val="auto"/>
        </w:rPr>
        <w:t>. Subject to the other provisions of this Article IX,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93" w:name="page94"/>
    <w:bookmarkEnd w:id="93"/>
    <w:p>
      <w:pPr>
        <w:jc w:val="both"/>
        <w:spacing w:after="0" w:line="260" w:lineRule="auto"/>
        <w:rPr>
          <w:sz w:val="20"/>
          <w:szCs w:val="20"/>
          <w:color w:val="auto"/>
        </w:rPr>
      </w:pPr>
      <w:r>
        <w:rPr>
          <w:rFonts w:ascii="Arial" w:cs="Arial" w:eastAsia="Arial" w:hAnsi="Arial"/>
          <w:sz w:val="21"/>
          <w:szCs w:val="21"/>
          <w:color w:val="auto"/>
        </w:rPr>
        <w:t>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Successful Defense</w:t>
      </w:r>
      <w:r>
        <w:rPr>
          <w:rFonts w:ascii="Arial" w:cs="Arial" w:eastAsia="Arial" w:hAnsi="Arial"/>
          <w:sz w:val="22"/>
          <w:szCs w:val="22"/>
          <w:color w:val="auto"/>
        </w:rPr>
        <w:t>. To the extent that a present or former director or officer of the corporation has been successful on the merits or otherwise in defense of any action, suit or proceeding described in Section 9.1 or Section 9.2, or in defense of any claim, issue or matter therein, such person shall be indemnified against expenses (including attorneys’ fees) actually and reasonably incurred by such person in connection therewith.</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Indemnification of Others</w:t>
      </w:r>
      <w:r>
        <w:rPr>
          <w:rFonts w:ascii="Arial" w:cs="Arial" w:eastAsia="Arial" w:hAnsi="Arial"/>
          <w:sz w:val="22"/>
          <w:szCs w:val="22"/>
          <w:color w:val="auto"/>
        </w:rPr>
        <w:t>. Subject to the other provisions of this Article IX, the corporation shall have power to indemnify its employees and agents to the extent not prohibited by the DGCL or other applicable law. The board of directors shall have the power to delegate to such person or persons as the board shall in its discretion determine the determination of whether employees or agents shall be indemnified.</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Advance Payment of Expenses</w:t>
      </w:r>
      <w:r>
        <w:rPr>
          <w:rFonts w:ascii="Arial" w:cs="Arial" w:eastAsia="Arial" w:hAnsi="Arial"/>
          <w:sz w:val="19"/>
          <w:szCs w:val="19"/>
          <w:color w:val="auto"/>
        </w:rPr>
        <w:t>. 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IX or the DGCL.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claim for which indemnity is excluded pursuant to these bylaws, but shall apply to any Proceeding referenced in Section 9.6(ii) or 9.6(iii) prior to a determination that the person is not entitled to be indemnified by the corporation.</w:t>
      </w:r>
    </w:p>
    <w:p>
      <w:pPr>
        <w:spacing w:after="0" w:line="156"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Limitation On Indemnification</w:t>
      </w:r>
      <w:r>
        <w:rPr>
          <w:rFonts w:ascii="Arial" w:cs="Arial" w:eastAsia="Arial" w:hAnsi="Arial"/>
          <w:sz w:val="19"/>
          <w:szCs w:val="19"/>
          <w:color w:val="auto"/>
        </w:rPr>
        <w:t>. Subject to the requirements in Section 9.3 and the DGCL, the corporation shall not be obligated to indemnify any person pursuant to this Article IX in connection with any Proceeding (or any part of any Proceeding):</w:t>
      </w:r>
    </w:p>
    <w:p>
      <w:pPr>
        <w:spacing w:after="0" w:line="91" w:lineRule="exact"/>
        <w:rPr>
          <w:sz w:val="20"/>
          <w:szCs w:val="20"/>
          <w:color w:val="auto"/>
        </w:rPr>
      </w:pPr>
    </w:p>
    <w:p>
      <w:pPr>
        <w:ind w:firstLine="1305"/>
        <w:spacing w:after="0" w:line="276" w:lineRule="auto"/>
        <w:tabs>
          <w:tab w:leader="none" w:pos="1734" w:val="left"/>
        </w:tabs>
        <w:numPr>
          <w:ilvl w:val="0"/>
          <w:numId w:val="77"/>
        </w:numPr>
        <w:rPr>
          <w:rFonts w:ascii="Arial" w:cs="Arial" w:eastAsia="Arial" w:hAnsi="Arial"/>
          <w:sz w:val="22"/>
          <w:szCs w:val="22"/>
          <w:color w:val="auto"/>
        </w:rPr>
      </w:pPr>
      <w:r>
        <w:rPr>
          <w:rFonts w:ascii="Arial" w:cs="Arial" w:eastAsia="Arial" w:hAnsi="Arial"/>
          <w:sz w:val="22"/>
          <w:szCs w:val="22"/>
          <w:color w:val="auto"/>
        </w:rPr>
        <w:t>for which payment has actually been made to or on behalf of such person under any statute, insurance policy, indemnity provision, vote or otherwise, except with respect to any excess beyond the amount paid;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94" w:name="page95"/>
    <w:bookmarkEnd w:id="94"/>
    <w:p>
      <w:pPr>
        <w:jc w:val="both"/>
        <w:ind w:firstLine="1305"/>
        <w:spacing w:after="0" w:line="260" w:lineRule="auto"/>
        <w:tabs>
          <w:tab w:leader="none" w:pos="1741" w:val="left"/>
        </w:tabs>
        <w:numPr>
          <w:ilvl w:val="0"/>
          <w:numId w:val="78"/>
        </w:numPr>
        <w:rPr>
          <w:rFonts w:ascii="Arial" w:cs="Arial" w:eastAsia="Arial" w:hAnsi="Arial"/>
          <w:sz w:val="22"/>
          <w:szCs w:val="22"/>
          <w:color w:val="auto"/>
        </w:rPr>
      </w:pPr>
      <w:r>
        <w:rPr>
          <w:rFonts w:ascii="Arial" w:cs="Arial" w:eastAsia="Arial" w:hAnsi="Arial"/>
          <w:sz w:val="22"/>
          <w:szCs w:val="22"/>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77" w:lineRule="exact"/>
        <w:rPr>
          <w:rFonts w:ascii="Arial" w:cs="Arial" w:eastAsia="Arial" w:hAnsi="Arial"/>
          <w:sz w:val="22"/>
          <w:szCs w:val="22"/>
          <w:color w:val="auto"/>
        </w:rPr>
      </w:pPr>
    </w:p>
    <w:p>
      <w:pPr>
        <w:jc w:val="both"/>
        <w:ind w:firstLine="1305"/>
        <w:spacing w:after="0" w:line="264" w:lineRule="auto"/>
        <w:tabs>
          <w:tab w:leader="none" w:pos="1895" w:val="left"/>
        </w:tabs>
        <w:numPr>
          <w:ilvl w:val="0"/>
          <w:numId w:val="78"/>
        </w:numPr>
        <w:rPr>
          <w:rFonts w:ascii="Arial" w:cs="Arial" w:eastAsia="Arial" w:hAnsi="Arial"/>
          <w:sz w:val="21"/>
          <w:szCs w:val="21"/>
          <w:color w:val="auto"/>
        </w:rPr>
      </w:pPr>
      <w:r>
        <w:rPr>
          <w:rFonts w:ascii="Arial" w:cs="Arial" w:eastAsia="Arial" w:hAnsi="Arial"/>
          <w:sz w:val="21"/>
          <w:szCs w:val="21"/>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Arial" w:cs="Arial" w:eastAsia="Arial" w:hAnsi="Arial"/>
          <w:sz w:val="21"/>
          <w:szCs w:val="21"/>
          <w:b w:val="1"/>
          <w:bCs w:val="1"/>
          <w:color w:val="auto"/>
        </w:rPr>
        <w:t>Sarbanes-Oxley Act</w:t>
      </w:r>
      <w:r>
        <w:rPr>
          <w:rFonts w:ascii="Arial" w:cs="Arial" w:eastAsia="Arial" w:hAnsi="Arial"/>
          <w:sz w:val="21"/>
          <w:szCs w:val="21"/>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75" w:lineRule="exact"/>
        <w:rPr>
          <w:rFonts w:ascii="Arial" w:cs="Arial" w:eastAsia="Arial" w:hAnsi="Arial"/>
          <w:sz w:val="21"/>
          <w:szCs w:val="21"/>
          <w:color w:val="auto"/>
        </w:rPr>
      </w:pPr>
    </w:p>
    <w:p>
      <w:pPr>
        <w:jc w:val="both"/>
        <w:ind w:firstLine="1305"/>
        <w:spacing w:after="0" w:line="251" w:lineRule="auto"/>
        <w:tabs>
          <w:tab w:leader="none" w:pos="1856"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9.7 or (d) otherwise required by applicable law; or</w:t>
      </w:r>
    </w:p>
    <w:p>
      <w:pPr>
        <w:spacing w:after="0" w:line="189" w:lineRule="exact"/>
        <w:rPr>
          <w:rFonts w:ascii="Arial" w:cs="Arial" w:eastAsia="Arial" w:hAnsi="Arial"/>
          <w:sz w:val="22"/>
          <w:szCs w:val="22"/>
          <w:color w:val="auto"/>
        </w:rPr>
      </w:pPr>
    </w:p>
    <w:p>
      <w:pPr>
        <w:jc w:val="both"/>
        <w:ind w:firstLine="1305"/>
        <w:spacing w:after="0" w:line="294" w:lineRule="auto"/>
        <w:tabs>
          <w:tab w:leader="none" w:pos="1728"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if prohibited by applicable law;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any provision or provisions of this Article IX shall be held to be invalid, illegal or unenforceable for any reason whatsoever: (1) the validity, legality and enforceability of the remaining provisions of this Article IX (including,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Article IX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spacing w:after="0" w:line="1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Determination; Claim</w:t>
      </w:r>
      <w:r>
        <w:rPr>
          <w:rFonts w:ascii="Arial" w:cs="Arial" w:eastAsia="Arial" w:hAnsi="Arial"/>
          <w:sz w:val="19"/>
          <w:szCs w:val="19"/>
          <w:color w:val="auto"/>
        </w:rPr>
        <w:t>. If a claim for indemnification or advancement of expenses under this Article IX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incurred by such person in connection with any action for indemnification or advancement of expenses from the corporation under this Article IX,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The indemnification and advancement of expenses provided by, or granted pursuant to, this Article IX shall not be deemed exclusive of any other rights to which those seeking indemnification or advancement of expenses may be entitled under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95" w:name="page96"/>
    <w:bookmarkEnd w:id="95"/>
    <w:p>
      <w:pPr>
        <w:jc w:val="both"/>
        <w:spacing w:after="0" w:line="302" w:lineRule="auto"/>
        <w:rPr>
          <w:sz w:val="20"/>
          <w:szCs w:val="20"/>
          <w:color w:val="auto"/>
        </w:rPr>
      </w:pPr>
      <w:r>
        <w:rPr>
          <w:rFonts w:ascii="Arial" w:cs="Arial" w:eastAsia="Arial" w:hAnsi="Arial"/>
          <w:sz w:val="19"/>
          <w:szCs w:val="19"/>
          <w:color w:val="auto"/>
        </w:rPr>
        <w:t>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4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9.9 </w:t>
      </w:r>
      <w:r>
        <w:rPr>
          <w:rFonts w:ascii="Arial" w:cs="Arial" w:eastAsia="Arial" w:hAnsi="Arial"/>
          <w:sz w:val="19"/>
          <w:szCs w:val="19"/>
          <w:u w:val="single" w:color="auto"/>
          <w:color w:val="auto"/>
        </w:rPr>
        <w:t>Insurance</w:t>
      </w:r>
      <w:r>
        <w:rPr>
          <w:rFonts w:ascii="Arial" w:cs="Arial" w:eastAsia="Arial" w:hAnsi="Arial"/>
          <w:sz w:val="19"/>
          <w:szCs w:val="19"/>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u w:val="single" w:color="auto"/>
          <w:color w:val="auto"/>
        </w:rPr>
        <w:t>Survival</w:t>
      </w:r>
      <w:r>
        <w:rPr>
          <w:rFonts w:ascii="Arial" w:cs="Arial" w:eastAsia="Arial" w:hAnsi="Arial"/>
          <w:sz w:val="22"/>
          <w:szCs w:val="22"/>
          <w:color w:val="auto"/>
        </w:rPr>
        <w:t>. The rights to indemnification and advancement of expenses conferred by this Article IX shall continue as to a person who has ceased to be a director, officer, employee or agent and shall inure to the benefit of the heirs, executors and administrators of such a person.</w:t>
      </w:r>
    </w:p>
    <w:p>
      <w:pPr>
        <w:spacing w:after="0" w:line="17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Effect of Repeal or Modification</w:t>
      </w:r>
      <w:r>
        <w:rPr>
          <w:rFonts w:ascii="Arial" w:cs="Arial" w:eastAsia="Arial" w:hAnsi="Arial"/>
          <w:sz w:val="19"/>
          <w:szCs w:val="19"/>
          <w:color w:val="auto"/>
        </w:rPr>
        <w:t>. 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4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9.12 </w:t>
      </w: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Article IX, references to the “</w:t>
      </w:r>
      <w:r>
        <w:rPr>
          <w:rFonts w:ascii="Arial" w:cs="Arial" w:eastAsia="Arial" w:hAnsi="Arial"/>
          <w:sz w:val="19"/>
          <w:szCs w:val="19"/>
          <w:b w:val="1"/>
          <w:bCs w:val="1"/>
          <w:color w:val="auto"/>
        </w:rPr>
        <w:t>corporation</w:t>
      </w:r>
      <w:r>
        <w:rPr>
          <w:rFonts w:ascii="Arial" w:cs="Arial" w:eastAsia="Arial" w:hAnsi="Arial"/>
          <w:sz w:val="19"/>
          <w:szCs w:val="19"/>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IX with respect to the resulting or surviving corporation as such person would have with respect to such constituent corporation if its separate existence had continued. For purposes of this Article IX, references to “</w:t>
      </w:r>
      <w:r>
        <w:rPr>
          <w:rFonts w:ascii="Arial" w:cs="Arial" w:eastAsia="Arial" w:hAnsi="Arial"/>
          <w:sz w:val="19"/>
          <w:szCs w:val="19"/>
          <w:b w:val="1"/>
          <w:bCs w:val="1"/>
          <w:color w:val="auto"/>
        </w:rPr>
        <w:t>other enterprises</w:t>
      </w:r>
      <w:r>
        <w:rPr>
          <w:rFonts w:ascii="Arial" w:cs="Arial" w:eastAsia="Arial" w:hAnsi="Arial"/>
          <w:sz w:val="19"/>
          <w:szCs w:val="19"/>
          <w:color w:val="auto"/>
        </w:rPr>
        <w:t>” shall include employee benefit plans; references to “</w:t>
      </w:r>
      <w:r>
        <w:rPr>
          <w:rFonts w:ascii="Arial" w:cs="Arial" w:eastAsia="Arial" w:hAnsi="Arial"/>
          <w:sz w:val="19"/>
          <w:szCs w:val="19"/>
          <w:b w:val="1"/>
          <w:bCs w:val="1"/>
          <w:color w:val="auto"/>
        </w:rPr>
        <w:t>fines</w:t>
      </w:r>
      <w:r>
        <w:rPr>
          <w:rFonts w:ascii="Arial" w:cs="Arial" w:eastAsia="Arial" w:hAnsi="Arial"/>
          <w:sz w:val="19"/>
          <w:szCs w:val="19"/>
          <w:color w:val="auto"/>
        </w:rPr>
        <w:t>” shall include any excise taxes assessed on a person with respect to an employee benefit plan; and references to “</w:t>
      </w:r>
      <w:r>
        <w:rPr>
          <w:rFonts w:ascii="Arial" w:cs="Arial" w:eastAsia="Arial" w:hAnsi="Arial"/>
          <w:sz w:val="19"/>
          <w:szCs w:val="19"/>
          <w:b w:val="1"/>
          <w:bCs w:val="1"/>
          <w:color w:val="auto"/>
        </w:rPr>
        <w:t>serving</w:t>
      </w:r>
      <w:r>
        <w:rPr>
          <w:rFonts w:ascii="Arial" w:cs="Arial" w:eastAsia="Arial" w:hAnsi="Arial"/>
          <w:sz w:val="19"/>
          <w:szCs w:val="19"/>
          <w:color w:val="auto"/>
        </w:rPr>
        <w:t xml:space="preserve"> </w:t>
      </w:r>
      <w:r>
        <w:rPr>
          <w:rFonts w:ascii="Arial" w:cs="Arial" w:eastAsia="Arial" w:hAnsi="Arial"/>
          <w:sz w:val="19"/>
          <w:szCs w:val="19"/>
          <w:b w:val="1"/>
          <w:bCs w:val="1"/>
          <w:color w:val="auto"/>
        </w:rPr>
        <w:t>at the request of the corporation</w:t>
      </w:r>
      <w:r>
        <w:rPr>
          <w:rFonts w:ascii="Arial" w:cs="Arial" w:eastAsia="Arial" w:hAnsi="Arial"/>
          <w:sz w:val="19"/>
          <w:szCs w:val="19"/>
          <w:color w:val="auto"/>
        </w:rPr>
        <w:t>” shall include any service as a director, officer, employee or agent of the corporation which</w:t>
      </w:r>
      <w:r>
        <w:rPr>
          <w:rFonts w:ascii="Arial" w:cs="Arial" w:eastAsia="Arial" w:hAnsi="Arial"/>
          <w:sz w:val="19"/>
          <w:szCs w:val="19"/>
          <w:b w:val="1"/>
          <w:bCs w:val="1"/>
          <w:color w:val="auto"/>
        </w:rPr>
        <w:t xml:space="preserve"> </w:t>
      </w:r>
      <w:r>
        <w:rPr>
          <w:rFonts w:ascii="Arial" w:cs="Arial" w:eastAsia="Arial" w:hAnsi="Arial"/>
          <w:sz w:val="19"/>
          <w:szCs w:val="19"/>
          <w:color w:val="auto"/>
        </w:rPr>
        <w:t>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9"/>
          <w:szCs w:val="19"/>
          <w:b w:val="1"/>
          <w:bCs w:val="1"/>
          <w:color w:val="auto"/>
        </w:rPr>
        <w:t>not opposed</w:t>
      </w:r>
      <w:r>
        <w:rPr>
          <w:rFonts w:ascii="Arial" w:cs="Arial" w:eastAsia="Arial" w:hAnsi="Arial"/>
          <w:sz w:val="19"/>
          <w:szCs w:val="19"/>
          <w:color w:val="auto"/>
        </w:rPr>
        <w:t xml:space="preserve"> </w:t>
      </w:r>
      <w:r>
        <w:rPr>
          <w:rFonts w:ascii="Arial" w:cs="Arial" w:eastAsia="Arial" w:hAnsi="Arial"/>
          <w:sz w:val="19"/>
          <w:szCs w:val="19"/>
          <w:b w:val="1"/>
          <w:bCs w:val="1"/>
          <w:color w:val="auto"/>
        </w:rPr>
        <w:t>to the best interests of the corporation</w:t>
      </w:r>
      <w:r>
        <w:rPr>
          <w:rFonts w:ascii="Arial" w:cs="Arial" w:eastAsia="Arial" w:hAnsi="Arial"/>
          <w:sz w:val="19"/>
          <w:szCs w:val="19"/>
          <w:color w:val="auto"/>
        </w:rPr>
        <w:t>” as referred to in this Article IX.</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7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b w:val="1"/>
          <w:bCs w:val="1"/>
          <w:color w:val="auto"/>
        </w:rPr>
        <w:t>ARTICLE 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MATTERS</w:t>
      </w:r>
    </w:p>
    <w:p>
      <w:pPr>
        <w:spacing w:after="0" w:line="2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Execution of Corporate Contracts and Instruments</w:t>
      </w:r>
      <w:r>
        <w:rPr>
          <w:rFonts w:ascii="Arial" w:cs="Arial" w:eastAsia="Arial" w:hAnsi="Arial"/>
          <w:sz w:val="21"/>
          <w:szCs w:val="21"/>
          <w:color w:val="auto"/>
        </w:rPr>
        <w:t>. Except as otherwise provided by law, the certificate of incorporation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corporation shall be fixed by resolution of the board of directors and may be changed by the board of directors.</w:t>
      </w:r>
    </w:p>
    <w:p>
      <w:pPr>
        <w:spacing w:after="0" w:line="161"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Seal</w:t>
      </w:r>
      <w:r>
        <w:rPr>
          <w:rFonts w:ascii="Arial" w:cs="Arial" w:eastAsia="Arial" w:hAnsi="Arial"/>
          <w:sz w:val="19"/>
          <w:szCs w:val="19"/>
          <w:color w:val="auto"/>
        </w:rPr>
        <w:t>. The corporation may adopt a corporate seal, which may be altered by the board of directors. The corporation may use the corporate seal by causing it or a facsimile thereof to be impressed or affixed or in any other manner reproduced.</w:t>
      </w:r>
    </w:p>
    <w:p>
      <w:pPr>
        <w:spacing w:after="0" w:line="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Construction; Definitions</w:t>
      </w:r>
      <w:r>
        <w:rPr>
          <w:rFonts w:ascii="Arial" w:cs="Arial" w:eastAsia="Arial" w:hAnsi="Arial"/>
          <w:sz w:val="22"/>
          <w:szCs w:val="22"/>
          <w:color w:val="auto"/>
        </w:rPr>
        <w:t>.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22"/>
          <w:szCs w:val="22"/>
          <w:b w:val="1"/>
          <w:bCs w:val="1"/>
          <w:color w:val="auto"/>
        </w:rPr>
        <w:t>person</w:t>
      </w:r>
      <w:r>
        <w:rPr>
          <w:rFonts w:ascii="Arial" w:cs="Arial" w:eastAsia="Arial" w:hAnsi="Arial"/>
          <w:sz w:val="22"/>
          <w:szCs w:val="22"/>
          <w:color w:val="auto"/>
        </w:rPr>
        <w:t>” includes both a corporation and a natural person.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These bylaws may be adopted, amended or repealed by the stockholders entitled to vote;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affirmative vote of the holders of at least sixty-six and two-thirds percent (66-2/3%) of the total voting power of outstanding voting securities, voting together as a single class, shall be required for the stockholders of the corporation to alter, amend or repeal, or adopt any provision of these bylaws. The board of directors shall also have the power to adopt, amend or repeal bylaws.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bylaw amendment adopted by stockholders which specifies the votes that shall be necessary for the election of directors shall not be further amended or repealed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69"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BANDWIDTH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AMENDMENT OF BYLAWS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undersigned hereby certifies that she is the duly elected, qualified, and acting Secretary of Bandwidth Inc., a Delaware corporation and that the foregoing bylaws were amended and restated effective as of November 9, 2017 by the corporation’s board of directors.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has hereunto set her hand this 9</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November, 2017.</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22"/>
          <w:szCs w:val="22"/>
          <w:color w:val="auto"/>
        </w:rPr>
        <w:t>By:</w:t>
        <w:tab/>
        <w:t>/s/ W. Christopher Matton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24765</wp:posOffset>
            </wp:positionV>
            <wp:extent cx="3327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W. Christopher Matton, Secretary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US-DOCS\95004741.3</w:t>
      </w:r>
    </w:p>
    <w:p>
      <w:pPr>
        <w:sectPr>
          <w:pgSz w:w="11900" w:h="16838" w:orient="portrait"/>
          <w:cols w:equalWidth="0" w:num="1">
            <w:col w:w="11420"/>
          </w:cols>
          <w:pgMar w:left="240" w:top="369"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David A. Morken, certify that:</w:t>
      </w:r>
    </w:p>
    <w:p>
      <w:pPr>
        <w:spacing w:after="0" w:line="194"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Bandwidth Inc.;</w:t>
      </w:r>
    </w:p>
    <w:p>
      <w:pPr>
        <w:spacing w:after="0" w:line="194" w:lineRule="exact"/>
        <w:rPr>
          <w:rFonts w:ascii="Arial" w:cs="Arial" w:eastAsia="Arial" w:hAnsi="Arial"/>
          <w:sz w:val="16"/>
          <w:szCs w:val="16"/>
          <w:color w:val="auto"/>
        </w:rPr>
      </w:pPr>
    </w:p>
    <w:p>
      <w:pPr>
        <w:ind w:right="160" w:firstLine="8"/>
        <w:spacing w:after="0" w:line="275" w:lineRule="auto"/>
        <w:tabs>
          <w:tab w:leader="none" w:pos="1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6"/>
          <w:szCs w:val="16"/>
          <w:color w:val="auto"/>
        </w:rPr>
      </w:pPr>
    </w:p>
    <w:p>
      <w:pPr>
        <w:ind w:right="20" w:firstLine="8"/>
        <w:spacing w:after="0" w:line="275" w:lineRule="auto"/>
        <w:tabs>
          <w:tab w:leader="none" w:pos="1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right="20" w:firstLine="8"/>
        <w:spacing w:after="0" w:line="275" w:lineRule="auto"/>
        <w:tabs>
          <w:tab w:leader="none" w:pos="1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15(e) and 15d—15(e)) for the registrant and have:</w:t>
      </w:r>
    </w:p>
    <w:p>
      <w:pPr>
        <w:spacing w:after="0" w:line="146" w:lineRule="exact"/>
        <w:rPr>
          <w:sz w:val="20"/>
          <w:szCs w:val="20"/>
          <w:color w:val="auto"/>
        </w:rPr>
      </w:pPr>
    </w:p>
    <w:p>
      <w:pPr>
        <w:ind w:right="240" w:firstLine="8"/>
        <w:spacing w:after="0" w:line="261" w:lineRule="auto"/>
        <w:tabs>
          <w:tab w:leader="none" w:pos="2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right="460" w:firstLine="8"/>
        <w:spacing w:after="0" w:line="275" w:lineRule="auto"/>
        <w:tabs>
          <w:tab w:leader="none" w:pos="23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right="40" w:firstLine="8"/>
        <w:spacing w:after="0" w:line="261" w:lineRule="auto"/>
        <w:tabs>
          <w:tab w:leader="none" w:pos="2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sz w:val="20"/>
          <w:szCs w:val="20"/>
          <w:color w:val="auto"/>
        </w:rPr>
      </w:pPr>
    </w:p>
    <w:p>
      <w:pPr>
        <w:ind w:right="220" w:firstLine="8"/>
        <w:spacing w:after="0" w:line="275" w:lineRule="auto"/>
        <w:tabs>
          <w:tab w:leader="none" w:pos="16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5" w:lineRule="auto"/>
        <w:tabs>
          <w:tab w:leader="none" w:pos="211" w:val="left"/>
        </w:tabs>
        <w:numPr>
          <w:ilvl w:val="0"/>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right="260" w:firstLine="8"/>
        <w:spacing w:after="0" w:line="522" w:lineRule="auto"/>
        <w:tabs>
          <w:tab w:leader="none" w:pos="221"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Date: December 14, 2017</w:t>
      </w:r>
    </w:p>
    <w:p>
      <w:pPr>
        <w:spacing w:after="0" w:line="11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David A. Morken</w:t>
      </w:r>
    </w:p>
    <w:p>
      <w:pPr>
        <w:spacing w:after="0" w:line="7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David A. Morken</w:t>
      </w:r>
    </w:p>
    <w:p>
      <w:pPr>
        <w:spacing w:after="0" w:line="7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Chief Executive Officer and Chairman </w:t>
      </w: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Jeffrey A. Hoffman certify that:</w:t>
      </w:r>
    </w:p>
    <w:p>
      <w:pPr>
        <w:spacing w:after="0" w:line="194"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Bandwidth Inc.;</w:t>
      </w:r>
    </w:p>
    <w:p>
      <w:pPr>
        <w:spacing w:after="0" w:line="194" w:lineRule="exact"/>
        <w:rPr>
          <w:rFonts w:ascii="Arial" w:cs="Arial" w:eastAsia="Arial" w:hAnsi="Arial"/>
          <w:sz w:val="16"/>
          <w:szCs w:val="16"/>
          <w:color w:val="auto"/>
        </w:rPr>
      </w:pPr>
    </w:p>
    <w:p>
      <w:pPr>
        <w:ind w:right="160" w:firstLine="8"/>
        <w:spacing w:after="0" w:line="275" w:lineRule="auto"/>
        <w:tabs>
          <w:tab w:leader="none" w:pos="162"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6"/>
          <w:szCs w:val="16"/>
          <w:color w:val="auto"/>
        </w:rPr>
      </w:pPr>
    </w:p>
    <w:p>
      <w:pPr>
        <w:ind w:right="20" w:firstLine="8"/>
        <w:spacing w:after="0" w:line="275" w:lineRule="auto"/>
        <w:tabs>
          <w:tab w:leader="none" w:pos="162"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right="20" w:firstLine="8"/>
        <w:spacing w:after="0" w:line="275" w:lineRule="auto"/>
        <w:tabs>
          <w:tab w:leader="none" w:pos="16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15(e) and 15d—15(e)) for the registrant and have:</w:t>
      </w:r>
    </w:p>
    <w:p>
      <w:pPr>
        <w:spacing w:after="0" w:line="146" w:lineRule="exact"/>
        <w:rPr>
          <w:sz w:val="20"/>
          <w:szCs w:val="20"/>
          <w:color w:val="auto"/>
        </w:rPr>
      </w:pPr>
    </w:p>
    <w:p>
      <w:pPr>
        <w:ind w:right="240" w:firstLine="8"/>
        <w:spacing w:after="0" w:line="261" w:lineRule="auto"/>
        <w:tabs>
          <w:tab w:leader="none" w:pos="2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right="460" w:firstLine="8"/>
        <w:spacing w:after="0" w:line="275" w:lineRule="auto"/>
        <w:tabs>
          <w:tab w:leader="none" w:pos="23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right="40" w:firstLine="8"/>
        <w:spacing w:after="0" w:line="261" w:lineRule="auto"/>
        <w:tabs>
          <w:tab w:leader="none" w:pos="2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sz w:val="20"/>
          <w:szCs w:val="20"/>
          <w:color w:val="auto"/>
        </w:rPr>
      </w:pPr>
    </w:p>
    <w:p>
      <w:pPr>
        <w:ind w:right="220" w:firstLine="8"/>
        <w:spacing w:after="0" w:line="275" w:lineRule="auto"/>
        <w:tabs>
          <w:tab w:leader="none" w:pos="16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5" w:lineRule="auto"/>
        <w:tabs>
          <w:tab w:leader="none" w:pos="211" w:val="left"/>
        </w:tabs>
        <w:numPr>
          <w:ilvl w:val="0"/>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right="260" w:firstLine="8"/>
        <w:spacing w:after="0" w:line="522" w:lineRule="auto"/>
        <w:tabs>
          <w:tab w:leader="none" w:pos="221"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Date: December 14, 2017</w:t>
      </w:r>
    </w:p>
    <w:p>
      <w:pPr>
        <w:spacing w:after="0" w:line="11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 Jeffrey A. Hoffman</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Jeffrey A. Hoffman</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Chief Financial Officer</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(Principal Accounting and Financial Officer)</w:t>
      </w:r>
    </w:p>
    <w:p>
      <w:pPr>
        <w:sectPr>
          <w:pgSz w:w="11900" w:h="16838" w:orient="portrait"/>
          <w:cols w:equalWidth="0" w:num="1">
            <w:col w:w="11420"/>
          </w:cols>
          <w:pgMar w:left="240" w:top="58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ind w:right="60"/>
        <w:spacing w:after="0" w:line="261"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156" w:lineRule="exact"/>
        <w:rPr>
          <w:sz w:val="20"/>
          <w:szCs w:val="20"/>
          <w:color w:val="auto"/>
        </w:rPr>
      </w:pPr>
    </w:p>
    <w:p>
      <w:pPr>
        <w:ind w:right="80" w:firstLine="8"/>
        <w:spacing w:after="0" w:line="275" w:lineRule="auto"/>
        <w:tabs>
          <w:tab w:leader="none" w:pos="105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quarterly period ended September 30, 2017, to which this Certification is attached as Exhibit 32.1 (the “Periodic Report”), fully complies with the requirements of Section 13(a) or Section 15(d) of the Exchange Act; and</w:t>
      </w:r>
    </w:p>
    <w:p>
      <w:pPr>
        <w:spacing w:after="0" w:line="145" w:lineRule="exact"/>
        <w:rPr>
          <w:rFonts w:ascii="Arial" w:cs="Arial" w:eastAsia="Arial" w:hAnsi="Arial"/>
          <w:sz w:val="16"/>
          <w:szCs w:val="16"/>
          <w:color w:val="auto"/>
        </w:rPr>
      </w:pPr>
    </w:p>
    <w:p>
      <w:pPr>
        <w:ind w:right="380" w:firstLine="8"/>
        <w:spacing w:after="0" w:line="522" w:lineRule="auto"/>
        <w:tabs>
          <w:tab w:leader="none" w:pos="105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 Date: December 14, 2017</w:t>
      </w:r>
    </w:p>
    <w:p>
      <w:pPr>
        <w:spacing w:after="0" w:line="11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 David A. Morken</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David A. Morken</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Chief Executive Officer</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(Principal Executive Officer)</w:t>
      </w:r>
    </w:p>
    <w:p>
      <w:pPr>
        <w:spacing w:after="0" w:line="32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 Jeffrey A. Hoffman</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Jeffrey A. Hoffman</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Chief Financial Officer</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(Principal Accounting and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x"/>
      <w:numFmt w:val="bullet"/>
      <w:start w:val="1"/>
    </w:lvl>
  </w:abstractNum>
  <w:abstractNum w:abstractNumId="1">
    <w:nsid w:val="2CD89A32"/>
    <w:multiLevelType w:val="hybridMultilevel"/>
    <w:lvl w:ilvl="0">
      <w:lvlJc w:val="left"/>
      <w:lvlText w:val="o"/>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1"/>
    </w:lvl>
    <w:lvl w:ilvl="1">
      <w:lvlJc w:val="left"/>
      <w:lvlText w:val="(%2)"/>
      <w:numFmt w:val="decimal"/>
      <w:start w:val="1"/>
    </w:lvl>
  </w:abstractNum>
  <w:abstractNum w:abstractNumId="8">
    <w:nsid w:val="7644A45C"/>
    <w:multiLevelType w:val="hybridMultilevel"/>
    <w:lvl w:ilvl="0">
      <w:lvlJc w:val="left"/>
      <w:lvlText w:val="%1."/>
      <w:numFmt w:val="decimal"/>
      <w:start w:val="6"/>
    </w:lvl>
    <w:lvl w:ilvl="1">
      <w:lvlJc w:val="left"/>
      <w:lvlText w:val="%2"/>
      <w:numFmt w:val="decimal"/>
      <w:start w:val="1"/>
    </w:lvl>
  </w:abstractNum>
  <w:abstractNum w:abstractNumId="9">
    <w:nsid w:val="32FFF902"/>
    <w:multiLevelType w:val="hybridMultilevel"/>
    <w:lvl w:ilvl="0">
      <w:lvlJc w:val="left"/>
      <w:lvlText w:val="(%1)"/>
      <w:numFmt w:val="lowerRoman"/>
      <w:start w:val="2"/>
    </w:lvl>
  </w:abstractNum>
  <w:abstractNum w:abstractNumId="10">
    <w:nsid w:val="684A481A"/>
    <w:multiLevelType w:val="hybridMultilevel"/>
    <w:lvl w:ilvl="0">
      <w:lvlJc w:val="left"/>
      <w:lvlText w:val="(%1)"/>
      <w:numFmt w:val="decimal"/>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1)"/>
      <w:numFmt w:val="decimal"/>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1."/>
      <w:numFmt w:val="upperLetter"/>
      <w:start w:val="1"/>
    </w:lvl>
  </w:abstractNum>
  <w:abstractNum w:abstractNumId="20">
    <w:nsid w:val="374A3FE6"/>
    <w:multiLevelType w:val="hybridMultilevel"/>
    <w:lvl w:ilvl="0">
      <w:lvlJc w:val="left"/>
      <w:lvlText w:val="A"/>
      <w:numFmt w:val="bullet"/>
      <w:start w:val="1"/>
    </w:lvl>
  </w:abstractNum>
  <w:abstractNum w:abstractNumId="21">
    <w:nsid w:val="4F4EF005"/>
    <w:multiLevelType w:val="hybridMultilevel"/>
    <w:lvl w:ilvl="0">
      <w:lvlJc w:val="left"/>
      <w:lvlText w:val="B"/>
      <w:numFmt w:val="bullet"/>
      <w:start w:val="1"/>
    </w:lvl>
  </w:abstractNum>
  <w:abstractNum w:abstractNumId="22">
    <w:nsid w:val="23F9C13C"/>
    <w:multiLevelType w:val="hybridMultilevel"/>
    <w:lvl w:ilvl="0">
      <w:lvlJc w:val="left"/>
      <w:lvlText w:val="C"/>
      <w:numFmt w:val="bullet"/>
      <w:start w:val="1"/>
    </w:lvl>
  </w:abstractNum>
  <w:abstractNum w:abstractNumId="23">
    <w:nsid w:val="649BB77C"/>
    <w:multiLevelType w:val="hybridMultilevel"/>
    <w:lvl w:ilvl="0">
      <w:lvlJc w:val="left"/>
      <w:lvlText w:val="D"/>
      <w:numFmt w:val="bullet"/>
      <w:start w:val="1"/>
    </w:lvl>
  </w:abstractNum>
  <w:abstractNum w:abstractNumId="24">
    <w:nsid w:val="275AC794"/>
    <w:multiLevelType w:val="hybridMultilevel"/>
    <w:lvl w:ilvl="0">
      <w:lvlJc w:val="left"/>
      <w:lvlText w:val="E"/>
      <w:numFmt w:val="bullet"/>
      <w:start w:val="1"/>
    </w:lvl>
    <w:lvl w:ilvl="1">
      <w:lvlJc w:val="left"/>
      <w:lvlText w:val="%2."/>
      <w:numFmt w:val="decimal"/>
      <w:start w:val="1"/>
    </w:lvl>
    <w:lvl w:ilvl="2">
      <w:lvlJc w:val="left"/>
      <w:lvlText w:val="(%3)"/>
      <w:numFmt w:val="lowerLetter"/>
      <w:start w:val="1"/>
    </w:lvl>
  </w:abstractNum>
  <w:abstractNum w:abstractNumId="25">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1CF10FD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
    <w:nsid w:val="180115B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8">
    <w:nsid w:val="235BA861"/>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lvl w:ilvl="4">
      <w:lvlJc w:val="left"/>
      <w:lvlText w:val="%5"/>
      <w:numFmt w:val="upperLetter"/>
      <w:start w:val="1"/>
    </w:lvl>
  </w:abstractNum>
  <w:abstractNum w:abstractNumId="29">
    <w:nsid w:val="47398C8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30">
    <w:nsid w:val="354FE9F9"/>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2"/>
    </w:lvl>
    <w:lvl w:ilvl="3">
      <w:lvlJc w:val="left"/>
      <w:lvlText w:val="(%4)"/>
      <w:numFmt w:val="lowerRoman"/>
      <w:start w:val="1"/>
    </w:lvl>
    <w:lvl w:ilvl="4">
      <w:lvlJc w:val="left"/>
      <w:lvlText w:val="(%5)"/>
      <w:numFmt w:val="upperLetter"/>
      <w:start w:val="1"/>
    </w:lvl>
  </w:abstractNum>
  <w:abstractNum w:abstractNumId="31">
    <w:nsid w:val="15B5AF5C"/>
    <w:multiLevelType w:val="hybridMultilevel"/>
    <w:lvl w:ilvl="0">
      <w:lvlJc w:val="left"/>
      <w:lvlText w:val="(%1)"/>
      <w:numFmt w:val="upperLetter"/>
      <w:start w:val="2"/>
    </w:lvl>
  </w:abstractNum>
  <w:abstractNum w:abstractNumId="32">
    <w:nsid w:val="741226BB"/>
    <w:multiLevelType w:val="hybridMultilevel"/>
    <w:lvl w:ilvl="0">
      <w:lvlJc w:val="left"/>
      <w:lvlText w:val="%1"/>
      <w:numFmt w:val="lowerLetter"/>
      <w:start w:val="1"/>
    </w:lvl>
    <w:lvl w:ilvl="1">
      <w:lvlJc w:val="left"/>
      <w:lvlText w:val="(%2)"/>
      <w:numFmt w:val="lowerLetter"/>
      <w:start w:val="35"/>
    </w:lvl>
  </w:abstractNum>
  <w:abstractNum w:abstractNumId="33">
    <w:nsid w:val="D34B6A8"/>
    <w:multiLevelType w:val="hybridMultilevel"/>
    <w:lvl w:ilvl="0">
      <w:lvlJc w:val="left"/>
      <w:lvlText w:val="(%1)"/>
      <w:numFmt w:val="lowerLetter"/>
      <w:start w:val="3"/>
    </w:lvl>
    <w:lvl w:ilvl="1">
      <w:lvlJc w:val="left"/>
      <w:lvlText w:val="(%2)"/>
      <w:numFmt w:val="lowerLetter"/>
      <w:start w:val="9"/>
    </w:lvl>
  </w:abstractNum>
  <w:abstractNum w:abstractNumId="34">
    <w:nsid w:val="10233C99"/>
    <w:multiLevelType w:val="hybridMultilevel"/>
    <w:lvl w:ilvl="0">
      <w:lvlJc w:val="left"/>
      <w:lvlText w:val="%1"/>
      <w:numFmt w:val="lowerLetter"/>
      <w:start w:val="1"/>
    </w:lvl>
    <w:lvl w:ilvl="1">
      <w:lvlJc w:val="left"/>
      <w:lvlText w:val="(%2)"/>
      <w:numFmt w:val="lowerLetter"/>
      <w:start w:val="35"/>
    </w:lvl>
  </w:abstractNum>
  <w:abstractNum w:abstractNumId="35">
    <w:nsid w:val="3F6AB60F"/>
    <w:multiLevelType w:val="hybridMultilevel"/>
    <w:lvl w:ilvl="0">
      <w:lvlJc w:val="left"/>
      <w:lvlText w:val="(%1)"/>
      <w:numFmt w:val="lowerLetter"/>
      <w:start w:val="4"/>
    </w:lvl>
    <w:lvl w:ilvl="1">
      <w:lvlJc w:val="left"/>
      <w:lvlText w:val="%2"/>
      <w:numFmt w:val="lowerLetter"/>
      <w:start w:val="1"/>
    </w:lvl>
  </w:abstractNum>
  <w:abstractNum w:abstractNumId="36">
    <w:nsid w:val="61574095"/>
    <w:multiLevelType w:val="hybridMultilevel"/>
    <w:lvl w:ilvl="0">
      <w:lvlJc w:val="left"/>
      <w:lvlText w:val="(%1)"/>
      <w:numFmt w:val="lowerLetter"/>
      <w:start w:val="6"/>
    </w:lvl>
  </w:abstractNum>
  <w:abstractNum w:abstractNumId="37">
    <w:nsid w:val="7E0C57B1"/>
    <w:multiLevelType w:val="hybridMultilevel"/>
    <w:lvl w:ilvl="0">
      <w:lvlJc w:val="left"/>
      <w:lvlText w:val="(%1)"/>
      <w:numFmt w:val="lowerRoman"/>
      <w:start w:val="3"/>
    </w:lvl>
    <w:lvl w:ilvl="1">
      <w:lvlJc w:val="left"/>
      <w:lvlText w:val="2"/>
      <w:numFmt w:val="bullet"/>
      <w:start w:val="1"/>
    </w:lvl>
  </w:abstractNum>
  <w:abstractNum w:abstractNumId="38">
    <w:nsid w:val="77AE35EB"/>
    <w:multiLevelType w:val="hybridMultilevel"/>
    <w:lvl w:ilvl="0">
      <w:lvlJc w:val="left"/>
      <w:lvlText w:val="(%1)"/>
      <w:numFmt w:val="lowerRoman"/>
      <w:start w:val="1"/>
    </w:lvl>
    <w:lvl w:ilvl="1">
      <w:lvlJc w:val="left"/>
      <w:lvlText w:val="3"/>
      <w:numFmt w:val="bullet"/>
      <w:start w:val="1"/>
    </w:lvl>
  </w:abstractNum>
  <w:abstractNum w:abstractNumId="39">
    <w:nsid w:val="579BE4F1"/>
    <w:multiLevelType w:val="hybridMultilevel"/>
    <w:lvl w:ilvl="0">
      <w:lvlJc w:val="left"/>
      <w:lvlText w:val="4"/>
      <w:numFmt w:val="bullet"/>
      <w:start w:val="1"/>
    </w:lvl>
  </w:abstractNum>
  <w:abstractNum w:abstractNumId="40">
    <w:nsid w:val="310C50B3"/>
    <w:multiLevelType w:val="hybridMultilevel"/>
    <w:lvl w:ilvl="0">
      <w:lvlJc w:val="left"/>
      <w:lvlText w:val="(%1)"/>
      <w:numFmt w:val="lowerRoman"/>
      <w:start w:val="1"/>
    </w:lvl>
    <w:lvl w:ilvl="1">
      <w:lvlJc w:val="left"/>
      <w:lvlText w:val="5"/>
      <w:numFmt w:val="bullet"/>
      <w:start w:val="1"/>
    </w:lvl>
  </w:abstractNum>
  <w:abstractNum w:abstractNumId="41">
    <w:nsid w:val="5FF87E05"/>
    <w:multiLevelType w:val="hybridMultilevel"/>
    <w:lvl w:ilvl="0">
      <w:lvlJc w:val="left"/>
      <w:lvlText w:val="7"/>
      <w:numFmt w:val="bullet"/>
      <w:start w:val="1"/>
    </w:lvl>
  </w:abstractNum>
  <w:abstractNum w:abstractNumId="42">
    <w:nsid w:val="2F305DEF"/>
    <w:multiLevelType w:val="hybridMultilevel"/>
    <w:lvl w:ilvl="0">
      <w:lvlJc w:val="left"/>
      <w:lvlText w:val="8"/>
      <w:numFmt w:val="bullet"/>
      <w:start w:val="1"/>
    </w:lvl>
  </w:abstractNum>
  <w:abstractNum w:abstractNumId="43">
    <w:nsid w:val="25A70BF7"/>
    <w:multiLevelType w:val="hybridMultilevel"/>
    <w:lvl w:ilvl="0">
      <w:lvlJc w:val="left"/>
      <w:lvlText w:val="%1"/>
      <w:numFmt w:val="decimal"/>
      <w:start w:val="10"/>
    </w:lvl>
  </w:abstractNum>
  <w:abstractNum w:abstractNumId="44">
    <w:nsid w:val="1DBABF00"/>
    <w:multiLevelType w:val="hybridMultilevel"/>
    <w:lvl w:ilvl="0">
      <w:lvlJc w:val="left"/>
      <w:lvlText w:val="%1"/>
      <w:numFmt w:val="decimal"/>
      <w:start w:val="16"/>
    </w:lvl>
  </w:abstractNum>
  <w:abstractNum w:abstractNumId="45">
    <w:nsid w:val="4AD084E9"/>
    <w:multiLevelType w:val="hybridMultilevel"/>
    <w:lvl w:ilvl="0">
      <w:lvlJc w:val="left"/>
      <w:lvlText w:val="A"/>
      <w:numFmt w:val="bullet"/>
      <w:start w:val="1"/>
    </w:lvl>
  </w:abstractNum>
  <w:abstractNum w:abstractNumId="46">
    <w:nsid w:val="1F48EAA1"/>
    <w:multiLevelType w:val="hybridMultilevel"/>
    <w:lvl w:ilvl="0">
      <w:lvlJc w:val="left"/>
      <w:lvlText w:val="B"/>
      <w:numFmt w:val="bullet"/>
      <w:start w:val="1"/>
    </w:lvl>
  </w:abstractNum>
  <w:abstractNum w:abstractNumId="47">
    <w:nsid w:val="1381823A"/>
    <w:multiLevelType w:val="hybridMultilevel"/>
    <w:lvl w:ilvl="0">
      <w:lvlJc w:val="left"/>
      <w:lvlText w:val="C"/>
      <w:numFmt w:val="bullet"/>
      <w:start w:val="1"/>
    </w:lvl>
  </w:abstractNum>
  <w:abstractNum w:abstractNumId="48">
    <w:nsid w:val="5DB70AE5"/>
    <w:multiLevelType w:val="hybridMultilevel"/>
    <w:lvl w:ilvl="0">
      <w:lvlJc w:val="left"/>
      <w:lvlText w:val="D"/>
      <w:numFmt w:val="bullet"/>
      <w:start w:val="1"/>
    </w:lvl>
  </w:abstractNum>
  <w:abstractNum w:abstractNumId="49">
    <w:nsid w:val="100F8FCA"/>
    <w:multiLevelType w:val="hybridMultilevel"/>
    <w:lvl w:ilvl="0">
      <w:lvlJc w:val="left"/>
      <w:lvlText w:val="A"/>
      <w:numFmt w:val="bullet"/>
      <w:start w:val="1"/>
    </w:lvl>
  </w:abstractNum>
  <w:abstractNum w:abstractNumId="50">
    <w:nsid w:val="6590700B"/>
    <w:multiLevelType w:val="hybridMultilevel"/>
    <w:lvl w:ilvl="0">
      <w:lvlJc w:val="left"/>
      <w:lvlText w:val="B"/>
      <w:numFmt w:val="bullet"/>
      <w:start w:val="1"/>
    </w:lvl>
  </w:abstractNum>
  <w:abstractNum w:abstractNumId="51">
    <w:nsid w:val="15014ACB"/>
    <w:multiLevelType w:val="hybridMultilevel"/>
    <w:lvl w:ilvl="0">
      <w:lvlJc w:val="left"/>
      <w:lvlText w:val="C"/>
      <w:numFmt w:val="bullet"/>
      <w:start w:val="1"/>
    </w:lvl>
  </w:abstractNum>
  <w:abstractNum w:abstractNumId="52">
    <w:nsid w:val="5F5E7FD0"/>
    <w:multiLevelType w:val="hybridMultilevel"/>
    <w:lvl w:ilvl="0">
      <w:lvlJc w:val="left"/>
      <w:lvlText w:val="D"/>
      <w:numFmt w:val="bullet"/>
      <w:start w:val="1"/>
    </w:lvl>
  </w:abstractNum>
  <w:abstractNum w:abstractNumId="53">
    <w:nsid w:val="98A3148"/>
    <w:multiLevelType w:val="hybridMultilevel"/>
    <w:lvl w:ilvl="0">
      <w:lvlJc w:val="left"/>
      <w:lvlText w:val="(%1)"/>
      <w:numFmt w:val="decimal"/>
      <w:start w:val="2"/>
    </w:lvl>
  </w:abstractNum>
  <w:abstractNum w:abstractNumId="54">
    <w:nsid w:val="799D0247"/>
    <w:multiLevelType w:val="hybridMultilevel"/>
    <w:lvl w:ilvl="0">
      <w:lvlJc w:val="left"/>
      <w:lvlText w:val="(%1)"/>
      <w:numFmt w:val="lowerRoman"/>
      <w:start w:val="1"/>
    </w:lvl>
  </w:abstractNum>
  <w:abstractNum w:abstractNumId="55">
    <w:nsid w:val="6B94764"/>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56">
    <w:nsid w:val="42C296BD"/>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2"/>
    </w:lvl>
  </w:abstractNum>
  <w:abstractNum w:abstractNumId="57">
    <w:nsid w:val="168E121F"/>
    <w:multiLevelType w:val="hybridMultilevel"/>
    <w:lvl w:ilvl="0">
      <w:lvlJc w:val="left"/>
      <w:lvlText w:val="%1"/>
      <w:numFmt w:val="lowerLetter"/>
      <w:start w:val="1"/>
    </w:lvl>
    <w:lvl w:ilvl="1">
      <w:lvlJc w:val="left"/>
      <w:lvlText w:val="(%2)"/>
      <w:numFmt w:val="lowerLetter"/>
      <w:start w:val="3"/>
    </w:lvl>
  </w:abstractNum>
  <w:abstractNum w:abstractNumId="58">
    <w:nsid w:val="1EBA5D23"/>
    <w:multiLevelType w:val="hybridMultilevel"/>
    <w:lvl w:ilvl="0">
      <w:lvlJc w:val="left"/>
      <w:lvlText w:val="(%1)"/>
      <w:numFmt w:val="lowerLetter"/>
      <w:start w:val="35"/>
    </w:lvl>
    <w:lvl w:ilvl="1">
      <w:lvlJc w:val="left"/>
      <w:lvlText w:val="%2"/>
      <w:numFmt w:val="lowerLetter"/>
      <w:start w:val="1"/>
    </w:lvl>
  </w:abstractNum>
  <w:abstractNum w:abstractNumId="59">
    <w:nsid w:val="661E3F1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0">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2"/>
    </w:lvl>
  </w:abstractNum>
  <w:abstractNum w:abstractNumId="61">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decimal"/>
      <w:start w:val="1"/>
    </w:lvl>
  </w:abstractNum>
  <w:abstractNum w:abstractNumId="62">
    <w:nsid w:val="7BD3EE7B"/>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1"/>
    </w:lvl>
    <w:lvl w:ilvl="3">
      <w:lvlJc w:val="left"/>
      <w:lvlText w:val="%4"/>
      <w:numFmt w:val="decimal"/>
      <w:start w:val="1"/>
    </w:lvl>
  </w:abstractNum>
  <w:abstractNum w:abstractNumId="63">
    <w:nsid w:val="51D9C56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64">
    <w:nsid w:val="613EFDC5"/>
    <w:multiLevelType w:val="hybridMultilevel"/>
    <w:lvl w:ilvl="0">
      <w:lvlJc w:val="left"/>
      <w:lvlText w:val="%1"/>
      <w:numFmt w:val="lowerRoman"/>
      <w:start w:val="1"/>
    </w:lvl>
    <w:lvl w:ilvl="1">
      <w:lvlJc w:val="left"/>
      <w:lvlText w:val="(%2)"/>
      <w:numFmt w:val="lowerLetter"/>
      <w:start w:val="2"/>
    </w:lvl>
  </w:abstractNum>
  <w:abstractNum w:abstractNumId="65">
    <w:nsid w:val="BF72B14"/>
    <w:multiLevelType w:val="hybridMultilevel"/>
    <w:lvl w:ilvl="0">
      <w:lvlJc w:val="left"/>
      <w:lvlText w:val="(%1)"/>
      <w:numFmt w:val="lowerRoman"/>
      <w:start w:val="4"/>
    </w:lvl>
    <w:lvl w:ilvl="1">
      <w:lvlJc w:val="left"/>
      <w:lvlText w:val="%2"/>
      <w:numFmt w:val="lowerLetter"/>
      <w:start w:val="1"/>
    </w:lvl>
  </w:abstractNum>
  <w:abstractNum w:abstractNumId="66">
    <w:nsid w:val="11447B73"/>
    <w:multiLevelType w:val="hybridMultilevel"/>
    <w:lvl w:ilvl="0">
      <w:lvlJc w:val="left"/>
      <w:lvlText w:val="(%1)"/>
      <w:numFmt w:val="lowerRoman"/>
      <w:start w:val="1"/>
    </w:lvl>
  </w:abstractNum>
  <w:abstractNum w:abstractNumId="67">
    <w:nsid w:val="42963E5A"/>
    <w:multiLevelType w:val="hybridMultilevel"/>
    <w:lvl w:ilvl="0">
      <w:lvlJc w:val="left"/>
      <w:lvlText w:val="(%1)"/>
      <w:numFmt w:val="lowerRoman"/>
      <w:start w:val="1"/>
    </w:lvl>
  </w:abstractNum>
  <w:abstractNum w:abstractNumId="68">
    <w:nsid w:val="A0382C5"/>
    <w:multiLevelType w:val="hybridMultilevel"/>
    <w:lvl w:ilvl="0">
      <w:lvlJc w:val="left"/>
      <w:lvlText w:val="(%1)"/>
      <w:numFmt w:val="lowerRoman"/>
      <w:start w:val="1"/>
    </w:lvl>
  </w:abstractNum>
  <w:abstractNum w:abstractNumId="69">
    <w:nsid w:val="8F2B15E"/>
    <w:multiLevelType w:val="hybridMultilevel"/>
    <w:lvl w:ilvl="0">
      <w:lvlJc w:val="left"/>
      <w:lvlText w:val="(%1)"/>
      <w:numFmt w:val="lowerRoman"/>
      <w:start w:val="1"/>
    </w:lvl>
  </w:abstractNum>
  <w:abstractNum w:abstractNumId="70">
    <w:nsid w:val="1A32234B"/>
    <w:multiLevelType w:val="hybridMultilevel"/>
    <w:lvl w:ilvl="0">
      <w:lvlJc w:val="left"/>
      <w:lvlText w:val="(%1)"/>
      <w:numFmt w:val="lowerRoman"/>
      <w:start w:val="1"/>
    </w:lvl>
  </w:abstractNum>
  <w:abstractNum w:abstractNumId="71">
    <w:nsid w:val="3B0FD379"/>
    <w:multiLevelType w:val="hybridMultilevel"/>
    <w:lvl w:ilvl="0">
      <w:lvlJc w:val="left"/>
      <w:lvlText w:val="(%1)"/>
      <w:numFmt w:val="lowerRoman"/>
      <w:start w:val="1"/>
    </w:lvl>
  </w:abstractNum>
  <w:abstractNum w:abstractNumId="72">
    <w:nsid w:val="68EB2F63"/>
    <w:multiLevelType w:val="hybridMultilevel"/>
    <w:lvl w:ilvl="0">
      <w:lvlJc w:val="left"/>
      <w:lvlText w:val="(%1)"/>
      <w:numFmt w:val="lowerRoman"/>
      <w:start w:val="1"/>
    </w:lvl>
  </w:abstractNum>
  <w:abstractNum w:abstractNumId="73">
    <w:nsid w:val="4962813B"/>
    <w:multiLevelType w:val="hybridMultilevel"/>
    <w:lvl w:ilvl="0">
      <w:lvlJc w:val="left"/>
      <w:lvlText w:val="2"/>
      <w:numFmt w:val="bullet"/>
      <w:start w:val="1"/>
    </w:lvl>
    <w:lvl w:ilvl="1">
      <w:lvlJc w:val="left"/>
      <w:lvlText w:val="(%2)"/>
      <w:numFmt w:val="lowerRoman"/>
      <w:start w:val="1"/>
    </w:lvl>
  </w:abstractNum>
  <w:abstractNum w:abstractNumId="74">
    <w:nsid w:val="60B6DF70"/>
    <w:multiLevelType w:val="hybridMultilevel"/>
    <w:lvl w:ilvl="0">
      <w:lvlJc w:val="left"/>
      <w:lvlText w:val="(%1)"/>
      <w:numFmt w:val="lowerRoman"/>
      <w:start w:val="2"/>
    </w:lvl>
  </w:abstractNum>
  <w:abstractNum w:abstractNumId="75">
    <w:nsid w:val="6A5EE64"/>
    <w:multiLevelType w:val="hybridMultilevel"/>
    <w:lvl w:ilvl="0">
      <w:lvlJc w:val="left"/>
      <w:lvlText w:val="(%1)"/>
      <w:numFmt w:val="lowerRoman"/>
      <w:start w:val="3"/>
    </w:lvl>
  </w:abstractNum>
  <w:abstractNum w:abstractNumId="76">
    <w:nsid w:val="14330624"/>
    <w:multiLevelType w:val="hybridMultilevel"/>
    <w:lvl w:ilvl="0">
      <w:lvlJc w:val="left"/>
      <w:lvlText w:val="(%1)"/>
      <w:numFmt w:val="lowerRoman"/>
      <w:start w:val="1"/>
    </w:lvl>
  </w:abstractNum>
  <w:abstractNum w:abstractNumId="77">
    <w:nsid w:val="7FFFCA11"/>
    <w:multiLevelType w:val="hybridMultilevel"/>
    <w:lvl w:ilvl="0">
      <w:lvlJc w:val="left"/>
      <w:lvlText w:val="(%1)"/>
      <w:numFmt w:val="lowerRoman"/>
      <w:start w:val="2"/>
    </w:lvl>
  </w:abstractNum>
  <w:abstractNum w:abstractNumId="78">
    <w:nsid w:val="1A27709E"/>
    <w:multiLevelType w:val="hybridMultilevel"/>
    <w:lvl w:ilvl="0">
      <w:lvlJc w:val="left"/>
      <w:lvlText w:val="%1."/>
      <w:numFmt w:val="decimal"/>
      <w:start w:val="1"/>
    </w:lvl>
  </w:abstractNum>
  <w:abstractNum w:abstractNumId="79">
    <w:nsid w:val="71EA1109"/>
    <w:multiLevelType w:val="hybridMultilevel"/>
    <w:lvl w:ilvl="0">
      <w:lvlJc w:val="left"/>
      <w:lvlText w:val="(%1)"/>
      <w:numFmt w:val="lowerLetter"/>
      <w:start w:val="1"/>
    </w:lvl>
  </w:abstractNum>
  <w:abstractNum w:abstractNumId="80">
    <w:nsid w:val="100F59DC"/>
    <w:multiLevelType w:val="hybridMultilevel"/>
    <w:lvl w:ilvl="0">
      <w:lvlJc w:val="left"/>
      <w:lvlText w:val="%1."/>
      <w:numFmt w:val="decimal"/>
      <w:start w:val="5"/>
    </w:lvl>
  </w:abstractNum>
  <w:abstractNum w:abstractNumId="81">
    <w:nsid w:val="7FB7E0AA"/>
    <w:multiLevelType w:val="hybridMultilevel"/>
    <w:lvl w:ilvl="0">
      <w:lvlJc w:val="left"/>
      <w:lvlText w:val="(%1)"/>
      <w:numFmt w:val="lowerLetter"/>
      <w:start w:val="1"/>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lowerLetter"/>
      <w:start w:val="1"/>
    </w:lvl>
  </w:abstractNum>
  <w:abstractNum w:abstractNumId="84">
    <w:nsid w:val="94211F2"/>
    <w:multiLevelType w:val="hybridMultilevel"/>
    <w:lvl w:ilvl="0">
      <w:lvlJc w:val="left"/>
      <w:lvlText w:val="%1."/>
      <w:numFmt w:val="decimal"/>
      <w:start w:val="5"/>
    </w:lvl>
  </w:abstractNum>
  <w:abstractNum w:abstractNumId="85">
    <w:nsid w:val="885E1B"/>
    <w:multiLevelType w:val="hybridMultilevel"/>
    <w:lvl w:ilvl="0">
      <w:lvlJc w:val="left"/>
      <w:lvlText w:val="(%1)"/>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2019-12-29T02:32:58Z</dcterms:created>
  <dcterms:modified xsi:type="dcterms:W3CDTF">2019-12-29T02:32:58Z</dcterms:modified>
</cp:coreProperties>
</file>