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30, 2017.</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333-220945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auto"/>
        </w:rPr>
        <w:t>SECURITIES AND EXCHANGE COMMISSION</w:t>
      </w:r>
    </w:p>
    <w:p>
      <w:pPr>
        <w:jc w:val="center"/>
        <w:spacing w:after="0"/>
        <w:rPr>
          <w:sz w:val="20"/>
          <w:szCs w:val="20"/>
          <w:color w:val="auto"/>
        </w:rPr>
      </w:pPr>
      <w:r>
        <w:rPr>
          <w:rFonts w:ascii="Arial" w:cs="Arial" w:eastAsia="Arial" w:hAnsi="Arial"/>
          <w:sz w:val="20"/>
          <w:szCs w:val="20"/>
          <w:i w:val="1"/>
          <w:i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auto"/>
        </w:rPr>
        <w:t>AMENDMENT NO. 4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auto"/>
        </w:rPr>
        <w:t>FORM S-1</w:t>
      </w:r>
    </w:p>
    <w:p>
      <w:pPr>
        <w:jc w:val="center"/>
        <w:spacing w:after="0" w:line="237" w:lineRule="auto"/>
        <w:rPr>
          <w:sz w:val="20"/>
          <w:szCs w:val="20"/>
          <w:color w:val="auto"/>
        </w:rPr>
      </w:pPr>
      <w:r>
        <w:rPr>
          <w:rFonts w:ascii="Arial" w:cs="Arial" w:eastAsia="Arial" w:hAnsi="Arial"/>
          <w:sz w:val="31"/>
          <w:szCs w:val="31"/>
          <w:i w:val="1"/>
          <w:iCs w:val="1"/>
          <w:color w:val="auto"/>
        </w:rPr>
        <w:t>REGISTRATION STATEMENT</w:t>
      </w: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41"/>
          <w:szCs w:val="41"/>
          <w:i w:val="1"/>
          <w:iCs w:val="1"/>
          <w:color w:val="auto"/>
        </w:rPr>
        <w:t>Bandwidth Inc.</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175260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3"/>
              </w:rPr>
              <w:t>Delaware</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7372</w:t>
            </w:r>
          </w:p>
        </w:tc>
        <w:tc>
          <w:tcPr>
            <w:tcW w:w="2500" w:type="dxa"/>
            <w:vAlign w:val="bottom"/>
          </w:tcPr>
          <w:p>
            <w:pPr>
              <w:jc w:val="center"/>
              <w:ind w:left="965"/>
              <w:spacing w:after="0"/>
              <w:rPr>
                <w:sz w:val="20"/>
                <w:szCs w:val="20"/>
                <w:color w:val="auto"/>
              </w:rPr>
            </w:pPr>
            <w:r>
              <w:rPr>
                <w:rFonts w:ascii="Arial" w:cs="Arial" w:eastAsia="Arial" w:hAnsi="Arial"/>
                <w:sz w:val="16"/>
                <w:szCs w:val="16"/>
                <w:b w:val="1"/>
                <w:bCs w:val="1"/>
                <w:color w:val="auto"/>
                <w:w w:val="91"/>
              </w:rPr>
              <w:t>56-2242657</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900 Main Campus Drive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Raleigh, NC 27606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(800) 808-5150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David A. Morken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Chairman and 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900 Main Campus Drive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Raleigh, NC 27606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(800) 808-5150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tbl>
      <w:tblPr>
        <w:tblLayout w:type="fixed"/>
        <w:tblInd w:w="1100" w:type="dxa"/>
        <w:tblCellMar>
          <w:top w:w="0" w:type="dxa"/>
          <w:left w:w="0" w:type="dxa"/>
          <w:bottom w:w="0" w:type="dxa"/>
          <w:right w:w="0" w:type="dxa"/>
        </w:tblCellMar>
      </w:tblPr>
      <w:tr>
        <w:trPr>
          <w:trHeight w:val="182"/>
        </w:trPr>
        <w:tc>
          <w:tcPr>
            <w:tcW w:w="2720" w:type="dxa"/>
            <w:vAlign w:val="bottom"/>
          </w:tcPr>
          <w:p>
            <w:pPr>
              <w:spacing w:after="0"/>
              <w:rPr>
                <w:sz w:val="15"/>
                <w:szCs w:val="15"/>
                <w:color w:val="auto"/>
              </w:rPr>
            </w:pPr>
          </w:p>
        </w:tc>
        <w:tc>
          <w:tcPr>
            <w:tcW w:w="3880" w:type="dxa"/>
            <w:vAlign w:val="bottom"/>
          </w:tcPr>
          <w:p>
            <w:pPr>
              <w:ind w:left="1600"/>
              <w:spacing w:after="0"/>
              <w:rPr>
                <w:sz w:val="20"/>
                <w:szCs w:val="20"/>
                <w:color w:val="auto"/>
              </w:rPr>
            </w:pPr>
            <w:r>
              <w:rPr>
                <w:rFonts w:ascii="Arial" w:cs="Arial" w:eastAsia="Arial" w:hAnsi="Arial"/>
                <w:sz w:val="14"/>
                <w:szCs w:val="14"/>
                <w:b w:val="1"/>
                <w:bCs w:val="1"/>
                <w:i w:val="1"/>
                <w:iCs w:val="1"/>
                <w:color w:val="auto"/>
              </w:rPr>
              <w:t>Copies to:</w:t>
            </w:r>
          </w:p>
        </w:tc>
        <w:tc>
          <w:tcPr>
            <w:tcW w:w="2920" w:type="dxa"/>
            <w:vAlign w:val="bottom"/>
          </w:tcPr>
          <w:p>
            <w:pPr>
              <w:spacing w:after="0"/>
              <w:rPr>
                <w:sz w:val="15"/>
                <w:szCs w:val="15"/>
                <w:color w:val="auto"/>
              </w:rPr>
            </w:pPr>
          </w:p>
        </w:tc>
      </w:tr>
      <w:tr>
        <w:trPr>
          <w:trHeight w:val="295"/>
        </w:trPr>
        <w:tc>
          <w:tcPr>
            <w:tcW w:w="2720" w:type="dxa"/>
            <w:vAlign w:val="bottom"/>
          </w:tcPr>
          <w:p>
            <w:pPr>
              <w:jc w:val="center"/>
              <w:ind w:right="939"/>
              <w:spacing w:after="0"/>
              <w:rPr>
                <w:sz w:val="20"/>
                <w:szCs w:val="20"/>
                <w:color w:val="auto"/>
              </w:rPr>
            </w:pPr>
            <w:r>
              <w:rPr>
                <w:rFonts w:ascii="Arial" w:cs="Arial" w:eastAsia="Arial" w:hAnsi="Arial"/>
                <w:sz w:val="16"/>
                <w:szCs w:val="16"/>
                <w:b w:val="1"/>
                <w:bCs w:val="1"/>
                <w:color w:val="auto"/>
                <w:w w:val="93"/>
              </w:rPr>
              <w:t>Michael Benjamin, Esq.</w:t>
            </w:r>
          </w:p>
        </w:tc>
        <w:tc>
          <w:tcPr>
            <w:tcW w:w="3880" w:type="dxa"/>
            <w:vAlign w:val="bottom"/>
          </w:tcPr>
          <w:p>
            <w:pPr>
              <w:jc w:val="center"/>
              <w:ind w:left="80"/>
              <w:spacing w:after="0"/>
              <w:rPr>
                <w:sz w:val="20"/>
                <w:szCs w:val="20"/>
                <w:color w:val="auto"/>
              </w:rPr>
            </w:pPr>
            <w:r>
              <w:rPr>
                <w:rFonts w:ascii="Arial" w:cs="Arial" w:eastAsia="Arial" w:hAnsi="Arial"/>
                <w:sz w:val="16"/>
                <w:szCs w:val="16"/>
                <w:b w:val="1"/>
                <w:bCs w:val="1"/>
                <w:color w:val="auto"/>
                <w:w w:val="93"/>
              </w:rPr>
              <w:t>W. Christopher Matton, Esq.</w:t>
            </w:r>
          </w:p>
        </w:tc>
        <w:tc>
          <w:tcPr>
            <w:tcW w:w="2920" w:type="dxa"/>
            <w:vAlign w:val="bottom"/>
          </w:tcPr>
          <w:p>
            <w:pPr>
              <w:jc w:val="center"/>
              <w:ind w:left="799"/>
              <w:spacing w:after="0"/>
              <w:rPr>
                <w:sz w:val="20"/>
                <w:szCs w:val="20"/>
                <w:color w:val="auto"/>
              </w:rPr>
            </w:pPr>
            <w:r>
              <w:rPr>
                <w:rFonts w:ascii="Arial" w:cs="Arial" w:eastAsia="Arial" w:hAnsi="Arial"/>
                <w:sz w:val="16"/>
                <w:szCs w:val="16"/>
                <w:b w:val="1"/>
                <w:bCs w:val="1"/>
                <w:color w:val="auto"/>
                <w:w w:val="89"/>
              </w:rPr>
              <w:t>Sophia Hudson, Esq.</w:t>
            </w:r>
          </w:p>
        </w:tc>
      </w:tr>
      <w:tr>
        <w:trPr>
          <w:trHeight w:val="203"/>
        </w:trPr>
        <w:tc>
          <w:tcPr>
            <w:tcW w:w="2720" w:type="dxa"/>
            <w:vAlign w:val="bottom"/>
          </w:tcPr>
          <w:p>
            <w:pPr>
              <w:jc w:val="center"/>
              <w:ind w:right="959"/>
              <w:spacing w:after="0"/>
              <w:rPr>
                <w:sz w:val="20"/>
                <w:szCs w:val="20"/>
                <w:color w:val="auto"/>
              </w:rPr>
            </w:pPr>
            <w:r>
              <w:rPr>
                <w:rFonts w:ascii="Arial" w:cs="Arial" w:eastAsia="Arial" w:hAnsi="Arial"/>
                <w:sz w:val="16"/>
                <w:szCs w:val="16"/>
                <w:b w:val="1"/>
                <w:bCs w:val="1"/>
                <w:color w:val="auto"/>
                <w:w w:val="91"/>
              </w:rPr>
              <w:t>John Chory, Esq.</w:t>
            </w:r>
          </w:p>
        </w:tc>
        <w:tc>
          <w:tcPr>
            <w:tcW w:w="3880" w:type="dxa"/>
            <w:vAlign w:val="bottom"/>
          </w:tcPr>
          <w:p>
            <w:pPr>
              <w:jc w:val="center"/>
              <w:ind w:left="80"/>
              <w:spacing w:after="0"/>
              <w:rPr>
                <w:sz w:val="20"/>
                <w:szCs w:val="20"/>
                <w:color w:val="auto"/>
              </w:rPr>
            </w:pPr>
            <w:r>
              <w:rPr>
                <w:rFonts w:ascii="Arial" w:cs="Arial" w:eastAsia="Arial" w:hAnsi="Arial"/>
                <w:sz w:val="16"/>
                <w:szCs w:val="16"/>
                <w:b w:val="1"/>
                <w:bCs w:val="1"/>
                <w:color w:val="auto"/>
                <w:w w:val="91"/>
              </w:rPr>
              <w:t>General Counsel</w:t>
            </w:r>
          </w:p>
        </w:tc>
        <w:tc>
          <w:tcPr>
            <w:tcW w:w="2920" w:type="dxa"/>
            <w:vAlign w:val="bottom"/>
          </w:tcPr>
          <w:p>
            <w:pPr>
              <w:jc w:val="center"/>
              <w:ind w:left="799"/>
              <w:spacing w:after="0"/>
              <w:rPr>
                <w:sz w:val="20"/>
                <w:szCs w:val="20"/>
                <w:color w:val="auto"/>
              </w:rPr>
            </w:pPr>
            <w:r>
              <w:rPr>
                <w:rFonts w:ascii="Arial" w:cs="Arial" w:eastAsia="Arial" w:hAnsi="Arial"/>
                <w:sz w:val="16"/>
                <w:szCs w:val="16"/>
                <w:b w:val="1"/>
                <w:bCs w:val="1"/>
                <w:color w:val="auto"/>
                <w:w w:val="91"/>
              </w:rPr>
              <w:t>Richard D. Truesdell Jr., Esq.</w:t>
            </w:r>
          </w:p>
        </w:tc>
      </w:tr>
      <w:tr>
        <w:trPr>
          <w:trHeight w:val="203"/>
        </w:trPr>
        <w:tc>
          <w:tcPr>
            <w:tcW w:w="2720" w:type="dxa"/>
            <w:vAlign w:val="bottom"/>
          </w:tcPr>
          <w:p>
            <w:pPr>
              <w:jc w:val="center"/>
              <w:ind w:right="939"/>
              <w:spacing w:after="0"/>
              <w:rPr>
                <w:sz w:val="20"/>
                <w:szCs w:val="20"/>
                <w:color w:val="auto"/>
              </w:rPr>
            </w:pPr>
            <w:r>
              <w:rPr>
                <w:rFonts w:ascii="Arial" w:cs="Arial" w:eastAsia="Arial" w:hAnsi="Arial"/>
                <w:sz w:val="16"/>
                <w:szCs w:val="16"/>
                <w:b w:val="1"/>
                <w:bCs w:val="1"/>
                <w:color w:val="auto"/>
                <w:w w:val="89"/>
              </w:rPr>
              <w:t>Shagufa Hossain, Esq.</w:t>
            </w:r>
          </w:p>
        </w:tc>
        <w:tc>
          <w:tcPr>
            <w:tcW w:w="3880" w:type="dxa"/>
            <w:vAlign w:val="bottom"/>
          </w:tcPr>
          <w:p>
            <w:pPr>
              <w:jc w:val="center"/>
              <w:ind w:left="80"/>
              <w:spacing w:after="0"/>
              <w:rPr>
                <w:sz w:val="20"/>
                <w:szCs w:val="20"/>
                <w:color w:val="auto"/>
              </w:rPr>
            </w:pPr>
            <w:r>
              <w:rPr>
                <w:rFonts w:ascii="Arial" w:cs="Arial" w:eastAsia="Arial" w:hAnsi="Arial"/>
                <w:sz w:val="16"/>
                <w:szCs w:val="16"/>
                <w:b w:val="1"/>
                <w:bCs w:val="1"/>
                <w:color w:val="auto"/>
                <w:w w:val="94"/>
              </w:rPr>
              <w:t>Bandwidth Inc.</w:t>
            </w:r>
          </w:p>
        </w:tc>
        <w:tc>
          <w:tcPr>
            <w:tcW w:w="2920" w:type="dxa"/>
            <w:vAlign w:val="bottom"/>
          </w:tcPr>
          <w:p>
            <w:pPr>
              <w:jc w:val="center"/>
              <w:ind w:left="799"/>
              <w:spacing w:after="0"/>
              <w:rPr>
                <w:sz w:val="20"/>
                <w:szCs w:val="20"/>
                <w:color w:val="auto"/>
              </w:rPr>
            </w:pPr>
            <w:r>
              <w:rPr>
                <w:rFonts w:ascii="Arial" w:cs="Arial" w:eastAsia="Arial" w:hAnsi="Arial"/>
                <w:sz w:val="16"/>
                <w:szCs w:val="16"/>
                <w:b w:val="1"/>
                <w:bCs w:val="1"/>
                <w:color w:val="auto"/>
                <w:w w:val="96"/>
              </w:rPr>
              <w:t>Davis Polk &amp; Wardwell LLP</w:t>
            </w:r>
          </w:p>
        </w:tc>
      </w:tr>
      <w:tr>
        <w:trPr>
          <w:trHeight w:val="203"/>
        </w:trPr>
        <w:tc>
          <w:tcPr>
            <w:tcW w:w="2720" w:type="dxa"/>
            <w:vAlign w:val="bottom"/>
          </w:tcPr>
          <w:p>
            <w:pPr>
              <w:jc w:val="center"/>
              <w:ind w:right="939"/>
              <w:spacing w:after="0"/>
              <w:rPr>
                <w:sz w:val="20"/>
                <w:szCs w:val="20"/>
                <w:color w:val="auto"/>
              </w:rPr>
            </w:pPr>
            <w:r>
              <w:rPr>
                <w:rFonts w:ascii="Arial" w:cs="Arial" w:eastAsia="Arial" w:hAnsi="Arial"/>
                <w:sz w:val="16"/>
                <w:szCs w:val="16"/>
                <w:b w:val="1"/>
                <w:bCs w:val="1"/>
                <w:color w:val="auto"/>
                <w:w w:val="98"/>
              </w:rPr>
              <w:t>Latham &amp; Watkins LLP</w:t>
            </w:r>
          </w:p>
        </w:tc>
        <w:tc>
          <w:tcPr>
            <w:tcW w:w="3880" w:type="dxa"/>
            <w:vAlign w:val="bottom"/>
          </w:tcPr>
          <w:p>
            <w:pPr>
              <w:jc w:val="center"/>
              <w:ind w:left="100"/>
              <w:spacing w:after="0"/>
              <w:rPr>
                <w:sz w:val="20"/>
                <w:szCs w:val="20"/>
                <w:color w:val="auto"/>
              </w:rPr>
            </w:pPr>
            <w:r>
              <w:rPr>
                <w:rFonts w:ascii="Arial" w:cs="Arial" w:eastAsia="Arial" w:hAnsi="Arial"/>
                <w:sz w:val="16"/>
                <w:szCs w:val="16"/>
                <w:b w:val="1"/>
                <w:bCs w:val="1"/>
                <w:color w:val="auto"/>
                <w:w w:val="94"/>
              </w:rPr>
              <w:t>900 Main Campus Drive</w:t>
            </w:r>
          </w:p>
        </w:tc>
        <w:tc>
          <w:tcPr>
            <w:tcW w:w="2920" w:type="dxa"/>
            <w:vAlign w:val="bottom"/>
          </w:tcPr>
          <w:p>
            <w:pPr>
              <w:jc w:val="center"/>
              <w:ind w:left="779"/>
              <w:spacing w:after="0"/>
              <w:rPr>
                <w:sz w:val="20"/>
                <w:szCs w:val="20"/>
                <w:color w:val="auto"/>
              </w:rPr>
            </w:pPr>
            <w:r>
              <w:rPr>
                <w:rFonts w:ascii="Arial" w:cs="Arial" w:eastAsia="Arial" w:hAnsi="Arial"/>
                <w:sz w:val="16"/>
                <w:szCs w:val="16"/>
                <w:b w:val="1"/>
                <w:bCs w:val="1"/>
                <w:color w:val="auto"/>
                <w:w w:val="90"/>
              </w:rPr>
              <w:t>450 Lexington Avenue</w:t>
            </w:r>
          </w:p>
        </w:tc>
      </w:tr>
      <w:tr>
        <w:trPr>
          <w:trHeight w:val="203"/>
        </w:trPr>
        <w:tc>
          <w:tcPr>
            <w:tcW w:w="2720" w:type="dxa"/>
            <w:vAlign w:val="bottom"/>
          </w:tcPr>
          <w:p>
            <w:pPr>
              <w:jc w:val="center"/>
              <w:ind w:right="959"/>
              <w:spacing w:after="0"/>
              <w:rPr>
                <w:sz w:val="20"/>
                <w:szCs w:val="20"/>
                <w:color w:val="auto"/>
              </w:rPr>
            </w:pPr>
            <w:r>
              <w:rPr>
                <w:rFonts w:ascii="Arial" w:cs="Arial" w:eastAsia="Arial" w:hAnsi="Arial"/>
                <w:sz w:val="16"/>
                <w:szCs w:val="16"/>
                <w:b w:val="1"/>
                <w:bCs w:val="1"/>
                <w:color w:val="auto"/>
                <w:w w:val="92"/>
              </w:rPr>
              <w:t>885 Third Avenue</w:t>
            </w:r>
          </w:p>
        </w:tc>
        <w:tc>
          <w:tcPr>
            <w:tcW w:w="3880" w:type="dxa"/>
            <w:vAlign w:val="bottom"/>
          </w:tcPr>
          <w:p>
            <w:pPr>
              <w:jc w:val="center"/>
              <w:ind w:left="80"/>
              <w:spacing w:after="0"/>
              <w:rPr>
                <w:sz w:val="20"/>
                <w:szCs w:val="20"/>
                <w:color w:val="auto"/>
              </w:rPr>
            </w:pPr>
            <w:r>
              <w:rPr>
                <w:rFonts w:ascii="Arial" w:cs="Arial" w:eastAsia="Arial" w:hAnsi="Arial"/>
                <w:sz w:val="16"/>
                <w:szCs w:val="16"/>
                <w:b w:val="1"/>
                <w:bCs w:val="1"/>
                <w:color w:val="auto"/>
                <w:w w:val="92"/>
              </w:rPr>
              <w:t>Raleigh, NC 27606</w:t>
            </w:r>
          </w:p>
        </w:tc>
        <w:tc>
          <w:tcPr>
            <w:tcW w:w="2920" w:type="dxa"/>
            <w:vAlign w:val="bottom"/>
          </w:tcPr>
          <w:p>
            <w:pPr>
              <w:jc w:val="center"/>
              <w:ind w:left="799"/>
              <w:spacing w:after="0"/>
              <w:rPr>
                <w:sz w:val="20"/>
                <w:szCs w:val="20"/>
                <w:color w:val="auto"/>
              </w:rPr>
            </w:pPr>
            <w:r>
              <w:rPr>
                <w:rFonts w:ascii="Arial" w:cs="Arial" w:eastAsia="Arial" w:hAnsi="Arial"/>
                <w:sz w:val="16"/>
                <w:szCs w:val="16"/>
                <w:b w:val="1"/>
                <w:bCs w:val="1"/>
                <w:color w:val="auto"/>
                <w:w w:val="94"/>
              </w:rPr>
              <w:t>New York, NY 10017</w:t>
            </w:r>
          </w:p>
        </w:tc>
      </w:tr>
      <w:tr>
        <w:trPr>
          <w:trHeight w:val="203"/>
        </w:trPr>
        <w:tc>
          <w:tcPr>
            <w:tcW w:w="2720" w:type="dxa"/>
            <w:vAlign w:val="bottom"/>
          </w:tcPr>
          <w:p>
            <w:pPr>
              <w:jc w:val="center"/>
              <w:ind w:right="939"/>
              <w:spacing w:after="0"/>
              <w:rPr>
                <w:sz w:val="20"/>
                <w:szCs w:val="20"/>
                <w:color w:val="auto"/>
              </w:rPr>
            </w:pPr>
            <w:r>
              <w:rPr>
                <w:rFonts w:ascii="Arial" w:cs="Arial" w:eastAsia="Arial" w:hAnsi="Arial"/>
                <w:sz w:val="16"/>
                <w:szCs w:val="16"/>
                <w:b w:val="1"/>
                <w:bCs w:val="1"/>
                <w:color w:val="auto"/>
                <w:w w:val="95"/>
              </w:rPr>
              <w:t>New York, NY 10022</w:t>
            </w:r>
          </w:p>
        </w:tc>
        <w:tc>
          <w:tcPr>
            <w:tcW w:w="3880" w:type="dxa"/>
            <w:vAlign w:val="bottom"/>
          </w:tcPr>
          <w:p>
            <w:pPr>
              <w:jc w:val="center"/>
              <w:ind w:left="80"/>
              <w:spacing w:after="0"/>
              <w:rPr>
                <w:sz w:val="20"/>
                <w:szCs w:val="20"/>
                <w:color w:val="auto"/>
              </w:rPr>
            </w:pPr>
            <w:r>
              <w:rPr>
                <w:rFonts w:ascii="Arial" w:cs="Arial" w:eastAsia="Arial" w:hAnsi="Arial"/>
                <w:sz w:val="16"/>
                <w:szCs w:val="16"/>
                <w:b w:val="1"/>
                <w:bCs w:val="1"/>
                <w:color w:val="auto"/>
                <w:w w:val="91"/>
              </w:rPr>
              <w:t>(800) 808-5150</w:t>
            </w:r>
          </w:p>
        </w:tc>
        <w:tc>
          <w:tcPr>
            <w:tcW w:w="2920" w:type="dxa"/>
            <w:vAlign w:val="bottom"/>
          </w:tcPr>
          <w:p>
            <w:pPr>
              <w:jc w:val="center"/>
              <w:ind w:left="799"/>
              <w:spacing w:after="0"/>
              <w:rPr>
                <w:sz w:val="20"/>
                <w:szCs w:val="20"/>
                <w:color w:val="auto"/>
              </w:rPr>
            </w:pPr>
            <w:r>
              <w:rPr>
                <w:rFonts w:ascii="Arial" w:cs="Arial" w:eastAsia="Arial" w:hAnsi="Arial"/>
                <w:sz w:val="16"/>
                <w:szCs w:val="16"/>
                <w:b w:val="1"/>
                <w:bCs w:val="1"/>
                <w:color w:val="auto"/>
                <w:w w:val="91"/>
              </w:rPr>
              <w:t>(212) 450-4000</w:t>
            </w:r>
          </w:p>
        </w:tc>
      </w:tr>
      <w:tr>
        <w:trPr>
          <w:trHeight w:val="210"/>
        </w:trPr>
        <w:tc>
          <w:tcPr>
            <w:tcW w:w="2720" w:type="dxa"/>
            <w:vAlign w:val="bottom"/>
          </w:tcPr>
          <w:p>
            <w:pPr>
              <w:jc w:val="center"/>
              <w:ind w:right="939"/>
              <w:spacing w:after="0"/>
              <w:rPr>
                <w:sz w:val="20"/>
                <w:szCs w:val="20"/>
                <w:color w:val="auto"/>
              </w:rPr>
            </w:pPr>
            <w:r>
              <w:rPr>
                <w:rFonts w:ascii="Arial" w:cs="Arial" w:eastAsia="Arial" w:hAnsi="Arial"/>
                <w:sz w:val="16"/>
                <w:szCs w:val="16"/>
                <w:b w:val="1"/>
                <w:bCs w:val="1"/>
                <w:color w:val="auto"/>
                <w:w w:val="93"/>
              </w:rPr>
              <w:t>(212) 906-1200</w:t>
            </w:r>
          </w:p>
        </w:tc>
        <w:tc>
          <w:tcPr>
            <w:tcW w:w="3880" w:type="dxa"/>
            <w:vAlign w:val="bottom"/>
          </w:tcPr>
          <w:p>
            <w:pPr>
              <w:spacing w:after="0"/>
              <w:rPr>
                <w:sz w:val="18"/>
                <w:szCs w:val="18"/>
                <w:color w:val="auto"/>
              </w:rPr>
            </w:pPr>
          </w:p>
        </w:tc>
        <w:tc>
          <w:tcPr>
            <w:tcW w:w="2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158115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7"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public: </w:t>
      </w:r>
      <w:r>
        <w:rPr>
          <w:rFonts w:ascii="Arial" w:cs="Arial" w:eastAsia="Arial" w:hAnsi="Arial"/>
          <w:sz w:val="16"/>
          <w:szCs w:val="16"/>
          <w:color w:val="auto"/>
        </w:rPr>
        <w:t>As soon as practicable after this Registration Statement is declared effective.</w:t>
      </w:r>
    </w:p>
    <w:p>
      <w:pPr>
        <w:spacing w:after="0" w:line="131" w:lineRule="exact"/>
        <w:rPr>
          <w:sz w:val="24"/>
          <w:szCs w:val="24"/>
          <w:color w:val="auto"/>
        </w:rPr>
      </w:pPr>
    </w:p>
    <w:p>
      <w:pPr>
        <w:ind w:right="180" w:firstLine="342"/>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87" w:lineRule="exact"/>
        <w:rPr>
          <w:sz w:val="24"/>
          <w:szCs w:val="24"/>
          <w:color w:val="auto"/>
        </w:rPr>
      </w:pPr>
    </w:p>
    <w:p>
      <w:pPr>
        <w:ind w:right="240" w:firstLine="342"/>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right="66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right="6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7" w:lineRule="exact"/>
        <w:rPr>
          <w:sz w:val="24"/>
          <w:szCs w:val="24"/>
          <w:color w:val="auto"/>
        </w:rPr>
      </w:pPr>
    </w:p>
    <w:p>
      <w:pPr>
        <w:ind w:firstLine="342"/>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580" w:type="dxa"/>
            <w:vAlign w:val="bottom"/>
            <w:gridSpan w:val="2"/>
          </w:tcPr>
          <w:p>
            <w:pPr>
              <w:spacing w:after="0"/>
              <w:rPr>
                <w:sz w:val="20"/>
                <w:szCs w:val="20"/>
                <w:color w:val="auto"/>
              </w:rPr>
            </w:pPr>
            <w:r>
              <w:rPr>
                <w:rFonts w:ascii="Arial" w:cs="Arial" w:eastAsia="Arial" w:hAnsi="Arial"/>
                <w:sz w:val="16"/>
                <w:szCs w:val="16"/>
                <w:color w:val="auto"/>
                <w:w w:val="98"/>
              </w:rPr>
              <w:t>Large accelerated filer</w:t>
            </w:r>
          </w:p>
        </w:tc>
        <w:tc>
          <w:tcPr>
            <w:tcW w:w="23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00" w:type="dxa"/>
            <w:vAlign w:val="bottom"/>
            <w:gridSpan w:val="2"/>
          </w:tcPr>
          <w:p>
            <w:pPr>
              <w:ind w:left="860"/>
              <w:spacing w:after="0"/>
              <w:rPr>
                <w:sz w:val="20"/>
                <w:szCs w:val="20"/>
                <w:color w:val="auto"/>
              </w:rPr>
            </w:pPr>
            <w:r>
              <w:rPr>
                <w:rFonts w:ascii="Arial" w:cs="Arial" w:eastAsia="Arial" w:hAnsi="Arial"/>
                <w:sz w:val="16"/>
                <w:szCs w:val="16"/>
                <w:color w:val="auto"/>
              </w:rPr>
              <w:t>Accelerated filer</w:t>
            </w:r>
          </w:p>
        </w:tc>
        <w:tc>
          <w:tcPr>
            <w:tcW w:w="160" w:type="dxa"/>
            <w:vAlign w:val="bottom"/>
          </w:tcPr>
          <w:p>
            <w:pPr>
              <w:ind w:left="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1580" w:type="dxa"/>
            <w:vAlign w:val="bottom"/>
            <w:gridSpan w:val="2"/>
          </w:tcPr>
          <w:p>
            <w:pPr>
              <w:spacing w:after="0"/>
              <w:rPr>
                <w:sz w:val="20"/>
                <w:szCs w:val="20"/>
                <w:color w:val="auto"/>
              </w:rPr>
            </w:pPr>
            <w:r>
              <w:rPr>
                <w:rFonts w:ascii="Arial" w:cs="Arial" w:eastAsia="Arial" w:hAnsi="Arial"/>
                <w:sz w:val="16"/>
                <w:szCs w:val="16"/>
                <w:color w:val="auto"/>
              </w:rPr>
              <w:t>Non-accelerated filer</w:t>
            </w:r>
          </w:p>
        </w:tc>
        <w:tc>
          <w:tcPr>
            <w:tcW w:w="5320" w:type="dxa"/>
            <w:vAlign w:val="bottom"/>
            <w:gridSpan w:val="5"/>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1360" w:type="dxa"/>
            <w:vAlign w:val="bottom"/>
          </w:tcPr>
          <w:p>
            <w:pPr>
              <w:spacing w:after="0"/>
              <w:rPr>
                <w:sz w:val="23"/>
                <w:szCs w:val="23"/>
                <w:color w:val="auto"/>
              </w:rPr>
            </w:pPr>
          </w:p>
        </w:tc>
        <w:tc>
          <w:tcPr>
            <w:tcW w:w="3000" w:type="dxa"/>
            <w:vAlign w:val="bottom"/>
            <w:gridSpan w:val="2"/>
          </w:tcPr>
          <w:p>
            <w:pPr>
              <w:ind w:left="860"/>
              <w:spacing w:after="0"/>
              <w:rPr>
                <w:sz w:val="20"/>
                <w:szCs w:val="20"/>
                <w:color w:val="auto"/>
              </w:rPr>
            </w:pPr>
            <w:r>
              <w:rPr>
                <w:rFonts w:ascii="Arial" w:cs="Arial" w:eastAsia="Arial" w:hAnsi="Arial"/>
                <w:sz w:val="16"/>
                <w:szCs w:val="16"/>
                <w:color w:val="auto"/>
              </w:rPr>
              <w:t>Smaller reporting company</w:t>
            </w:r>
          </w:p>
        </w:tc>
        <w:tc>
          <w:tcPr>
            <w:tcW w:w="160" w:type="dxa"/>
            <w:vAlign w:val="bottom"/>
          </w:tcPr>
          <w:p>
            <w:pPr>
              <w:ind w:left="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00" w:type="dxa"/>
            <w:vAlign w:val="bottom"/>
            <w:gridSpan w:val="2"/>
          </w:tcPr>
          <w:p>
            <w:pPr>
              <w:ind w:left="860"/>
              <w:spacing w:after="0"/>
              <w:rPr>
                <w:sz w:val="20"/>
                <w:szCs w:val="20"/>
                <w:color w:val="auto"/>
              </w:rPr>
            </w:pPr>
            <w:r>
              <w:rPr>
                <w:rFonts w:ascii="Arial" w:cs="Arial" w:eastAsia="Arial" w:hAnsi="Arial"/>
                <w:sz w:val="16"/>
                <w:szCs w:val="16"/>
                <w:color w:val="auto"/>
              </w:rPr>
              <w:t>Emerging growth company</w:t>
            </w:r>
          </w:p>
        </w:tc>
        <w:tc>
          <w:tcPr>
            <w:tcW w:w="160" w:type="dxa"/>
            <w:vAlign w:val="bottom"/>
          </w:tcPr>
          <w:p>
            <w:pPr>
              <w:ind w:left="2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gridSpan w:val="5"/>
          </w:tcPr>
          <w:p>
            <w:pPr>
              <w:ind w:left="260"/>
              <w:spacing w:after="0"/>
              <w:rPr>
                <w:sz w:val="20"/>
                <w:szCs w:val="20"/>
                <w:color w:val="auto"/>
              </w:rPr>
            </w:pPr>
            <w:r>
              <w:rPr>
                <w:rFonts w:ascii="Arial" w:cs="Arial" w:eastAsia="Arial" w:hAnsi="Arial"/>
                <w:sz w:val="16"/>
                <w:szCs w:val="16"/>
                <w:b w:val="1"/>
                <w:bCs w:val="1"/>
                <w:color w:val="auto"/>
              </w:rPr>
              <w:t>CALCULATION OF REGISTRATION FEE</w:t>
            </w:r>
          </w:p>
        </w:tc>
        <w:tc>
          <w:tcPr>
            <w:tcW w:w="1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66"/>
              <w:spacing w:after="0" w:line="119" w:lineRule="exact"/>
              <w:rPr>
                <w:sz w:val="20"/>
                <w:szCs w:val="20"/>
                <w:color w:val="auto"/>
              </w:rPr>
            </w:pPr>
            <w:r>
              <w:rPr>
                <w:rFonts w:ascii="Arial" w:cs="Arial" w:eastAsia="Arial" w:hAnsi="Arial"/>
                <w:sz w:val="13"/>
                <w:szCs w:val="13"/>
                <w:b w:val="1"/>
                <w:bCs w:val="1"/>
                <w:color w:val="auto"/>
                <w:w w:val="96"/>
              </w:rPr>
              <w:t>Proposed</w:t>
            </w:r>
          </w:p>
        </w:tc>
        <w:tc>
          <w:tcPr>
            <w:tcW w:w="1600" w:type="dxa"/>
            <w:vAlign w:val="bottom"/>
            <w:tcBorders>
              <w:right w:val="single" w:sz="8" w:color="auto"/>
            </w:tcBorders>
            <w:vMerge w:val="restart"/>
          </w:tcPr>
          <w:p>
            <w:pPr>
              <w:jc w:val="center"/>
              <w:ind w:left="22"/>
              <w:spacing w:after="0"/>
              <w:rPr>
                <w:sz w:val="20"/>
                <w:szCs w:val="20"/>
                <w:color w:val="auto"/>
              </w:rPr>
            </w:pPr>
            <w:r>
              <w:rPr>
                <w:rFonts w:ascii="Arial" w:cs="Arial" w:eastAsia="Arial" w:hAnsi="Arial"/>
                <w:sz w:val="14"/>
                <w:szCs w:val="14"/>
                <w:b w:val="1"/>
                <w:bCs w:val="1"/>
                <w:color w:val="auto"/>
                <w:w w:val="89"/>
              </w:rPr>
              <w:t>Proposed</w:t>
            </w: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vMerge w:val="continue"/>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2"/>
              </w:rPr>
              <w:t>Aggregate</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9"/>
              </w:rPr>
              <w:t>Maximum</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320" w:type="dxa"/>
            <w:vAlign w:val="bottom"/>
          </w:tcPr>
          <w:p>
            <w:pPr>
              <w:jc w:val="center"/>
              <w:ind w:right="363"/>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62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ind w:left="2"/>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6"/>
              <w:spacing w:after="0" w:line="158" w:lineRule="exact"/>
              <w:rPr>
                <w:sz w:val="20"/>
                <w:szCs w:val="20"/>
                <w:color w:val="auto"/>
              </w:rPr>
            </w:pPr>
            <w:r>
              <w:rPr>
                <w:rFonts w:ascii="Arial" w:cs="Arial" w:eastAsia="Arial" w:hAnsi="Arial"/>
                <w:sz w:val="14"/>
                <w:szCs w:val="14"/>
                <w:b w:val="1"/>
                <w:bCs w:val="1"/>
                <w:color w:val="auto"/>
                <w:w w:val="95"/>
              </w:rPr>
              <w:t>Offering</w:t>
            </w:r>
          </w:p>
        </w:tc>
        <w:tc>
          <w:tcPr>
            <w:tcW w:w="1600" w:type="dxa"/>
            <w:vAlign w:val="bottom"/>
            <w:tcBorders>
              <w:right w:val="single" w:sz="8" w:color="auto"/>
            </w:tcBorders>
          </w:tcPr>
          <w:p>
            <w:pPr>
              <w:jc w:val="center"/>
              <w:ind w:left="2"/>
              <w:spacing w:after="0" w:line="158" w:lineRule="exact"/>
              <w:rPr>
                <w:sz w:val="20"/>
                <w:szCs w:val="20"/>
                <w:color w:val="auto"/>
              </w:rPr>
            </w:pPr>
            <w:r>
              <w:rPr>
                <w:rFonts w:ascii="Arial" w:cs="Arial" w:eastAsia="Arial" w:hAnsi="Arial"/>
                <w:sz w:val="14"/>
                <w:szCs w:val="14"/>
                <w:b w:val="1"/>
                <w:bCs w:val="1"/>
                <w:color w:val="auto"/>
                <w:w w:val="92"/>
              </w:rPr>
              <w:t>Aggregate</w:t>
            </w:r>
          </w:p>
        </w:tc>
        <w:tc>
          <w:tcPr>
            <w:tcW w:w="1400" w:type="dxa"/>
            <w:vAlign w:val="bottom"/>
          </w:tcPr>
          <w:p>
            <w:pPr>
              <w:jc w:val="center"/>
              <w:ind w:left="182"/>
              <w:spacing w:after="0" w:line="158"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jc w:val="center"/>
              <w:ind w:right="363"/>
              <w:spacing w:after="0"/>
              <w:rPr>
                <w:sz w:val="20"/>
                <w:szCs w:val="20"/>
                <w:color w:val="auto"/>
              </w:rPr>
            </w:pPr>
            <w:r>
              <w:rPr>
                <w:rFonts w:ascii="Arial" w:cs="Arial" w:eastAsia="Arial" w:hAnsi="Arial"/>
                <w:sz w:val="14"/>
                <w:szCs w:val="14"/>
                <w:b w:val="1"/>
                <w:bCs w:val="1"/>
                <w:color w:val="auto"/>
                <w:w w:val="90"/>
              </w:rPr>
              <w:t>Securities to be Registered</w:t>
            </w:r>
          </w:p>
        </w:tc>
        <w:tc>
          <w:tcPr>
            <w:tcW w:w="62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3"/>
              </w:rPr>
              <w:t>Price Per Share</w:t>
            </w:r>
            <w:r>
              <w:rPr>
                <w:rFonts w:ascii="Arial" w:cs="Arial" w:eastAsia="Arial" w:hAnsi="Arial"/>
                <w:sz w:val="12"/>
                <w:szCs w:val="12"/>
                <w:b w:val="1"/>
                <w:bCs w:val="1"/>
                <w:color w:val="auto"/>
                <w:w w:val="93"/>
              </w:rPr>
              <w:t>(2)</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(1)(2)</w:t>
            </w:r>
          </w:p>
        </w:tc>
        <w:tc>
          <w:tcPr>
            <w:tcW w:w="1400" w:type="dxa"/>
            <w:vAlign w:val="bottom"/>
            <w:tcBorders>
              <w:bottom w:val="single" w:sz="8" w:color="auto"/>
            </w:tcBorders>
          </w:tcPr>
          <w:p>
            <w:pPr>
              <w:jc w:val="center"/>
              <w:ind w:left="162"/>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(3)</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Class A common stock, $0.001 par value per share</w:t>
            </w:r>
          </w:p>
        </w:tc>
        <w:tc>
          <w:tcPr>
            <w:tcW w:w="116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89"/>
              </w:rPr>
              <w:t>4,600,000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8"/>
                <w:szCs w:val="18"/>
                <w:color w:val="auto"/>
                <w:w w:val="90"/>
              </w:rPr>
              <w:t>$22.00</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90"/>
              </w:rPr>
              <w:t>$101,200,000</w:t>
            </w:r>
          </w:p>
        </w:tc>
        <w:tc>
          <w:tcPr>
            <w:tcW w:w="1400" w:type="dxa"/>
            <w:vAlign w:val="bottom"/>
            <w:tcBorders>
              <w:bottom w:val="single" w:sz="8" w:color="auto"/>
            </w:tcBorders>
          </w:tcPr>
          <w:p>
            <w:pPr>
              <w:jc w:val="center"/>
              <w:ind w:left="182"/>
              <w:spacing w:after="0"/>
              <w:rPr>
                <w:sz w:val="20"/>
                <w:szCs w:val="20"/>
                <w:color w:val="auto"/>
              </w:rPr>
            </w:pPr>
            <w:r>
              <w:rPr>
                <w:rFonts w:ascii="Arial" w:cs="Arial" w:eastAsia="Arial" w:hAnsi="Arial"/>
                <w:sz w:val="18"/>
                <w:szCs w:val="18"/>
                <w:color w:val="auto"/>
                <w:w w:val="89"/>
              </w:rPr>
              <w:t>$12,600</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34" w:right="239" w:bottom="0" w:gutter="0" w:footer="0" w:header="0"/>
        </w:sectPr>
      </w:pPr>
    </w:p>
    <w:p>
      <w:pPr>
        <w:ind w:left="340" w:hanging="332"/>
        <w:spacing w:after="0"/>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600,000 shares of Class A common stock that the underwriters have the option to purchase from the Registrant.</w:t>
      </w:r>
    </w:p>
    <w:p>
      <w:pPr>
        <w:sectPr>
          <w:pgSz w:w="11900" w:h="16838" w:orient="portrait"/>
          <w:cols w:equalWidth="0" w:num="1">
            <w:col w:w="11420"/>
          </w:cols>
          <w:pgMar w:left="240" w:top="234" w:right="239" w:bottom="0" w:gutter="0" w:footer="0" w:header="0"/>
          <w:type w:val="continuous"/>
        </w:sectPr>
      </w:pPr>
    </w:p>
    <w:bookmarkStart w:id="1" w:name="page2"/>
    <w:bookmarkEnd w:id="1"/>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of the Securities Act of 1933, as amended.</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Registrant previously paid $12,027 of the registration fee with previous filings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2" w:lineRule="exact"/>
        <w:rPr>
          <w:sz w:val="20"/>
          <w:szCs w:val="20"/>
          <w:color w:val="auto"/>
        </w:rPr>
      </w:pPr>
    </w:p>
    <w:p>
      <w:pPr>
        <w:ind w:firstLine="342"/>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34"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Bandwidth Inc. is filing this Amendment No. 4 to the Registration Statement on Form S-1 (File No. 333-220945) solely to file Exhibits 5.1, 10.2 and 23.2 and to update the table in Item 13 of Part II. Accordingly, this amendment consists only of the facing page, this explanatory note, Part II of the Registration Statement, the signature pages to the Registration Statement and the filed exhibits. No changes are being made to the preliminary prospectus or Items 14, 15 or 17 of Part II to the Registration Statement. Accordingly, the preliminary prospectus has been omitted from this filing.</w:t>
      </w:r>
    </w:p>
    <w:p>
      <w:pPr>
        <w:sectPr>
          <w:pgSz w:w="11900" w:h="16838" w:orient="portrait"/>
          <w:cols w:equalWidth="0" w:num="1">
            <w:col w:w="11400"/>
          </w:cols>
          <w:pgMar w:left="240" w:top="270"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the Class A common stock being registered. All amounts are estimates except for the Securities and Exchange Commission (“SEC”), registration fee, the FINRA filing fee and the exchange listing fee.</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r>
      <w:tr>
        <w:trPr>
          <w:trHeight w:val="149"/>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Paid or</w:t>
            </w:r>
          </w:p>
        </w:tc>
      </w:tr>
      <w:tr>
        <w:trPr>
          <w:trHeight w:val="17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to Be Paid</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14,850</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1,200,000</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35,550</w:t>
            </w:r>
          </w:p>
        </w:tc>
        <w:tc>
          <w:tcPr>
            <w:tcW w:w="8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4,260,000</w:t>
            </w: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Section 145(a) of the Delaware General Corporation Law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145(b) of the Delaware General Corporation Law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which the Court of Chancery or other adjudicating court shall deem proper.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270" w:right="279" w:bottom="1440" w:gutter="0" w:footer="0" w:header="0"/>
        </w:sectPr>
      </w:pPr>
    </w:p>
    <w:bookmarkStart w:id="4" w:name="page5"/>
    <w:bookmarkEnd w:id="4"/>
    <w:p>
      <w:pPr>
        <w:ind w:right="4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145(g) of the Delaware General Corporation Law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Delaware General Corporation Law.</w:t>
      </w:r>
    </w:p>
    <w:p>
      <w:pPr>
        <w:spacing w:after="0" w:line="17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the sale of common stock being registered hereby, we have entered into indemnification agreements with each of our directors and our executive officers. These agreements will provide that we will indemnify each of our directors and such officers to the fullest extent permitted by law and our second amended and restated certificate of incorporation and bylaws.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of 1933, as amended, against certain liabilities.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August 1, 2014, we sold the following securities on an unregistered basis:</w:t>
      </w:r>
    </w:p>
    <w:p>
      <w:pPr>
        <w:spacing w:after="0" w:line="131" w:lineRule="exact"/>
        <w:rPr>
          <w:sz w:val="20"/>
          <w:szCs w:val="20"/>
          <w:color w:val="auto"/>
        </w:rPr>
      </w:pPr>
    </w:p>
    <w:p>
      <w:pPr>
        <w:ind w:left="900" w:right="60" w:hanging="446"/>
        <w:spacing w:after="0" w:line="297"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granted to our directors, officers, employees, and consultants options to purchase an aggregate of 276,930 shares of our Old Class B common stock under our 2010 Equity Compensation Plan at exercise prices ranging from $22.91 to $46.00 per share. The exercise prices of these options to purchase shares of our Old Class B common stock granted between August 1, 2014 and November 30, 2016 reflect adjustments to reflect the allocation of value associated with the Spin-Off of Republic Wireless. The unadjusted exercise price of these options to purchase shares of our Old Class B common stock granted between August 1, 2014 and November 30, 2016 range from $40.48 to $42.39 per share.</w:t>
      </w:r>
    </w:p>
    <w:p>
      <w:pPr>
        <w:spacing w:after="0" w:line="63" w:lineRule="exact"/>
        <w:rPr>
          <w:rFonts w:ascii="Arial" w:cs="Arial" w:eastAsia="Arial" w:hAnsi="Arial"/>
          <w:sz w:val="16"/>
          <w:szCs w:val="16"/>
          <w:color w:val="auto"/>
        </w:rPr>
      </w:pPr>
    </w:p>
    <w:p>
      <w:pPr>
        <w:ind w:left="900" w:right="160" w:hanging="446"/>
        <w:spacing w:after="0" w:line="279"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Holders of options to purchase shares of our Old Class B common stock exercised options to purchase an aggregate of 12,312 shares of our Old Class B Common stock at exercise prices ranging from $25.64 to $29.75 per share. Each holder of these exercised options exercised the applicable option prior to the Spin-Off of Republic Wireless. Giving effect to the allocation of value associated with the Spin-Off of Republic Wireless, the adjusted exercise prices of such options would have been $14.51 to $16.84 per share.</w:t>
      </w:r>
    </w:p>
    <w:p>
      <w:pPr>
        <w:spacing w:after="0" w:line="76" w:lineRule="exact"/>
        <w:rPr>
          <w:rFonts w:ascii="Arial" w:cs="Arial" w:eastAsia="Arial" w:hAnsi="Arial"/>
          <w:sz w:val="17"/>
          <w:szCs w:val="17"/>
          <w:color w:val="auto"/>
        </w:rPr>
      </w:pPr>
    </w:p>
    <w:p>
      <w:pPr>
        <w:ind w:left="900" w:right="60" w:hanging="446"/>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Holders of options to purchase shares of our Old Class A common stock exercised options to purchase an aggregate of 139,539 shares of our Old Class A common stock at exercise prices ranging from $4.79 to $20.75 per share. Giving effect to the allocation of value associated with the Spin-Off of Republic Wireless, the adjusted exercise prices of such options would have been $2.71 to $11.74 per share.</w:t>
      </w:r>
    </w:p>
    <w:p>
      <w:pPr>
        <w:spacing w:after="0" w:line="52"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Holders of warrants to purchase shares of our Old Class A common stock and similar rights exercised warrants and similar rights to purchase an aggregate of 15,176 shares of our Old Class A common stock at exercise prices ranging from $0.001 to $25.64 per share. Giving effect to the allocation of value associated with the Spin-Off of Republic Wireless, the adjusted exercise prices of such warrants would have been $0.001 to $14.51 per share.</w:t>
      </w:r>
    </w:p>
    <w:p>
      <w:pPr>
        <w:spacing w:after="0" w:line="92"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granted to Carmichael, Mr. Bowen and Ms. Bowen warrants to purchase an aggregate of 4,531 shares of our Old Class B common stock at an exercise price of $6.572 per share.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274" w:right="239" w:bottom="1440" w:gutter="0" w:footer="0" w:header="0"/>
        </w:sectPr>
      </w:pPr>
    </w:p>
    <w:bookmarkStart w:id="5" w:name="page6"/>
    <w:bookmarkEnd w:id="5"/>
    <w:p>
      <w:pPr>
        <w:ind w:right="2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foregoing transactions involved any underwriters, underwriting discounts or commissions, or any public offering. We believe the offers, sales and issuances of the above securities were exempt from registration under the Securities Act (or Regulation D) by virtue of Section 4(a)(2)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attached to this Registration Statement, which is incorporated by reference herein.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1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900" w:right="260" w:hanging="318"/>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9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ind w:left="900" w:right="20" w:hanging="318"/>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520" w:type="dxa"/>
            <w:vAlign w:val="bottom"/>
            <w:gridSpan w:val="18"/>
          </w:tcPr>
          <w:p>
            <w:pPr>
              <w:jc w:val="center"/>
              <w:ind w:right="3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6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3"/>
              </w:rPr>
              <w:t>number</w:t>
            </w:r>
          </w:p>
        </w:tc>
        <w:tc>
          <w:tcPr>
            <w:tcW w:w="500" w:type="dxa"/>
            <w:vAlign w:val="bottom"/>
          </w:tcPr>
          <w:p>
            <w:pPr>
              <w:spacing w:after="0"/>
              <w:rPr>
                <w:sz w:val="14"/>
                <w:szCs w:val="14"/>
                <w:color w:val="auto"/>
              </w:rPr>
            </w:pPr>
          </w:p>
        </w:tc>
        <w:tc>
          <w:tcPr>
            <w:tcW w:w="10100" w:type="dxa"/>
            <w:vAlign w:val="bottom"/>
            <w:gridSpan w:val="24"/>
          </w:tcPr>
          <w:p>
            <w:pPr>
              <w:spacing w:after="0" w:line="151" w:lineRule="exact"/>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jc w:val="center"/>
              <w:ind w:right="640"/>
              <w:spacing w:after="0" w:line="196" w:lineRule="exact"/>
              <w:rPr>
                <w:sz w:val="20"/>
                <w:szCs w:val="20"/>
                <w:color w:val="auto"/>
              </w:rPr>
            </w:pPr>
            <w:r>
              <w:rPr>
                <w:rFonts w:ascii="Arial" w:cs="Arial" w:eastAsia="Arial" w:hAnsi="Arial"/>
                <w:sz w:val="18"/>
                <w:szCs w:val="18"/>
                <w:color w:val="auto"/>
                <w:w w:val="91"/>
              </w:rPr>
              <w:t>1.1†</w:t>
            </w: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740" w:type="dxa"/>
            <w:vAlign w:val="bottom"/>
            <w:gridSpan w:val="22"/>
            <w:vMerge w:val="restart"/>
          </w:tcPr>
          <w:p>
            <w:pPr>
              <w:ind w:left="280"/>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Agreement.</w:t>
              </w:r>
            </w:hyperlink>
          </w:p>
        </w:tc>
        <w:tc>
          <w:tcPr>
            <w:tcW w:w="0" w:type="dxa"/>
            <w:vAlign w:val="bottom"/>
          </w:tcPr>
          <w:p>
            <w:pPr>
              <w:spacing w:after="0" w:line="20" w:lineRule="exact"/>
              <w:rPr>
                <w:sz w:val="1"/>
                <w:szCs w:val="1"/>
                <w:color w:val="auto"/>
              </w:rPr>
            </w:pPr>
          </w:p>
        </w:tc>
      </w:tr>
      <w:tr>
        <w:trPr>
          <w:trHeight w:val="156"/>
        </w:trPr>
        <w:tc>
          <w:tcPr>
            <w:tcW w:w="1160" w:type="dxa"/>
            <w:vAlign w:val="bottom"/>
            <w:gridSpan w:val="3"/>
            <w:vMerge w:val="continue"/>
          </w:tcPr>
          <w:p>
            <w:pPr>
              <w:spacing w:after="0"/>
              <w:rPr>
                <w:sz w:val="13"/>
                <w:szCs w:val="13"/>
                <w:color w:val="auto"/>
              </w:rPr>
            </w:pPr>
          </w:p>
        </w:tc>
        <w:tc>
          <w:tcPr>
            <w:tcW w:w="1360" w:type="dxa"/>
            <w:vAlign w:val="bottom"/>
            <w:gridSpan w:val="2"/>
          </w:tcPr>
          <w:p>
            <w:pPr>
              <w:spacing w:after="0" w:line="156" w:lineRule="exact"/>
              <w:rPr>
                <w:rFonts w:ascii="Arial" w:cs="Arial" w:eastAsia="Arial" w:hAnsi="Arial"/>
                <w:sz w:val="18"/>
                <w:szCs w:val="18"/>
                <w:color w:val="0000EE"/>
                <w:w w:val="79"/>
              </w:rPr>
            </w:pPr>
            <w:hyperlink r:id="rId23">
              <w:r>
                <w:rPr>
                  <w:rFonts w:ascii="Arial" w:cs="Arial" w:eastAsia="Arial" w:hAnsi="Arial"/>
                  <w:sz w:val="18"/>
                  <w:szCs w:val="18"/>
                  <w:color w:val="0000EE"/>
                  <w:w w:val="79"/>
                </w:rPr>
                <w:t>Form of Underwriting</w:t>
              </w:r>
            </w:hyperlink>
          </w:p>
        </w:tc>
        <w:tc>
          <w:tcPr>
            <w:tcW w:w="874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2.1†</w:t>
            </w:r>
          </w:p>
        </w:tc>
        <w:tc>
          <w:tcPr>
            <w:tcW w:w="9100" w:type="dxa"/>
            <w:vAlign w:val="bottom"/>
            <w:tcBorders>
              <w:bottom w:val="single" w:sz="8" w:color="0000EE"/>
            </w:tcBorders>
            <w:gridSpan w:val="21"/>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Reorganization Agreement, dated as of November 30, 2016, by and between Bandwidth.com, Inc. and Republic Wireless, Inc.</w:t>
              </w:r>
            </w:hyperlink>
          </w:p>
        </w:tc>
        <w:tc>
          <w:tcPr>
            <w:tcW w:w="10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3.1†</w:t>
            </w:r>
          </w:p>
        </w:tc>
        <w:tc>
          <w:tcPr>
            <w:tcW w:w="8460" w:type="dxa"/>
            <w:vAlign w:val="bottom"/>
            <w:tcBorders>
              <w:bottom w:val="single" w:sz="8" w:color="0000EE"/>
            </w:tcBorders>
            <w:gridSpan w:val="17"/>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Form of Second Amended and Restated Certificate of Incorporation (to be in effect upon the closing of this offering).</w:t>
              </w:r>
            </w:hyperlink>
          </w:p>
        </w:tc>
        <w:tc>
          <w:tcPr>
            <w:tcW w:w="1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3.2†</w:t>
            </w:r>
          </w:p>
        </w:tc>
        <w:tc>
          <w:tcPr>
            <w:tcW w:w="7020" w:type="dxa"/>
            <w:vAlign w:val="bottom"/>
            <w:tcBorders>
              <w:bottom w:val="single" w:sz="8" w:color="0000EE"/>
            </w:tcBorders>
            <w:gridSpan w:val="10"/>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Form of Second Amended and Restated Bylaws (to be in effect upon the closing of this offering).</w:t>
              </w:r>
            </w:hyperlink>
          </w:p>
        </w:tc>
        <w:tc>
          <w:tcPr>
            <w:tcW w:w="30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4.2†</w:t>
            </w:r>
          </w:p>
        </w:tc>
        <w:tc>
          <w:tcPr>
            <w:tcW w:w="10100" w:type="dxa"/>
            <w:vAlign w:val="bottom"/>
            <w:gridSpan w:val="24"/>
          </w:tcPr>
          <w:p>
            <w:pPr>
              <w:spacing w:after="0"/>
              <w:rPr>
                <w:rFonts w:ascii="Arial" w:cs="Arial" w:eastAsia="Arial" w:hAnsi="Arial"/>
                <w:sz w:val="18"/>
                <w:szCs w:val="18"/>
                <w:color w:val="0000EE"/>
              </w:rPr>
            </w:pPr>
            <w:hyperlink r:id="rId27">
              <w:r>
                <w:rPr>
                  <w:rFonts w:ascii="Arial" w:cs="Arial" w:eastAsia="Arial" w:hAnsi="Arial"/>
                  <w:sz w:val="18"/>
                  <w:szCs w:val="18"/>
                  <w:color w:val="0000EE"/>
                </w:rPr>
                <w:t>Investors’ Rights Agreement.</w:t>
              </w:r>
            </w:hyperlink>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jc w:val="center"/>
              <w:ind w:right="640"/>
              <w:spacing w:after="0"/>
              <w:rPr>
                <w:sz w:val="20"/>
                <w:szCs w:val="20"/>
                <w:color w:val="auto"/>
              </w:rPr>
            </w:pPr>
            <w:r>
              <w:rPr>
                <w:rFonts w:ascii="Arial" w:cs="Arial" w:eastAsia="Arial" w:hAnsi="Arial"/>
                <w:sz w:val="18"/>
                <w:szCs w:val="18"/>
                <w:color w:val="auto"/>
                <w:w w:val="91"/>
              </w:rPr>
              <w:t>4.3†</w:t>
            </w:r>
          </w:p>
        </w:tc>
        <w:tc>
          <w:tcPr>
            <w:tcW w:w="2160" w:type="dxa"/>
            <w:vAlign w:val="bottom"/>
            <w:tcBorders>
              <w:bottom w:val="single" w:sz="8" w:color="0000EE"/>
            </w:tcBorders>
            <w:gridSpan w:val="4"/>
          </w:tcPr>
          <w:p>
            <w:pPr>
              <w:spacing w:after="0"/>
              <w:rPr>
                <w:rFonts w:ascii="Arial" w:cs="Arial" w:eastAsia="Arial" w:hAnsi="Arial"/>
                <w:sz w:val="18"/>
                <w:szCs w:val="18"/>
                <w:color w:val="0000EE"/>
                <w:w w:val="92"/>
              </w:rPr>
            </w:pPr>
            <w:hyperlink r:id="rId28">
              <w:r>
                <w:rPr>
                  <w:rFonts w:ascii="Arial" w:cs="Arial" w:eastAsia="Arial" w:hAnsi="Arial"/>
                  <w:sz w:val="18"/>
                  <w:szCs w:val="18"/>
                  <w:color w:val="0000EE"/>
                  <w:w w:val="92"/>
                </w:rPr>
                <w:t>Form of Buy-Sell Agreement.</w:t>
              </w:r>
            </w:hyperlink>
          </w:p>
        </w:tc>
        <w:tc>
          <w:tcPr>
            <w:tcW w:w="79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268"/>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4"/>
                <w:szCs w:val="24"/>
                <w:color w:val="auto"/>
              </w:rPr>
            </w:pPr>
          </w:p>
        </w:tc>
        <w:tc>
          <w:tcPr>
            <w:tcW w:w="10100" w:type="dxa"/>
            <w:vAlign w:val="bottom"/>
            <w:gridSpan w:val="24"/>
          </w:tcPr>
          <w:p>
            <w:pPr>
              <w:spacing w:after="0"/>
              <w:rPr>
                <w:sz w:val="20"/>
                <w:szCs w:val="20"/>
                <w:color w:val="auto"/>
              </w:rPr>
            </w:pPr>
            <w:r>
              <w:rPr>
                <w:rFonts w:ascii="Arial" w:cs="Arial" w:eastAsia="Arial" w:hAnsi="Arial"/>
                <w:sz w:val="18"/>
                <w:szCs w:val="18"/>
                <w:color w:val="0000EE"/>
              </w:rPr>
              <w:t>Opinion of Latham &amp; Watkins LLP.</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10.1†</w:t>
            </w:r>
          </w:p>
        </w:tc>
        <w:tc>
          <w:tcPr>
            <w:tcW w:w="10100" w:type="dxa"/>
            <w:vAlign w:val="bottom"/>
            <w:tcBorders>
              <w:bottom w:val="single" w:sz="8" w:color="0000EE"/>
            </w:tcBorders>
            <w:gridSpan w:val="24"/>
          </w:tcPr>
          <w:p>
            <w:pPr>
              <w:spacing w:after="0"/>
              <w:rPr>
                <w:rFonts w:ascii="Arial" w:cs="Arial" w:eastAsia="Arial" w:hAnsi="Arial"/>
                <w:sz w:val="18"/>
                <w:szCs w:val="18"/>
                <w:color w:val="0000EE"/>
                <w:w w:val="91"/>
              </w:rPr>
            </w:pPr>
            <w:hyperlink r:id="rId29">
              <w:r>
                <w:rPr>
                  <w:rFonts w:ascii="Arial" w:cs="Arial" w:eastAsia="Arial" w:hAnsi="Arial"/>
                  <w:sz w:val="18"/>
                  <w:szCs w:val="18"/>
                  <w:color w:val="0000EE"/>
                  <w:w w:val="91"/>
                </w:rPr>
                <w:t>Credit and Security Agreement among Bandwidth.com, Inc., Keybank National Association, Keybanc Capital Markets Inc., Pacific Western</w:t>
              </w:r>
            </w:hyperlink>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7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Bank, Fifth Third Bank and Silicon Valley Bank, dated as of November 4, 2016.</w:t>
              </w:r>
            </w:hyperlink>
          </w:p>
        </w:tc>
        <w:tc>
          <w:tcPr>
            <w:tcW w:w="43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60" w:type="dxa"/>
            <w:vAlign w:val="bottom"/>
            <w:gridSpan w:val="2"/>
          </w:tcPr>
          <w:p>
            <w:pPr>
              <w:spacing w:after="0"/>
              <w:rPr>
                <w:sz w:val="20"/>
                <w:szCs w:val="20"/>
                <w:color w:val="auto"/>
              </w:rPr>
            </w:pPr>
            <w:r>
              <w:rPr>
                <w:rFonts w:ascii="Arial" w:cs="Arial" w:eastAsia="Arial" w:hAnsi="Arial"/>
                <w:sz w:val="18"/>
                <w:szCs w:val="18"/>
                <w:color w:val="auto"/>
              </w:rPr>
              <w:t>10.2#</w:t>
            </w:r>
          </w:p>
        </w:tc>
        <w:tc>
          <w:tcPr>
            <w:tcW w:w="500" w:type="dxa"/>
            <w:vAlign w:val="bottom"/>
          </w:tcPr>
          <w:p>
            <w:pPr>
              <w:spacing w:after="0"/>
              <w:rPr>
                <w:sz w:val="24"/>
                <w:szCs w:val="24"/>
                <w:color w:val="auto"/>
              </w:rPr>
            </w:pPr>
          </w:p>
        </w:tc>
        <w:tc>
          <w:tcPr>
            <w:tcW w:w="10100" w:type="dxa"/>
            <w:vAlign w:val="bottom"/>
            <w:gridSpan w:val="24"/>
          </w:tcPr>
          <w:p>
            <w:pPr>
              <w:spacing w:after="0"/>
              <w:rPr>
                <w:sz w:val="20"/>
                <w:szCs w:val="20"/>
                <w:color w:val="auto"/>
              </w:rPr>
            </w:pPr>
            <w:r>
              <w:rPr>
                <w:rFonts w:ascii="Arial" w:cs="Arial" w:eastAsia="Arial" w:hAnsi="Arial"/>
                <w:sz w:val="18"/>
                <w:szCs w:val="18"/>
                <w:color w:val="0000EE"/>
              </w:rPr>
              <w:t>Form of Indemnification Agreement between Bandwidth Inc. and each of its Executive Officers and Directors.</w:t>
            </w: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10.3#†</w:t>
            </w:r>
          </w:p>
        </w:tc>
        <w:tc>
          <w:tcPr>
            <w:tcW w:w="41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r:id="rId30">
              <w:r>
                <w:rPr>
                  <w:rFonts w:ascii="Arial" w:cs="Arial" w:eastAsia="Arial" w:hAnsi="Arial"/>
                  <w:sz w:val="18"/>
                  <w:szCs w:val="18"/>
                  <w:color w:val="0000EE"/>
                  <w:w w:val="89"/>
                </w:rPr>
                <w:t>2001 Stock Option Plan and forms of awards thereunder.</w:t>
              </w:r>
            </w:hyperlink>
          </w:p>
        </w:tc>
        <w:tc>
          <w:tcPr>
            <w:tcW w:w="3860" w:type="dxa"/>
            <w:vAlign w:val="bottom"/>
            <w:tcBorders>
              <w:top w:val="single" w:sz="8" w:color="0000EE"/>
            </w:tcBorders>
            <w:gridSpan w:val="4"/>
          </w:tcPr>
          <w:p>
            <w:pPr>
              <w:spacing w:after="0"/>
              <w:rPr>
                <w:sz w:val="24"/>
                <w:szCs w:val="24"/>
                <w:color w:val="auto"/>
              </w:rPr>
            </w:pPr>
          </w:p>
        </w:tc>
        <w:tc>
          <w:tcPr>
            <w:tcW w:w="21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10.4#†</w:t>
            </w:r>
          </w:p>
        </w:tc>
        <w:tc>
          <w:tcPr>
            <w:tcW w:w="4700" w:type="dxa"/>
            <w:vAlign w:val="bottom"/>
            <w:tcBorders>
              <w:bottom w:val="single" w:sz="8" w:color="0000EE"/>
            </w:tcBorders>
            <w:gridSpan w:val="8"/>
          </w:tcPr>
          <w:p>
            <w:pPr>
              <w:spacing w:after="0"/>
              <w:rPr>
                <w:rFonts w:ascii="Arial" w:cs="Arial" w:eastAsia="Arial" w:hAnsi="Arial"/>
                <w:sz w:val="18"/>
                <w:szCs w:val="18"/>
                <w:color w:val="0000EE"/>
                <w:w w:val="89"/>
              </w:rPr>
            </w:pPr>
            <w:hyperlink r:id="rId31">
              <w:r>
                <w:rPr>
                  <w:rFonts w:ascii="Arial" w:cs="Arial" w:eastAsia="Arial" w:hAnsi="Arial"/>
                  <w:sz w:val="18"/>
                  <w:szCs w:val="18"/>
                  <w:color w:val="0000EE"/>
                  <w:w w:val="89"/>
                </w:rPr>
                <w:t>2010 Equity Compensation Plan and forms of awards thereunder.</w:t>
              </w:r>
            </w:hyperlink>
          </w:p>
        </w:tc>
        <w:tc>
          <w:tcPr>
            <w:tcW w:w="54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10.5#†</w:t>
            </w:r>
          </w:p>
        </w:tc>
        <w:tc>
          <w:tcPr>
            <w:tcW w:w="10100" w:type="dxa"/>
            <w:vAlign w:val="bottom"/>
            <w:gridSpan w:val="24"/>
          </w:tcPr>
          <w:p>
            <w:pPr>
              <w:spacing w:after="0"/>
              <w:rPr>
                <w:rFonts w:ascii="Arial" w:cs="Arial" w:eastAsia="Arial" w:hAnsi="Arial"/>
                <w:sz w:val="18"/>
                <w:szCs w:val="18"/>
                <w:color w:val="0000EE"/>
              </w:rPr>
            </w:pPr>
            <w:hyperlink r:id="rId32">
              <w:r>
                <w:rPr>
                  <w:rFonts w:ascii="Arial" w:cs="Arial" w:eastAsia="Arial" w:hAnsi="Arial"/>
                  <w:sz w:val="18"/>
                  <w:szCs w:val="18"/>
                  <w:color w:val="0000EE"/>
                </w:rPr>
                <w:t>Employment Agreement, dated as of October 1, 2008, by and between Bandwidth.com, Inc. and John Murdock.</w:t>
              </w:r>
            </w:hyperlink>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4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10.6#†</w:t>
            </w:r>
          </w:p>
        </w:tc>
        <w:tc>
          <w:tcPr>
            <w:tcW w:w="10100" w:type="dxa"/>
            <w:vAlign w:val="bottom"/>
            <w:gridSpan w:val="24"/>
          </w:tcPr>
          <w:p>
            <w:pPr>
              <w:spacing w:after="0"/>
              <w:rPr>
                <w:rFonts w:ascii="Arial" w:cs="Arial" w:eastAsia="Arial" w:hAnsi="Arial"/>
                <w:sz w:val="18"/>
                <w:szCs w:val="18"/>
                <w:color w:val="0000EE"/>
              </w:rPr>
            </w:pPr>
            <w:hyperlink r:id="rId33">
              <w:r>
                <w:rPr>
                  <w:rFonts w:ascii="Arial" w:cs="Arial" w:eastAsia="Arial" w:hAnsi="Arial"/>
                  <w:sz w:val="18"/>
                  <w:szCs w:val="18"/>
                  <w:color w:val="0000EE"/>
                </w:rPr>
                <w:t>Employment Agreement, dated as of May 3, 2010, by and between Bandwidth.com, Inc. and W. Christopher Matton.</w:t>
              </w:r>
            </w:hyperlink>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10.7#†</w:t>
            </w:r>
          </w:p>
        </w:tc>
        <w:tc>
          <w:tcPr>
            <w:tcW w:w="8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r:id="rId34">
              <w:r>
                <w:rPr>
                  <w:rFonts w:ascii="Arial" w:cs="Arial" w:eastAsia="Arial" w:hAnsi="Arial"/>
                  <w:sz w:val="18"/>
                  <w:szCs w:val="18"/>
                  <w:color w:val="0000EE"/>
                  <w:w w:val="90"/>
                </w:rPr>
                <w:t>Employment Agreement, dated as of September 16, 2011, by and between Bandwidth.com, Inc. and Jeff Hoffman.</w:t>
              </w:r>
            </w:hyperlink>
          </w:p>
        </w:tc>
        <w:tc>
          <w:tcPr>
            <w:tcW w:w="160" w:type="dxa"/>
            <w:vAlign w:val="bottom"/>
            <w:tcBorders>
              <w:top w:val="single" w:sz="8" w:color="0000EE"/>
            </w:tcBorders>
          </w:tcPr>
          <w:p>
            <w:pPr>
              <w:spacing w:after="0"/>
              <w:rPr>
                <w:sz w:val="24"/>
                <w:szCs w:val="24"/>
                <w:color w:val="auto"/>
              </w:rPr>
            </w:pPr>
          </w:p>
        </w:tc>
        <w:tc>
          <w:tcPr>
            <w:tcW w:w="1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10.8#†</w:t>
            </w:r>
          </w:p>
        </w:tc>
        <w:tc>
          <w:tcPr>
            <w:tcW w:w="9880" w:type="dxa"/>
            <w:vAlign w:val="bottom"/>
            <w:tcBorders>
              <w:bottom w:val="single" w:sz="8" w:color="0000EE"/>
            </w:tcBorders>
            <w:gridSpan w:val="23"/>
          </w:tcPr>
          <w:p>
            <w:pPr>
              <w:spacing w:after="0"/>
              <w:rPr>
                <w:rFonts w:ascii="Arial" w:cs="Arial" w:eastAsia="Arial" w:hAnsi="Arial"/>
                <w:sz w:val="18"/>
                <w:szCs w:val="18"/>
                <w:color w:val="0000EE"/>
                <w:w w:val="90"/>
              </w:rPr>
            </w:pPr>
            <w:hyperlink r:id="rId35">
              <w:r>
                <w:rPr>
                  <w:rFonts w:ascii="Arial" w:cs="Arial" w:eastAsia="Arial" w:hAnsi="Arial"/>
                  <w:sz w:val="18"/>
                  <w:szCs w:val="18"/>
                  <w:color w:val="0000EE"/>
                  <w:w w:val="90"/>
                </w:rPr>
                <w:t>Employment Agreement, dated as of January 1, 2015, as amended on March 9, 2017, by and between Bandwidth.com, Inc. and David A.</w:t>
              </w:r>
            </w:hyperlink>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Morken.</w:t>
              </w:r>
            </w:hyperlink>
          </w:p>
        </w:tc>
        <w:tc>
          <w:tcPr>
            <w:tcW w:w="94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10.9#†</w:t>
            </w:r>
          </w:p>
        </w:tc>
        <w:tc>
          <w:tcPr>
            <w:tcW w:w="10100" w:type="dxa"/>
            <w:vAlign w:val="bottom"/>
            <w:gridSpan w:val="24"/>
          </w:tcPr>
          <w:p>
            <w:pPr>
              <w:spacing w:after="0"/>
              <w:rPr>
                <w:rFonts w:ascii="Arial" w:cs="Arial" w:eastAsia="Arial" w:hAnsi="Arial"/>
                <w:sz w:val="18"/>
                <w:szCs w:val="18"/>
                <w:color w:val="0000EE"/>
              </w:rPr>
            </w:pPr>
            <w:hyperlink r:id="rId36">
              <w:r>
                <w:rPr>
                  <w:rFonts w:ascii="Arial" w:cs="Arial" w:eastAsia="Arial" w:hAnsi="Arial"/>
                  <w:sz w:val="18"/>
                  <w:szCs w:val="18"/>
                  <w:color w:val="0000EE"/>
                </w:rPr>
                <w:t>Employment Agreement, dated as of March 1, 2017, by and between Bandwidth.com, Inc. and Henry R. Kaestner.</w:t>
              </w:r>
            </w:hyperlink>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8120" w:type="dxa"/>
            <w:vAlign w:val="bottom"/>
            <w:gridSpan w:val="1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10.10#†</w:t>
            </w:r>
          </w:p>
        </w:tc>
        <w:tc>
          <w:tcPr>
            <w:tcW w:w="9780" w:type="dxa"/>
            <w:vAlign w:val="bottom"/>
            <w:tcBorders>
              <w:bottom w:val="single" w:sz="8" w:color="0000EE"/>
            </w:tcBorders>
            <w:gridSpan w:val="22"/>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Consulting Agreement, dated as of February 22, 2010, by and between Bandwidth.com, Inc. and Carmichael Investment Partners, LLC.</w:t>
              </w:r>
            </w:hyperlink>
          </w:p>
        </w:tc>
        <w:tc>
          <w:tcPr>
            <w:tcW w:w="3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10.11†</w:t>
            </w:r>
          </w:p>
        </w:tc>
        <w:tc>
          <w:tcPr>
            <w:tcW w:w="8780" w:type="dxa"/>
            <w:vAlign w:val="bottom"/>
            <w:tcBorders>
              <w:bottom w:val="single" w:sz="8" w:color="0000EE"/>
            </w:tcBorders>
            <w:gridSpan w:val="18"/>
          </w:tcPr>
          <w:p>
            <w:pPr>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Office Lease, by and between Venture Center LLC and Bandwidth.com, Inc., dated January 22, 2013, as amended to date.</w:t>
              </w:r>
            </w:hyperlink>
          </w:p>
        </w:tc>
        <w:tc>
          <w:tcPr>
            <w:tcW w:w="1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10.12†</w:t>
            </w:r>
          </w:p>
        </w:tc>
        <w:tc>
          <w:tcPr>
            <w:tcW w:w="10100" w:type="dxa"/>
            <w:vAlign w:val="bottom"/>
            <w:gridSpan w:val="24"/>
          </w:tcPr>
          <w:p>
            <w:pPr>
              <w:spacing w:after="0"/>
              <w:rPr>
                <w:rFonts w:ascii="Arial" w:cs="Arial" w:eastAsia="Arial" w:hAnsi="Arial"/>
                <w:sz w:val="18"/>
                <w:szCs w:val="18"/>
                <w:color w:val="0000EE"/>
              </w:rPr>
            </w:pPr>
            <w:hyperlink r:id="rId39">
              <w:r>
                <w:rPr>
                  <w:rFonts w:ascii="Arial" w:cs="Arial" w:eastAsia="Arial" w:hAnsi="Arial"/>
                  <w:sz w:val="18"/>
                  <w:szCs w:val="18"/>
                  <w:color w:val="0000EE"/>
                </w:rPr>
                <w:t>Sublease, by and between Allied Telesis Capital Corporation and Bandwidth.com, Inc., dated December 1, 2015.</w:t>
              </w:r>
            </w:hyperlink>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8120" w:type="dxa"/>
            <w:vAlign w:val="bottom"/>
            <w:gridSpan w:val="13"/>
            <w:shd w:val="clear" w:color="auto" w:fill="0000EE"/>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10.13†</w:t>
            </w:r>
          </w:p>
        </w:tc>
        <w:tc>
          <w:tcPr>
            <w:tcW w:w="8920" w:type="dxa"/>
            <w:vAlign w:val="bottom"/>
            <w:tcBorders>
              <w:bottom w:val="single" w:sz="8" w:color="0000EE"/>
            </w:tcBorders>
            <w:gridSpan w:val="19"/>
          </w:tcPr>
          <w:p>
            <w:pPr>
              <w:spacing w:after="0"/>
              <w:rPr>
                <w:rFonts w:ascii="Arial" w:cs="Arial" w:eastAsia="Arial" w:hAnsi="Arial"/>
                <w:sz w:val="18"/>
                <w:szCs w:val="18"/>
                <w:color w:val="0000EE"/>
                <w:w w:val="90"/>
              </w:rPr>
            </w:pPr>
            <w:hyperlink r:id="rId40">
              <w:r>
                <w:rPr>
                  <w:rFonts w:ascii="Arial" w:cs="Arial" w:eastAsia="Arial" w:hAnsi="Arial"/>
                  <w:sz w:val="18"/>
                  <w:szCs w:val="18"/>
                  <w:color w:val="0000EE"/>
                  <w:w w:val="90"/>
                </w:rPr>
                <w:t>Facilities Sharing Agreement, by and between Bandwidth.com, Inc. and Republic Wireless, Inc., dated November 30, 2016.</w:t>
              </w:r>
            </w:hyperlink>
          </w:p>
        </w:tc>
        <w:tc>
          <w:tcPr>
            <w:tcW w:w="1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jc w:val="center"/>
              <w:ind w:right="660"/>
              <w:spacing w:after="0"/>
              <w:rPr>
                <w:sz w:val="20"/>
                <w:szCs w:val="20"/>
                <w:color w:val="auto"/>
              </w:rPr>
            </w:pPr>
            <w:r>
              <w:rPr>
                <w:rFonts w:ascii="Arial" w:cs="Arial" w:eastAsia="Arial" w:hAnsi="Arial"/>
                <w:sz w:val="18"/>
                <w:szCs w:val="18"/>
                <w:color w:val="auto"/>
                <w:w w:val="90"/>
              </w:rPr>
              <w:t>10.14†</w:t>
            </w:r>
          </w:p>
        </w:tc>
        <w:tc>
          <w:tcPr>
            <w:tcW w:w="9040" w:type="dxa"/>
            <w:vAlign w:val="bottom"/>
            <w:tcBorders>
              <w:bottom w:val="single" w:sz="8" w:color="0000EE"/>
            </w:tcBorders>
            <w:gridSpan w:val="20"/>
          </w:tcPr>
          <w:p>
            <w:pPr>
              <w:spacing w:after="0"/>
              <w:rPr>
                <w:rFonts w:ascii="Arial" w:cs="Arial" w:eastAsia="Arial" w:hAnsi="Arial"/>
                <w:sz w:val="18"/>
                <w:szCs w:val="18"/>
                <w:color w:val="0000EE"/>
                <w:w w:val="90"/>
              </w:rPr>
            </w:pPr>
            <w:hyperlink r:id="rId41">
              <w:r>
                <w:rPr>
                  <w:rFonts w:ascii="Arial" w:cs="Arial" w:eastAsia="Arial" w:hAnsi="Arial"/>
                  <w:sz w:val="18"/>
                  <w:szCs w:val="18"/>
                  <w:color w:val="0000EE"/>
                  <w:w w:val="90"/>
                </w:rPr>
                <w:t>Transition Services Agreement, by and between Bandwidth.com, Inc. and Republic Wireless, Inc., dated November 30, 2016.</w:t>
              </w:r>
            </w:hyperlink>
          </w:p>
        </w:tc>
        <w:tc>
          <w:tcPr>
            <w:tcW w:w="1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00" w:type="dxa"/>
            <w:vAlign w:val="bottom"/>
            <w:gridSpan w:val="17"/>
          </w:tcPr>
          <w:p>
            <w:pPr>
              <w:jc w:val="center"/>
              <w:ind w:right="5100"/>
              <w:spacing w:after="0"/>
              <w:rPr>
                <w:sz w:val="20"/>
                <w:szCs w:val="20"/>
                <w:color w:val="auto"/>
              </w:rPr>
            </w:pPr>
            <w:r>
              <w:rPr>
                <w:rFonts w:ascii="Arial" w:cs="Arial" w:eastAsia="Arial" w:hAnsi="Arial"/>
                <w:sz w:val="18"/>
                <w:szCs w:val="18"/>
                <w:color w:val="auto"/>
                <w:w w:val="99"/>
              </w:rPr>
              <w:t>II-4</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60"/>
          </w:cols>
          <w:pgMar w:left="240" w:top="270" w:right="3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10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number</w:t>
            </w:r>
          </w:p>
        </w:tc>
        <w:tc>
          <w:tcPr>
            <w:tcW w:w="10080" w:type="dxa"/>
            <w:vAlign w:val="bottom"/>
            <w:gridSpan w:val="14"/>
          </w:tcPr>
          <w:p>
            <w:pPr>
              <w:spacing w:after="0" w:line="151" w:lineRule="exact"/>
              <w:rPr>
                <w:sz w:val="20"/>
                <w:szCs w:val="20"/>
                <w:color w:val="auto"/>
              </w:rPr>
            </w:pPr>
            <w:r>
              <w:rPr>
                <w:rFonts w:ascii="Arial" w:cs="Arial" w:eastAsia="Arial" w:hAnsi="Arial"/>
                <w:sz w:val="14"/>
                <w:szCs w:val="14"/>
                <w:b w:val="1"/>
                <w:bCs w:val="1"/>
                <w:color w:val="auto"/>
              </w:rPr>
              <w:t>Description of Exhibit</w:t>
            </w:r>
          </w:p>
        </w:tc>
      </w:tr>
      <w:tr>
        <w:trPr>
          <w:trHeight w:val="20"/>
        </w:trPr>
        <w:tc>
          <w:tcPr>
            <w:tcW w:w="1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1160" w:type="dxa"/>
            <w:vAlign w:val="bottom"/>
            <w:gridSpan w:val="3"/>
          </w:tcPr>
          <w:p>
            <w:pPr>
              <w:spacing w:after="0"/>
              <w:rPr>
                <w:sz w:val="20"/>
                <w:szCs w:val="20"/>
                <w:color w:val="auto"/>
              </w:rPr>
            </w:pPr>
            <w:r>
              <w:rPr>
                <w:rFonts w:ascii="Arial" w:cs="Arial" w:eastAsia="Arial" w:hAnsi="Arial"/>
                <w:sz w:val="18"/>
                <w:szCs w:val="18"/>
                <w:color w:val="auto"/>
              </w:rPr>
              <w:t>10.15†</w:t>
            </w:r>
          </w:p>
        </w:tc>
        <w:tc>
          <w:tcPr>
            <w:tcW w:w="9040" w:type="dxa"/>
            <w:vAlign w:val="bottom"/>
            <w:tcBorders>
              <w:bottom w:val="single" w:sz="8" w:color="0000EE"/>
            </w:tcBorders>
            <w:gridSpan w:val="13"/>
          </w:tcPr>
          <w:p>
            <w:pPr>
              <w:spacing w:after="0"/>
              <w:rPr>
                <w:rFonts w:ascii="Arial" w:cs="Arial" w:eastAsia="Arial" w:hAnsi="Arial"/>
                <w:sz w:val="18"/>
                <w:szCs w:val="18"/>
                <w:color w:val="0000EE"/>
                <w:w w:val="90"/>
              </w:rPr>
            </w:pPr>
            <w:hyperlink r:id="rId43">
              <w:r>
                <w:rPr>
                  <w:rFonts w:ascii="Arial" w:cs="Arial" w:eastAsia="Arial" w:hAnsi="Arial"/>
                  <w:sz w:val="18"/>
                  <w:szCs w:val="18"/>
                  <w:color w:val="0000EE"/>
                  <w:w w:val="90"/>
                </w:rPr>
                <w:t>Transition Services Agreement, by and between Republic Wireless, Inc. and Bandwidth.com, Inc., dated November 30, 2016.</w:t>
              </w:r>
            </w:hyperlink>
          </w:p>
        </w:tc>
        <w:tc>
          <w:tcPr>
            <w:tcW w:w="1040" w:type="dxa"/>
            <w:vAlign w:val="bottom"/>
          </w:tcPr>
          <w:p>
            <w:pPr>
              <w:spacing w:after="0"/>
              <w:rPr>
                <w:sz w:val="22"/>
                <w:szCs w:val="22"/>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10.16†</w:t>
            </w:r>
          </w:p>
        </w:tc>
        <w:tc>
          <w:tcPr>
            <w:tcW w:w="10080" w:type="dxa"/>
            <w:vAlign w:val="bottom"/>
            <w:gridSpan w:val="14"/>
          </w:tcPr>
          <w:p>
            <w:pPr>
              <w:spacing w:after="0"/>
              <w:rPr>
                <w:rFonts w:ascii="Arial" w:cs="Arial" w:eastAsia="Arial" w:hAnsi="Arial"/>
                <w:sz w:val="18"/>
                <w:szCs w:val="18"/>
                <w:color w:val="0000EE"/>
              </w:rPr>
            </w:pPr>
            <w:hyperlink r:id="rId44">
              <w:r>
                <w:rPr>
                  <w:rFonts w:ascii="Arial" w:cs="Arial" w:eastAsia="Arial" w:hAnsi="Arial"/>
                  <w:sz w:val="18"/>
                  <w:szCs w:val="18"/>
                  <w:color w:val="0000EE"/>
                </w:rPr>
                <w:t>Tax Sharing Agreement, by and between Bandwidth.com, Inc. and Republic Wireless, Inc., dated November 30, 2016.</w:t>
              </w:r>
            </w:hyperlink>
          </w:p>
        </w:tc>
      </w:tr>
      <w:tr>
        <w:trPr>
          <w:trHeight w:val="20"/>
        </w:trPr>
        <w:tc>
          <w:tcPr>
            <w:tcW w:w="11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10.17†</w:t>
            </w:r>
          </w:p>
        </w:tc>
        <w:tc>
          <w:tcPr>
            <w:tcW w:w="8980" w:type="dxa"/>
            <w:vAlign w:val="bottom"/>
            <w:tcBorders>
              <w:bottom w:val="single" w:sz="8" w:color="0000EE"/>
            </w:tcBorders>
            <w:gridSpan w:val="12"/>
          </w:tcPr>
          <w:p>
            <w:pPr>
              <w:spacing w:after="0"/>
              <w:rPr>
                <w:rFonts w:ascii="Arial" w:cs="Arial" w:eastAsia="Arial" w:hAnsi="Arial"/>
                <w:sz w:val="18"/>
                <w:szCs w:val="18"/>
                <w:color w:val="0000EE"/>
                <w:w w:val="90"/>
              </w:rPr>
            </w:pPr>
            <w:hyperlink r:id="rId45">
              <w:r>
                <w:rPr>
                  <w:rFonts w:ascii="Arial" w:cs="Arial" w:eastAsia="Arial" w:hAnsi="Arial"/>
                  <w:sz w:val="18"/>
                  <w:szCs w:val="18"/>
                  <w:color w:val="0000EE"/>
                  <w:w w:val="90"/>
                </w:rPr>
                <w:t>Employee Matters Agreement, by and between Bandwidth.com, Inc. and Republic Wireless, Inc., dated November 30, 2016.</w:t>
              </w:r>
            </w:hyperlink>
          </w:p>
        </w:tc>
        <w:tc>
          <w:tcPr>
            <w:tcW w:w="1100" w:type="dxa"/>
            <w:vAlign w:val="bottom"/>
            <w:gridSpan w:val="2"/>
          </w:tcPr>
          <w:p>
            <w:pPr>
              <w:spacing w:after="0"/>
              <w:rPr>
                <w:sz w:val="24"/>
                <w:szCs w:val="24"/>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10.18†</w:t>
            </w:r>
          </w:p>
        </w:tc>
        <w:tc>
          <w:tcPr>
            <w:tcW w:w="10080" w:type="dxa"/>
            <w:vAlign w:val="bottom"/>
            <w:gridSpan w:val="14"/>
          </w:tcPr>
          <w:p>
            <w:pPr>
              <w:spacing w:after="0"/>
              <w:rPr>
                <w:rFonts w:ascii="Arial" w:cs="Arial" w:eastAsia="Arial" w:hAnsi="Arial"/>
                <w:sz w:val="18"/>
                <w:szCs w:val="18"/>
                <w:color w:val="0000EE"/>
              </w:rPr>
            </w:pPr>
            <w:hyperlink r:id="rId46">
              <w:r>
                <w:rPr>
                  <w:rFonts w:ascii="Arial" w:cs="Arial" w:eastAsia="Arial" w:hAnsi="Arial"/>
                  <w:sz w:val="18"/>
                  <w:szCs w:val="18"/>
                  <w:color w:val="0000EE"/>
                </w:rPr>
                <w:t>Master Services Agreement, by and between Bandwidth.com, Inc. and Republic Wireless, Inc., dated November 30, 2016.</w:t>
              </w:r>
            </w:hyperlink>
          </w:p>
        </w:tc>
      </w:tr>
      <w:tr>
        <w:trPr>
          <w:trHeight w:val="20"/>
        </w:trPr>
        <w:tc>
          <w:tcPr>
            <w:tcW w:w="11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10.19†</w:t>
            </w:r>
          </w:p>
        </w:tc>
        <w:tc>
          <w:tcPr>
            <w:tcW w:w="10080" w:type="dxa"/>
            <w:vAlign w:val="bottom"/>
            <w:tcBorders>
              <w:bottom w:val="single" w:sz="8" w:color="0000EE"/>
            </w:tcBorders>
            <w:gridSpan w:val="14"/>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Master Service Agreement, by and between Level 3 Communications, LLC and Bandwidth.com, Inc, dated March 14, 2008, as amended to</w:t>
              </w:r>
            </w:hyperlink>
          </w:p>
        </w:tc>
      </w:tr>
      <w:tr>
        <w:trPr>
          <w:trHeight w:val="196"/>
        </w:trPr>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80" w:type="dxa"/>
            <w:vAlign w:val="bottom"/>
            <w:gridSpan w:val="14"/>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date.</w:t>
              </w:r>
            </w:hyperlink>
          </w:p>
        </w:tc>
      </w:tr>
      <w:tr>
        <w:trPr>
          <w:trHeight w:val="20"/>
        </w:trPr>
        <w:tc>
          <w:tcPr>
            <w:tcW w:w="11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10.20†</w:t>
            </w:r>
          </w:p>
        </w:tc>
        <w:tc>
          <w:tcPr>
            <w:tcW w:w="10080" w:type="dxa"/>
            <w:vAlign w:val="bottom"/>
            <w:gridSpan w:val="14"/>
          </w:tcPr>
          <w:p>
            <w:pPr>
              <w:spacing w:after="0"/>
              <w:rPr>
                <w:rFonts w:ascii="Arial" w:cs="Arial" w:eastAsia="Arial" w:hAnsi="Arial"/>
                <w:sz w:val="18"/>
                <w:szCs w:val="18"/>
                <w:color w:val="0000EE"/>
              </w:rPr>
            </w:pPr>
            <w:hyperlink r:id="rId48">
              <w:r>
                <w:rPr>
                  <w:rFonts w:ascii="Arial" w:cs="Arial" w:eastAsia="Arial" w:hAnsi="Arial"/>
                  <w:sz w:val="18"/>
                  <w:szCs w:val="18"/>
                  <w:color w:val="0000EE"/>
                </w:rPr>
                <w:t>Form of Conversion Lock-up Agreement between Bandwidth Inc. and the Key Holders.</w:t>
              </w:r>
            </w:hyperlink>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10.21†</w:t>
            </w:r>
          </w:p>
        </w:tc>
        <w:tc>
          <w:tcPr>
            <w:tcW w:w="6320" w:type="dxa"/>
            <w:vAlign w:val="bottom"/>
            <w:tcBorders>
              <w:top w:val="single" w:sz="8" w:color="0000EE"/>
            </w:tcBorders>
            <w:gridSpan w:val="9"/>
          </w:tcPr>
          <w:p>
            <w:pPr>
              <w:spacing w:after="0"/>
              <w:rPr>
                <w:rFonts w:ascii="Arial" w:cs="Arial" w:eastAsia="Arial" w:hAnsi="Arial"/>
                <w:sz w:val="18"/>
                <w:szCs w:val="18"/>
                <w:color w:val="0000EE"/>
              </w:rPr>
            </w:pPr>
            <w:hyperlink r:id="rId49">
              <w:r>
                <w:rPr>
                  <w:rFonts w:ascii="Arial" w:cs="Arial" w:eastAsia="Arial" w:hAnsi="Arial"/>
                  <w:sz w:val="18"/>
                  <w:szCs w:val="18"/>
                  <w:color w:val="0000EE"/>
                </w:rPr>
                <w:t>2017 Incentive Award Plan, and forms of award agreements thereunder.</w:t>
              </w:r>
            </w:hyperlink>
          </w:p>
        </w:tc>
        <w:tc>
          <w:tcPr>
            <w:tcW w:w="3760" w:type="dxa"/>
            <w:vAlign w:val="bottom"/>
            <w:gridSpan w:val="5"/>
          </w:tcPr>
          <w:p>
            <w:pPr>
              <w:spacing w:after="0"/>
              <w:rPr>
                <w:sz w:val="24"/>
                <w:szCs w:val="24"/>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21.1†</w:t>
            </w:r>
          </w:p>
        </w:tc>
        <w:tc>
          <w:tcPr>
            <w:tcW w:w="2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List of subsidiaries of Bandwidth Inc.</w:t>
              </w:r>
            </w:hyperlink>
          </w:p>
        </w:tc>
        <w:tc>
          <w:tcPr>
            <w:tcW w:w="2440" w:type="dxa"/>
            <w:vAlign w:val="bottom"/>
            <w:tcBorders>
              <w:top w:val="single" w:sz="8" w:color="0000EE"/>
            </w:tcBorders>
            <w:gridSpan w:val="4"/>
          </w:tcPr>
          <w:p>
            <w:pPr>
              <w:spacing w:after="0"/>
              <w:rPr>
                <w:sz w:val="24"/>
                <w:szCs w:val="24"/>
                <w:color w:val="auto"/>
              </w:rPr>
            </w:pPr>
          </w:p>
        </w:tc>
        <w:tc>
          <w:tcPr>
            <w:tcW w:w="4920" w:type="dxa"/>
            <w:vAlign w:val="bottom"/>
            <w:gridSpan w:val="7"/>
          </w:tcPr>
          <w:p>
            <w:pPr>
              <w:spacing w:after="0"/>
              <w:rPr>
                <w:sz w:val="24"/>
                <w:szCs w:val="24"/>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23.1†</w:t>
            </w:r>
          </w:p>
        </w:tc>
        <w:tc>
          <w:tcPr>
            <w:tcW w:w="5880" w:type="dxa"/>
            <w:vAlign w:val="bottom"/>
            <w:tcBorders>
              <w:bottom w:val="single" w:sz="8" w:color="0000EE"/>
            </w:tcBorders>
            <w:gridSpan w:val="8"/>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Consent of Ernst &amp; Young LLP, Independent Registered Public Accounting Firm.</w:t>
              </w:r>
            </w:hyperlink>
          </w:p>
        </w:tc>
        <w:tc>
          <w:tcPr>
            <w:tcW w:w="4200" w:type="dxa"/>
            <w:vAlign w:val="bottom"/>
            <w:gridSpan w:val="6"/>
          </w:tcPr>
          <w:p>
            <w:pPr>
              <w:spacing w:after="0"/>
              <w:rPr>
                <w:sz w:val="24"/>
                <w:szCs w:val="24"/>
                <w:color w:val="auto"/>
              </w:rPr>
            </w:pPr>
          </w:p>
        </w:tc>
      </w:tr>
      <w:tr>
        <w:trPr>
          <w:trHeight w:val="304"/>
        </w:trPr>
        <w:tc>
          <w:tcPr>
            <w:tcW w:w="600" w:type="dxa"/>
            <w:vAlign w:val="bottom"/>
            <w:gridSpan w:val="2"/>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44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3"/>
              </w:rPr>
              <w:t>Consent of Latham &amp; Watkins LLP (included in Exhibit 5.1).</w:t>
            </w:r>
          </w:p>
        </w:tc>
        <w:tc>
          <w:tcPr>
            <w:tcW w:w="5660" w:type="dxa"/>
            <w:vAlign w:val="bottom"/>
            <w:gridSpan w:val="8"/>
          </w:tcPr>
          <w:p>
            <w:pPr>
              <w:spacing w:after="0"/>
              <w:rPr>
                <w:sz w:val="24"/>
                <w:szCs w:val="24"/>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23.3†</w:t>
            </w:r>
          </w:p>
        </w:tc>
        <w:tc>
          <w:tcPr>
            <w:tcW w:w="3600" w:type="dxa"/>
            <w:vAlign w:val="bottom"/>
            <w:tcBorders>
              <w:bottom w:val="single" w:sz="8" w:color="0000EE"/>
            </w:tcBorders>
            <w:gridSpan w:val="5"/>
          </w:tcPr>
          <w:p>
            <w:pPr>
              <w:spacing w:after="0"/>
              <w:rPr>
                <w:rFonts w:ascii="Arial" w:cs="Arial" w:eastAsia="Arial" w:hAnsi="Arial"/>
                <w:sz w:val="18"/>
                <w:szCs w:val="18"/>
                <w:color w:val="0000EE"/>
                <w:w w:val="92"/>
              </w:rPr>
            </w:pPr>
            <w:hyperlink r:id="rId52">
              <w:r>
                <w:rPr>
                  <w:rFonts w:ascii="Arial" w:cs="Arial" w:eastAsia="Arial" w:hAnsi="Arial"/>
                  <w:sz w:val="18"/>
                  <w:szCs w:val="18"/>
                  <w:color w:val="0000EE"/>
                  <w:w w:val="92"/>
                </w:rPr>
                <w:t>Consent of Kilpatrick Townsend &amp; Stockton LLP.</w:t>
              </w:r>
            </w:hyperlink>
          </w:p>
        </w:tc>
        <w:tc>
          <w:tcPr>
            <w:tcW w:w="6480" w:type="dxa"/>
            <w:vAlign w:val="bottom"/>
            <w:gridSpan w:val="9"/>
          </w:tcPr>
          <w:p>
            <w:pPr>
              <w:spacing w:after="0"/>
              <w:rPr>
                <w:sz w:val="24"/>
                <w:szCs w:val="24"/>
                <w:color w:val="auto"/>
              </w:rPr>
            </w:pPr>
          </w:p>
        </w:tc>
      </w:tr>
      <w:tr>
        <w:trPr>
          <w:trHeight w:val="304"/>
        </w:trPr>
        <w:tc>
          <w:tcPr>
            <w:tcW w:w="1160" w:type="dxa"/>
            <w:vAlign w:val="bottom"/>
            <w:gridSpan w:val="3"/>
          </w:tcPr>
          <w:p>
            <w:pPr>
              <w:spacing w:after="0"/>
              <w:rPr>
                <w:sz w:val="20"/>
                <w:szCs w:val="20"/>
                <w:color w:val="auto"/>
              </w:rPr>
            </w:pPr>
            <w:r>
              <w:rPr>
                <w:rFonts w:ascii="Arial" w:cs="Arial" w:eastAsia="Arial" w:hAnsi="Arial"/>
                <w:sz w:val="18"/>
                <w:szCs w:val="18"/>
                <w:color w:val="auto"/>
              </w:rPr>
              <w:t>24.1†</w:t>
            </w:r>
          </w:p>
        </w:tc>
        <w:tc>
          <w:tcPr>
            <w:tcW w:w="3480" w:type="dxa"/>
            <w:vAlign w:val="bottom"/>
            <w:tcBorders>
              <w:bottom w:val="single" w:sz="8" w:color="0000EE"/>
            </w:tcBorders>
            <w:gridSpan w:val="4"/>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Power of Attorney (included on signature page).</w:t>
              </w:r>
            </w:hyperlink>
          </w:p>
        </w:tc>
        <w:tc>
          <w:tcPr>
            <w:tcW w:w="6600" w:type="dxa"/>
            <w:vAlign w:val="bottom"/>
            <w:gridSpan w:val="10"/>
          </w:tcPr>
          <w:p>
            <w:pPr>
              <w:spacing w:after="0"/>
              <w:rPr>
                <w:sz w:val="24"/>
                <w:szCs w:val="24"/>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253" w:right="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on Form S-1 to be signed on its behalf by the undersigned, thereunto duly authorized, in Raleigh, North Carolina, on the 30th day of October, 2017.</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BANDWIDTH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A. Morken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Cofounder, Chief Executive Officer and Chairman</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w w:val="92"/>
              </w:rPr>
              <w:t>Signature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0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5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411"/>
              <w:spacing w:after="0"/>
              <w:rPr>
                <w:sz w:val="20"/>
                <w:szCs w:val="20"/>
                <w:color w:val="auto"/>
              </w:rPr>
            </w:pPr>
            <w:r>
              <w:rPr>
                <w:rFonts w:ascii="Arial" w:cs="Arial" w:eastAsia="Arial" w:hAnsi="Arial"/>
                <w:sz w:val="18"/>
                <w:szCs w:val="18"/>
                <w:color w:val="auto"/>
                <w:w w:val="94"/>
              </w:rPr>
              <w:t>/s/ David A. Morken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98"/>
              </w:rPr>
              <w:t xml:space="preserve">Cofounder, Chief Executive Officer and Chairman </w:t>
            </w:r>
            <w:r>
              <w:rPr>
                <w:rFonts w:ascii="Arial" w:cs="Arial" w:eastAsia="Arial" w:hAnsi="Arial"/>
                <w:sz w:val="18"/>
                <w:szCs w:val="18"/>
                <w:i w:val="1"/>
                <w:iCs w:val="1"/>
                <w:color w:val="auto"/>
                <w:w w:val="98"/>
              </w:rPr>
              <w:t>(Principal</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11"/>
              <w:spacing w:after="0"/>
              <w:rPr>
                <w:sz w:val="20"/>
                <w:szCs w:val="20"/>
                <w:color w:val="auto"/>
              </w:rPr>
            </w:pPr>
            <w:r>
              <w:rPr>
                <w:rFonts w:ascii="Arial" w:cs="Arial" w:eastAsia="Arial" w:hAnsi="Arial"/>
                <w:sz w:val="18"/>
                <w:szCs w:val="18"/>
                <w:color w:val="auto"/>
                <w:w w:val="96"/>
              </w:rPr>
              <w:t>David A. Morken</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Officer)</w:t>
            </w:r>
          </w:p>
        </w:tc>
        <w:tc>
          <w:tcPr>
            <w:tcW w:w="2100" w:type="dxa"/>
            <w:vAlign w:val="bottom"/>
          </w:tcPr>
          <w:p>
            <w:pPr>
              <w:spacing w:after="0"/>
              <w:rPr>
                <w:sz w:val="19"/>
                <w:szCs w:val="19"/>
                <w:color w:val="auto"/>
              </w:rPr>
            </w:pPr>
          </w:p>
        </w:tc>
      </w:tr>
      <w:tr>
        <w:trPr>
          <w:trHeight w:val="431"/>
        </w:trPr>
        <w:tc>
          <w:tcPr>
            <w:tcW w:w="5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431"/>
              <w:spacing w:after="0"/>
              <w:rPr>
                <w:sz w:val="20"/>
                <w:szCs w:val="20"/>
                <w:color w:val="auto"/>
              </w:rPr>
            </w:pPr>
            <w:r>
              <w:rPr>
                <w:rFonts w:ascii="Arial" w:cs="Arial" w:eastAsia="Arial" w:hAnsi="Arial"/>
                <w:sz w:val="18"/>
                <w:szCs w:val="18"/>
                <w:color w:val="auto"/>
                <w:w w:val="93"/>
              </w:rPr>
              <w:t>/s/ Jeffrey A. Hoffman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11"/>
              <w:spacing w:after="0"/>
              <w:rPr>
                <w:sz w:val="20"/>
                <w:szCs w:val="20"/>
                <w:color w:val="auto"/>
              </w:rPr>
            </w:pPr>
            <w:r>
              <w:rPr>
                <w:rFonts w:ascii="Arial" w:cs="Arial" w:eastAsia="Arial" w:hAnsi="Arial"/>
                <w:sz w:val="18"/>
                <w:szCs w:val="18"/>
                <w:color w:val="auto"/>
                <w:w w:val="93"/>
              </w:rPr>
              <w:t>Jeffrey A. Hoffman</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Accounting Officer)</w:t>
            </w:r>
          </w:p>
        </w:tc>
        <w:tc>
          <w:tcPr>
            <w:tcW w:w="2100" w:type="dxa"/>
            <w:vAlign w:val="bottom"/>
          </w:tcPr>
          <w:p>
            <w:pPr>
              <w:spacing w:after="0"/>
              <w:rPr>
                <w:sz w:val="19"/>
                <w:szCs w:val="19"/>
                <w:color w:val="auto"/>
              </w:rPr>
            </w:pPr>
          </w:p>
        </w:tc>
      </w:tr>
      <w:tr>
        <w:trPr>
          <w:trHeight w:val="431"/>
        </w:trPr>
        <w:tc>
          <w:tcPr>
            <w:tcW w:w="5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center"/>
              <w:ind w:right="411"/>
              <w:spacing w:after="0"/>
              <w:rPr>
                <w:sz w:val="20"/>
                <w:szCs w:val="20"/>
                <w:color w:val="auto"/>
              </w:rPr>
            </w:pPr>
            <w:r>
              <w:rPr>
                <w:rFonts w:ascii="Arial" w:cs="Arial" w:eastAsia="Arial" w:hAnsi="Arial"/>
                <w:sz w:val="18"/>
                <w:szCs w:val="18"/>
                <w:color w:val="auto"/>
                <w:w w:val="92"/>
              </w:rPr>
              <w:t>/s/ John C. Murdock</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31"/>
              <w:spacing w:after="0"/>
              <w:rPr>
                <w:sz w:val="20"/>
                <w:szCs w:val="20"/>
                <w:color w:val="auto"/>
              </w:rPr>
            </w:pPr>
            <w:r>
              <w:rPr>
                <w:rFonts w:ascii="Arial" w:cs="Arial" w:eastAsia="Arial" w:hAnsi="Arial"/>
                <w:sz w:val="18"/>
                <w:szCs w:val="18"/>
                <w:color w:val="auto"/>
                <w:w w:val="92"/>
              </w:rPr>
              <w:t>John C. Murdock</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Cofounder and 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31"/>
              <w:spacing w:after="0"/>
              <w:rPr>
                <w:sz w:val="20"/>
                <w:szCs w:val="20"/>
                <w:color w:val="auto"/>
              </w:rPr>
            </w:pPr>
            <w:r>
              <w:rPr>
                <w:rFonts w:ascii="Arial" w:cs="Arial" w:eastAsia="Arial" w:hAnsi="Arial"/>
                <w:sz w:val="18"/>
                <w:szCs w:val="18"/>
                <w:color w:val="auto"/>
                <w:w w:val="90"/>
              </w:rPr>
              <w:t>Henry R. Kaestner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31"/>
              <w:spacing w:after="0"/>
              <w:rPr>
                <w:sz w:val="20"/>
                <w:szCs w:val="20"/>
                <w:color w:val="auto"/>
              </w:rPr>
            </w:pPr>
            <w:r>
              <w:rPr>
                <w:rFonts w:ascii="Arial" w:cs="Arial" w:eastAsia="Arial" w:hAnsi="Arial"/>
                <w:sz w:val="18"/>
                <w:szCs w:val="18"/>
                <w:color w:val="auto"/>
                <w:w w:val="95"/>
              </w:rPr>
              <w:t>Brian D. Bailey</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31"/>
        </w:trPr>
        <w:tc>
          <w:tcPr>
            <w:tcW w:w="4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October 30, 2017</w:t>
            </w:r>
          </w:p>
        </w:tc>
      </w:tr>
      <w:tr>
        <w:trPr>
          <w:trHeight w:val="224"/>
        </w:trPr>
        <w:tc>
          <w:tcPr>
            <w:tcW w:w="520" w:type="dxa"/>
            <w:vAlign w:val="bottom"/>
          </w:tcPr>
          <w:p>
            <w:pPr>
              <w:spacing w:after="0"/>
              <w:rPr>
                <w:sz w:val="19"/>
                <w:szCs w:val="19"/>
                <w:color w:val="auto"/>
              </w:rPr>
            </w:pPr>
          </w:p>
        </w:tc>
        <w:tc>
          <w:tcPr>
            <w:tcW w:w="3980" w:type="dxa"/>
            <w:vAlign w:val="bottom"/>
          </w:tcPr>
          <w:p>
            <w:pPr>
              <w:jc w:val="center"/>
              <w:ind w:right="431"/>
              <w:spacing w:after="0"/>
              <w:rPr>
                <w:sz w:val="20"/>
                <w:szCs w:val="20"/>
                <w:color w:val="auto"/>
              </w:rPr>
            </w:pPr>
            <w:r>
              <w:rPr>
                <w:rFonts w:ascii="Arial" w:cs="Arial" w:eastAsia="Arial" w:hAnsi="Arial"/>
                <w:sz w:val="18"/>
                <w:szCs w:val="18"/>
                <w:color w:val="auto"/>
                <w:w w:val="91"/>
              </w:rPr>
              <w:t>Douglas A. Suriano</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58"/>
        </w:trPr>
        <w:tc>
          <w:tcPr>
            <w:tcW w:w="4500" w:type="dxa"/>
            <w:vAlign w:val="bottom"/>
            <w:gridSpan w:val="2"/>
          </w:tcPr>
          <w:p>
            <w:pPr>
              <w:spacing w:after="0"/>
              <w:rPr>
                <w:sz w:val="20"/>
                <w:szCs w:val="20"/>
                <w:color w:val="auto"/>
              </w:rPr>
            </w:pPr>
            <w:r>
              <w:rPr>
                <w:rFonts w:ascii="Arial" w:cs="Arial" w:eastAsia="Arial" w:hAnsi="Arial"/>
                <w:sz w:val="18"/>
                <w:szCs w:val="18"/>
                <w:color w:val="auto"/>
              </w:rPr>
              <w:t>*By:  /s/ W. Christopher Matton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W. Christopher Matton</w:t>
            </w: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General Counsel</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65"/>
        </w:trPr>
        <w:tc>
          <w:tcPr>
            <w:tcW w:w="5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00" w:type="dxa"/>
            <w:vAlign w:val="bottom"/>
            <w:gridSpan w:val="2"/>
          </w:tcPr>
          <w:p>
            <w:pPr>
              <w:ind w:left="960"/>
              <w:spacing w:after="0"/>
              <w:rPr>
                <w:sz w:val="20"/>
                <w:szCs w:val="20"/>
                <w:color w:val="auto"/>
              </w:rPr>
            </w:pPr>
            <w:r>
              <w:rPr>
                <w:rFonts w:ascii="Arial" w:cs="Arial" w:eastAsia="Arial" w:hAnsi="Arial"/>
                <w:sz w:val="18"/>
                <w:szCs w:val="18"/>
                <w:color w:val="auto"/>
              </w:rPr>
              <w:t>II-6</w:t>
            </w:r>
          </w:p>
        </w:tc>
        <w:tc>
          <w:tcPr>
            <w:tcW w:w="2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51" w:lineRule="exact"/>
        <w:rPr>
          <w:sz w:val="20"/>
          <w:szCs w:val="20"/>
          <w:color w:val="auto"/>
        </w:rPr>
      </w:pPr>
    </w:p>
    <w:p>
      <w:pPr>
        <w:ind w:left="6260"/>
        <w:spacing w:after="0"/>
        <w:rPr>
          <w:sz w:val="20"/>
          <w:szCs w:val="20"/>
          <w:color w:val="auto"/>
        </w:rPr>
      </w:pPr>
      <w:r>
        <w:rPr>
          <w:rFonts w:ascii="Arial" w:cs="Arial" w:eastAsia="Arial" w:hAnsi="Arial"/>
          <w:sz w:val="14"/>
          <w:szCs w:val="14"/>
          <w:color w:val="auto"/>
        </w:rPr>
        <w:t>53rd at Third</w:t>
      </w:r>
    </w:p>
    <w:p>
      <w:pPr>
        <w:ind w:left="6260"/>
        <w:spacing w:after="0" w:line="221" w:lineRule="auto"/>
        <w:rPr>
          <w:sz w:val="20"/>
          <w:szCs w:val="20"/>
          <w:color w:val="auto"/>
        </w:rPr>
      </w:pPr>
      <w:r>
        <w:rPr>
          <w:rFonts w:ascii="Arial" w:cs="Arial" w:eastAsia="Arial" w:hAnsi="Arial"/>
          <w:sz w:val="14"/>
          <w:szCs w:val="14"/>
          <w:color w:val="auto"/>
        </w:rPr>
        <w:t>885 Third Avenue</w:t>
      </w:r>
    </w:p>
    <w:p>
      <w:pPr>
        <w:ind w:left="6260"/>
        <w:spacing w:after="0" w:line="221" w:lineRule="auto"/>
        <w:rPr>
          <w:sz w:val="20"/>
          <w:szCs w:val="20"/>
          <w:color w:val="auto"/>
        </w:rPr>
      </w:pPr>
      <w:r>
        <w:rPr>
          <w:rFonts w:ascii="Arial" w:cs="Arial" w:eastAsia="Arial" w:hAnsi="Arial"/>
          <w:sz w:val="14"/>
          <w:szCs w:val="14"/>
          <w:color w:val="auto"/>
        </w:rPr>
        <w:t>New York, New York 10022-4834</w:t>
      </w:r>
    </w:p>
    <w:p>
      <w:pPr>
        <w:ind w:left="6260"/>
        <w:spacing w:after="0" w:line="222" w:lineRule="auto"/>
        <w:rPr>
          <w:sz w:val="20"/>
          <w:szCs w:val="20"/>
          <w:color w:val="auto"/>
        </w:rPr>
      </w:pPr>
      <w:r>
        <w:rPr>
          <w:rFonts w:ascii="Arial" w:cs="Arial" w:eastAsia="Arial" w:hAnsi="Arial"/>
          <w:sz w:val="14"/>
          <w:szCs w:val="14"/>
          <w:color w:val="auto"/>
        </w:rPr>
        <w:t>Tel: +1.212.906.1200 Fax: +1.212.751.4864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-89535</wp:posOffset>
            </wp:positionV>
            <wp:extent cx="180975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extLst>
                    </a:blip>
                    <a:srcRect/>
                    <a:stretch>
                      <a:fillRect/>
                    </a:stretch>
                  </pic:blipFill>
                  <pic:spPr bwMode="auto">
                    <a:xfrm>
                      <a:off x="0" y="0"/>
                      <a:ext cx="1809750" cy="19748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4"/>
          <w:szCs w:val="14"/>
          <w:color w:val="auto"/>
        </w:rPr>
        <w:t>www.lw.com</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660" w:type="dxa"/>
            <w:vAlign w:val="bottom"/>
            <w:gridSpan w:val="2"/>
          </w:tcPr>
          <w:p>
            <w:pPr>
              <w:ind w:left="2500"/>
              <w:spacing w:after="0"/>
              <w:rPr>
                <w:sz w:val="20"/>
                <w:szCs w:val="20"/>
                <w:color w:val="auto"/>
              </w:rPr>
            </w:pPr>
            <w:r>
              <w:rPr>
                <w:rFonts w:ascii="Arial" w:cs="Arial" w:eastAsia="Arial" w:hAnsi="Arial"/>
                <w:sz w:val="14"/>
                <w:szCs w:val="14"/>
                <w:color w:val="auto"/>
              </w:rPr>
              <w:t>FIRM / AFFILIATE OFFICES</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Barcelona</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Moscow</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Beijing</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Munich</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Boston</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New York</w:t>
            </w:r>
          </w:p>
        </w:tc>
      </w:tr>
      <w:tr>
        <w:trPr>
          <w:trHeight w:val="181"/>
        </w:trPr>
        <w:tc>
          <w:tcPr>
            <w:tcW w:w="3760" w:type="dxa"/>
            <w:vAlign w:val="bottom"/>
          </w:tcPr>
          <w:p>
            <w:pPr>
              <w:spacing w:after="0" w:line="181" w:lineRule="exact"/>
              <w:rPr>
                <w:sz w:val="20"/>
                <w:szCs w:val="20"/>
                <w:color w:val="auto"/>
              </w:rPr>
            </w:pPr>
            <w:r>
              <w:rPr>
                <w:rFonts w:ascii="Arial" w:cs="Arial" w:eastAsia="Arial" w:hAnsi="Arial"/>
                <w:sz w:val="18"/>
                <w:szCs w:val="18"/>
                <w:color w:val="auto"/>
              </w:rPr>
              <w:t>October 30, 2017</w:t>
            </w:r>
          </w:p>
        </w:tc>
        <w:tc>
          <w:tcPr>
            <w:tcW w:w="3440" w:type="dxa"/>
            <w:vAlign w:val="bottom"/>
          </w:tcPr>
          <w:p>
            <w:pPr>
              <w:ind w:left="2500"/>
              <w:spacing w:after="0"/>
              <w:rPr>
                <w:sz w:val="20"/>
                <w:szCs w:val="20"/>
                <w:color w:val="auto"/>
              </w:rPr>
            </w:pPr>
            <w:r>
              <w:rPr>
                <w:rFonts w:ascii="Arial" w:cs="Arial" w:eastAsia="Arial" w:hAnsi="Arial"/>
                <w:sz w:val="14"/>
                <w:szCs w:val="14"/>
                <w:color w:val="auto"/>
              </w:rPr>
              <w:t>Brussels</w:t>
            </w:r>
          </w:p>
        </w:tc>
        <w:tc>
          <w:tcPr>
            <w:tcW w:w="1220" w:type="dxa"/>
            <w:vAlign w:val="bottom"/>
          </w:tcPr>
          <w:p>
            <w:pPr>
              <w:ind w:left="200"/>
              <w:spacing w:after="0"/>
              <w:rPr>
                <w:sz w:val="20"/>
                <w:szCs w:val="20"/>
                <w:color w:val="auto"/>
              </w:rPr>
            </w:pPr>
            <w:r>
              <w:rPr>
                <w:rFonts w:ascii="Arial" w:cs="Arial" w:eastAsia="Arial" w:hAnsi="Arial"/>
                <w:sz w:val="14"/>
                <w:szCs w:val="14"/>
                <w:color w:val="auto"/>
              </w:rPr>
              <w:t>Orange County</w:t>
            </w:r>
          </w:p>
        </w:tc>
      </w:tr>
      <w:tr>
        <w:trPr>
          <w:trHeight w:val="116"/>
        </w:trPr>
        <w:tc>
          <w:tcPr>
            <w:tcW w:w="3760" w:type="dxa"/>
            <w:vAlign w:val="bottom"/>
          </w:tcPr>
          <w:p>
            <w:pPr>
              <w:spacing w:after="0"/>
              <w:rPr>
                <w:sz w:val="10"/>
                <w:szCs w:val="10"/>
                <w:color w:val="auto"/>
              </w:rPr>
            </w:pPr>
          </w:p>
        </w:tc>
        <w:tc>
          <w:tcPr>
            <w:tcW w:w="3440" w:type="dxa"/>
            <w:vAlign w:val="bottom"/>
          </w:tcPr>
          <w:p>
            <w:pPr>
              <w:ind w:left="2500"/>
              <w:spacing w:after="0" w:line="116" w:lineRule="exact"/>
              <w:rPr>
                <w:sz w:val="20"/>
                <w:szCs w:val="20"/>
                <w:color w:val="auto"/>
              </w:rPr>
            </w:pPr>
            <w:r>
              <w:rPr>
                <w:rFonts w:ascii="Arial" w:cs="Arial" w:eastAsia="Arial" w:hAnsi="Arial"/>
                <w:sz w:val="13"/>
                <w:szCs w:val="13"/>
                <w:color w:val="auto"/>
              </w:rPr>
              <w:t>Century City</w:t>
            </w:r>
          </w:p>
        </w:tc>
        <w:tc>
          <w:tcPr>
            <w:tcW w:w="1220" w:type="dxa"/>
            <w:vAlign w:val="bottom"/>
          </w:tcPr>
          <w:p>
            <w:pPr>
              <w:ind w:left="200"/>
              <w:spacing w:after="0" w:line="116" w:lineRule="exact"/>
              <w:rPr>
                <w:sz w:val="20"/>
                <w:szCs w:val="20"/>
                <w:color w:val="auto"/>
              </w:rPr>
            </w:pPr>
            <w:r>
              <w:rPr>
                <w:rFonts w:ascii="Arial" w:cs="Arial" w:eastAsia="Arial" w:hAnsi="Arial"/>
                <w:sz w:val="13"/>
                <w:szCs w:val="13"/>
                <w:color w:val="auto"/>
              </w:rPr>
              <w:t>Paris</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Chicago</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Riyadh</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Dubai</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Rome</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Düsseldorf</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San Diego</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Frankfurt</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San Francisco</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Hamburg</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Seoul</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Hong Kong</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Shanghai</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Houston</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Silicon Valley</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London</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Singapore</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Los Angeles</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rPr>
              <w:t>Tokyo</w:t>
            </w:r>
          </w:p>
        </w:tc>
      </w:tr>
      <w:tr>
        <w:trPr>
          <w:trHeight w:val="149"/>
        </w:trPr>
        <w:tc>
          <w:tcPr>
            <w:tcW w:w="3760" w:type="dxa"/>
            <w:vAlign w:val="bottom"/>
          </w:tcPr>
          <w:p>
            <w:pPr>
              <w:spacing w:after="0"/>
              <w:rPr>
                <w:sz w:val="12"/>
                <w:szCs w:val="12"/>
                <w:color w:val="auto"/>
              </w:rPr>
            </w:pPr>
          </w:p>
        </w:tc>
        <w:tc>
          <w:tcPr>
            <w:tcW w:w="3440" w:type="dxa"/>
            <w:vAlign w:val="bottom"/>
          </w:tcPr>
          <w:p>
            <w:pPr>
              <w:ind w:left="2500"/>
              <w:spacing w:after="0" w:line="149" w:lineRule="exact"/>
              <w:rPr>
                <w:sz w:val="20"/>
                <w:szCs w:val="20"/>
                <w:color w:val="auto"/>
              </w:rPr>
            </w:pPr>
            <w:r>
              <w:rPr>
                <w:rFonts w:ascii="Arial" w:cs="Arial" w:eastAsia="Arial" w:hAnsi="Arial"/>
                <w:sz w:val="14"/>
                <w:szCs w:val="14"/>
                <w:color w:val="auto"/>
              </w:rPr>
              <w:t>Madrid</w:t>
            </w:r>
          </w:p>
        </w:tc>
        <w:tc>
          <w:tcPr>
            <w:tcW w:w="1220" w:type="dxa"/>
            <w:vAlign w:val="bottom"/>
          </w:tcPr>
          <w:p>
            <w:pPr>
              <w:ind w:left="200"/>
              <w:spacing w:after="0" w:line="149" w:lineRule="exact"/>
              <w:rPr>
                <w:sz w:val="20"/>
                <w:szCs w:val="20"/>
                <w:color w:val="auto"/>
              </w:rPr>
            </w:pPr>
            <w:r>
              <w:rPr>
                <w:rFonts w:ascii="Arial" w:cs="Arial" w:eastAsia="Arial" w:hAnsi="Arial"/>
                <w:sz w:val="14"/>
                <w:szCs w:val="14"/>
                <w:color w:val="auto"/>
                <w:w w:val="91"/>
              </w:rPr>
              <w:t>Washington, D.C.</w:t>
            </w:r>
          </w:p>
        </w:tc>
      </w:tr>
      <w:tr>
        <w:trPr>
          <w:trHeight w:val="182"/>
        </w:trPr>
        <w:tc>
          <w:tcPr>
            <w:tcW w:w="3760" w:type="dxa"/>
            <w:vAlign w:val="bottom"/>
          </w:tcPr>
          <w:p>
            <w:pPr>
              <w:spacing w:after="0"/>
              <w:rPr>
                <w:sz w:val="15"/>
                <w:szCs w:val="15"/>
                <w:color w:val="auto"/>
              </w:rPr>
            </w:pPr>
          </w:p>
        </w:tc>
        <w:tc>
          <w:tcPr>
            <w:tcW w:w="3440" w:type="dxa"/>
            <w:vAlign w:val="bottom"/>
          </w:tcPr>
          <w:p>
            <w:pPr>
              <w:ind w:left="2500"/>
              <w:spacing w:after="0"/>
              <w:rPr>
                <w:sz w:val="20"/>
                <w:szCs w:val="20"/>
                <w:color w:val="auto"/>
              </w:rPr>
            </w:pPr>
            <w:r>
              <w:rPr>
                <w:rFonts w:ascii="Arial" w:cs="Arial" w:eastAsia="Arial" w:hAnsi="Arial"/>
                <w:sz w:val="14"/>
                <w:szCs w:val="14"/>
                <w:color w:val="auto"/>
              </w:rPr>
              <w:t>Milan</w:t>
            </w:r>
          </w:p>
        </w:tc>
        <w:tc>
          <w:tcPr>
            <w:tcW w:w="1220" w:type="dxa"/>
            <w:vAlign w:val="bottom"/>
          </w:tcPr>
          <w:p>
            <w:pPr>
              <w:spacing w:after="0"/>
              <w:rPr>
                <w:sz w:val="15"/>
                <w:szCs w:val="15"/>
                <w:color w:val="auto"/>
              </w:rPr>
            </w:pPr>
          </w:p>
        </w:tc>
      </w:tr>
    </w:tbl>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Bandwidth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900 Main Campus Drive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Raleigh, NC 27606</w:t>
      </w:r>
    </w:p>
    <w:p>
      <w:pPr>
        <w:spacing w:after="0" w:line="238"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6"/>
          <w:szCs w:val="16"/>
          <w:i w:val="1"/>
          <w:iCs w:val="1"/>
          <w:color w:val="auto"/>
        </w:rPr>
        <w:t>Registration Statement No. 333-220945; 4,600,000 shares of Class A Common Stock, par value $0.001 per share, of Bandwidth Inc.</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200" w:right="100" w:firstLine="420"/>
        <w:spacing w:after="0" w:line="287" w:lineRule="auto"/>
        <w:rPr>
          <w:sz w:val="20"/>
          <w:szCs w:val="20"/>
          <w:color w:val="auto"/>
        </w:rPr>
      </w:pPr>
      <w:r>
        <w:rPr>
          <w:rFonts w:ascii="Arial" w:cs="Arial" w:eastAsia="Arial" w:hAnsi="Arial"/>
          <w:sz w:val="16"/>
          <w:szCs w:val="16"/>
          <w:color w:val="auto"/>
        </w:rPr>
        <w:t>We have acted as special counsel to Bandwidth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proposed issuance and sale by the Company and the sale by the selling stockholders (the “</w:t>
      </w:r>
      <w:r>
        <w:rPr>
          <w:rFonts w:ascii="Arial" w:cs="Arial" w:eastAsia="Arial" w:hAnsi="Arial"/>
          <w:sz w:val="16"/>
          <w:szCs w:val="16"/>
          <w:b w:val="1"/>
          <w:bCs w:val="1"/>
          <w:i w:val="1"/>
          <w:iCs w:val="1"/>
          <w:color w:val="auto"/>
        </w:rPr>
        <w:t>Selling Stockholders</w:t>
      </w:r>
      <w:r>
        <w:rPr>
          <w:rFonts w:ascii="Arial" w:cs="Arial" w:eastAsia="Arial" w:hAnsi="Arial"/>
          <w:sz w:val="16"/>
          <w:szCs w:val="16"/>
          <w:color w:val="auto"/>
        </w:rPr>
        <w:t>”) identified in the Registration Statement (as defined below) of up to 4,600,000 shares of Class A common stock, $0.001 par value per share, up to 4,417,500 shares of which are being offered by the Company (the “</w:t>
      </w:r>
      <w:r>
        <w:rPr>
          <w:rFonts w:ascii="Arial" w:cs="Arial" w:eastAsia="Arial" w:hAnsi="Arial"/>
          <w:sz w:val="16"/>
          <w:szCs w:val="16"/>
          <w:b w:val="1"/>
          <w:bCs w:val="1"/>
          <w:i w:val="1"/>
          <w:iCs w:val="1"/>
          <w:color w:val="auto"/>
        </w:rPr>
        <w:t>Company Shares</w:t>
      </w:r>
      <w:r>
        <w:rPr>
          <w:rFonts w:ascii="Arial" w:cs="Arial" w:eastAsia="Arial" w:hAnsi="Arial"/>
          <w:sz w:val="16"/>
          <w:szCs w:val="16"/>
          <w:color w:val="auto"/>
        </w:rPr>
        <w:t>”) and up to 182,500 shares of which are being offered by the Selling Stockholders (the “</w:t>
      </w:r>
      <w:r>
        <w:rPr>
          <w:rFonts w:ascii="Arial" w:cs="Arial" w:eastAsia="Arial" w:hAnsi="Arial"/>
          <w:sz w:val="16"/>
          <w:szCs w:val="16"/>
          <w:b w:val="1"/>
          <w:bCs w:val="1"/>
          <w:i w:val="1"/>
          <w:iCs w:val="1"/>
          <w:color w:val="auto"/>
        </w:rPr>
        <w:t>Selling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Stockholder Shares</w:t>
      </w:r>
      <w:r>
        <w:rPr>
          <w:rFonts w:ascii="Arial" w:cs="Arial" w:eastAsia="Arial" w:hAnsi="Arial"/>
          <w:sz w:val="16"/>
          <w:szCs w:val="16"/>
          <w:color w:val="auto"/>
        </w:rPr>
        <w:t>” and together with the Company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Shares are included in a registration statement on Form S-1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October 13, 2017 (Registration No. 333-220945)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73" w:lineRule="exact"/>
        <w:rPr>
          <w:sz w:val="20"/>
          <w:szCs w:val="20"/>
          <w:color w:val="auto"/>
        </w:rPr>
      </w:pPr>
    </w:p>
    <w:p>
      <w:pPr>
        <w:ind w:left="200" w:right="80" w:firstLine="420"/>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ectPr>
          <w:pgSz w:w="11900" w:h="16838" w:orient="portrait"/>
          <w:cols w:equalWidth="0" w:num="1">
            <w:col w:w="10700"/>
          </w:cols>
          <w:pgMar w:left="96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October 30, 2017</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150495</wp:posOffset>
            </wp:positionV>
            <wp:extent cx="147510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extLst>
                    </a:blip>
                    <a:srcRect/>
                    <a:stretch>
                      <a:fillRect/>
                    </a:stretch>
                  </pic:blipFill>
                  <pic:spPr bwMode="auto">
                    <a:xfrm>
                      <a:off x="0" y="0"/>
                      <a:ext cx="147510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right="100" w:firstLine="420"/>
        <w:spacing w:after="0" w:line="277" w:lineRule="auto"/>
        <w:rPr>
          <w:sz w:val="20"/>
          <w:szCs w:val="20"/>
          <w:color w:val="auto"/>
        </w:rPr>
      </w:pPr>
      <w:r>
        <w:rPr>
          <w:rFonts w:ascii="Arial" w:cs="Arial" w:eastAsia="Arial" w:hAnsi="Arial"/>
          <w:sz w:val="18"/>
          <w:szCs w:val="18"/>
          <w:color w:val="auto"/>
        </w:rPr>
        <w:t>Subject to (i) the filing and effectiveness of the Company’s second amended and restated certificate of incorporation and (ii) the foregoing and the other matters set forth herein, it is our opinion that, as of the date hereof:</w:t>
      </w:r>
    </w:p>
    <w:p>
      <w:pPr>
        <w:spacing w:after="0" w:line="76" w:lineRule="exact"/>
        <w:rPr>
          <w:sz w:val="20"/>
          <w:szCs w:val="20"/>
          <w:color w:val="auto"/>
        </w:rPr>
      </w:pPr>
    </w:p>
    <w:p>
      <w:pPr>
        <w:ind w:left="1120" w:right="20" w:hanging="440"/>
        <w:spacing w:after="0" w:line="255"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When the Company Shares shall have been duly registered on the books of the transfer agent and registrar therefor in the name or on behalf of the purchasers, and have been issued by the Company against payment therefor (not less than par value) in the circumstances contemplated by the form of underwriting agreement most recently filed as an exhibit to the Registration Statement, the issue and sale of the Company Shares will have been duly authorized by all necessary corporate action of the Company, and the Company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94" w:lineRule="exact"/>
        <w:rPr>
          <w:rFonts w:ascii="Arial" w:cs="Arial" w:eastAsia="Arial" w:hAnsi="Arial"/>
          <w:sz w:val="18"/>
          <w:szCs w:val="18"/>
          <w:color w:val="auto"/>
        </w:rPr>
      </w:pPr>
    </w:p>
    <w:p>
      <w:pPr>
        <w:ind w:left="1120" w:hanging="440"/>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Selling Stockholder Shares have been duly authorized by all necessary corporate action of the Company and are validly issued, fully paid and nonassessable.</w:t>
      </w:r>
    </w:p>
    <w:p>
      <w:pPr>
        <w:spacing w:after="0" w:line="170" w:lineRule="exact"/>
        <w:rPr>
          <w:sz w:val="20"/>
          <w:szCs w:val="20"/>
          <w:color w:val="auto"/>
        </w:rPr>
      </w:pPr>
    </w:p>
    <w:p>
      <w:pPr>
        <w:ind w:left="120" w:right="60" w:firstLine="420"/>
        <w:spacing w:after="0" w:line="255" w:lineRule="auto"/>
        <w:rPr>
          <w:sz w:val="20"/>
          <w:szCs w:val="20"/>
          <w:color w:val="auto"/>
        </w:rPr>
      </w:pPr>
      <w:r>
        <w:rPr>
          <w:rFonts w:ascii="Arial" w:cs="Arial" w:eastAsia="Arial" w:hAnsi="Arial"/>
          <w:sz w:val="18"/>
          <w:szCs w:val="18"/>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9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0600"/>
          </w:cols>
          <w:pgMar w:left="1040" w:top="265"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300" w:type="dxa"/>
            <w:vAlign w:val="bottom"/>
          </w:tcPr>
          <w:p>
            <w:pPr>
              <w:ind w:left="2360"/>
              <w:spacing w:after="0"/>
              <w:rPr>
                <w:sz w:val="20"/>
                <w:szCs w:val="20"/>
                <w:color w:val="auto"/>
              </w:rPr>
            </w:pPr>
            <w:r>
              <w:rPr>
                <w:rFonts w:ascii="Arial" w:cs="Arial" w:eastAsia="Arial" w:hAnsi="Arial"/>
                <w:sz w:val="18"/>
                <w:szCs w:val="18"/>
                <w:b w:val="1"/>
                <w:bCs w:val="1"/>
                <w:color w:val="auto"/>
                <w:w w:val="91"/>
              </w:rPr>
              <w:t>Exhibit 10.2</w:t>
            </w:r>
          </w:p>
        </w:tc>
      </w:tr>
      <w:tr>
        <w:trPr>
          <w:trHeight w:val="392"/>
        </w:trPr>
        <w:tc>
          <w:tcPr>
            <w:tcW w:w="3300" w:type="dxa"/>
            <w:vAlign w:val="bottom"/>
          </w:tcPr>
          <w:p>
            <w:pPr>
              <w:spacing w:after="0"/>
              <w:rPr>
                <w:sz w:val="24"/>
                <w:szCs w:val="24"/>
                <w:color w:val="auto"/>
              </w:rPr>
            </w:pPr>
          </w:p>
        </w:tc>
        <w:tc>
          <w:tcPr>
            <w:tcW w:w="8120" w:type="dxa"/>
            <w:vAlign w:val="bottom"/>
            <w:gridSpan w:val="3"/>
          </w:tcPr>
          <w:p>
            <w:pPr>
              <w:spacing w:after="0"/>
              <w:rPr>
                <w:sz w:val="20"/>
                <w:szCs w:val="20"/>
                <w:color w:val="auto"/>
              </w:rPr>
            </w:pPr>
            <w:r>
              <w:rPr>
                <w:rFonts w:ascii="Arial" w:cs="Arial" w:eastAsia="Arial" w:hAnsi="Arial"/>
                <w:sz w:val="18"/>
                <w:szCs w:val="18"/>
                <w:b w:val="1"/>
                <w:bCs w:val="1"/>
                <w:color w:val="auto"/>
              </w:rPr>
              <w:t>INDEMNIFICATION AND ADVANCEMENT AGREEMENT</w:t>
            </w:r>
          </w:p>
        </w:tc>
      </w:tr>
      <w:tr>
        <w:trPr>
          <w:trHeight w:val="20"/>
        </w:trPr>
        <w:tc>
          <w:tcPr>
            <w:tcW w:w="33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438"/>
        </w:trPr>
        <w:tc>
          <w:tcPr>
            <w:tcW w:w="6700" w:type="dxa"/>
            <w:vAlign w:val="bottom"/>
            <w:gridSpan w:val="2"/>
          </w:tcPr>
          <w:p>
            <w:pPr>
              <w:ind w:left="460"/>
              <w:spacing w:after="0"/>
              <w:rPr>
                <w:sz w:val="20"/>
                <w:szCs w:val="20"/>
                <w:color w:val="auto"/>
              </w:rPr>
            </w:pPr>
            <w:r>
              <w:rPr>
                <w:rFonts w:ascii="Arial" w:cs="Arial" w:eastAsia="Arial" w:hAnsi="Arial"/>
                <w:sz w:val="18"/>
                <w:szCs w:val="18"/>
                <w:color w:val="auto"/>
                <w:w w:val="98"/>
              </w:rPr>
              <w:t>This Indemnification and Advancement Agreement (“Agreement”) is made as of</w:t>
            </w:r>
          </w:p>
        </w:tc>
        <w:tc>
          <w:tcPr>
            <w:tcW w:w="4720" w:type="dxa"/>
            <w:vAlign w:val="bottom"/>
            <w:gridSpan w:val="2"/>
          </w:tcPr>
          <w:p>
            <w:pPr>
              <w:ind w:left="400"/>
              <w:spacing w:after="0"/>
              <w:rPr>
                <w:sz w:val="20"/>
                <w:szCs w:val="20"/>
                <w:color w:val="auto"/>
              </w:rPr>
            </w:pPr>
            <w:r>
              <w:rPr>
                <w:rFonts w:ascii="Arial" w:cs="Arial" w:eastAsia="Arial" w:hAnsi="Arial"/>
                <w:sz w:val="18"/>
                <w:szCs w:val="18"/>
                <w:color w:val="auto"/>
              </w:rPr>
              <w:t>, 20   by and between Bandwidth Inc., a Delaware</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corporation (the “Company”), and</w:t>
            </w: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w w:val="91"/>
              </w:rPr>
              <w:t>, [a member of the Board of Directors/ an officer] of the Company (“Indemnitee”). This Agreement supersedes</w:t>
            </w:r>
          </w:p>
        </w:tc>
      </w:tr>
    </w:tbl>
    <w:p>
      <w:pPr>
        <w:spacing w:after="0"/>
        <w:rPr>
          <w:sz w:val="20"/>
          <w:szCs w:val="20"/>
          <w:color w:val="auto"/>
        </w:rPr>
      </w:pPr>
      <w:r>
        <w:rPr>
          <w:rFonts w:ascii="Arial" w:cs="Arial" w:eastAsia="Arial" w:hAnsi="Arial"/>
          <w:sz w:val="18"/>
          <w:szCs w:val="18"/>
          <w:color w:val="auto"/>
        </w:rPr>
        <w:t>and replaces any and all previous Agreements between the Company and Indemnitee covering indemnification and advancement.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8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WHEREAS, the Board has determined that,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Second Amended and Restated Bylaws (the “Bylaws”) and the Second Amended and Restated Certificate of Incorporation (the “Certificate of Incorporation”) of the Company require indemnification of the officers and directors of the Company. Indemnitee may also be entitled to indemnification pursuant to the General Corporation Law of the State of Delaware (the “DGCL”). The Bylaws, Certificate of Incorporation and the DGCL expressly provide that the indemnification provisions set forth therein are not exclusive, and thereby contemplate that contracts may be entered into between the Company and members of the Board, the Company’s officers and other persons with respect to indemnification and advancement of expenses;</w:t>
      </w:r>
    </w:p>
    <w:p>
      <w:pPr>
        <w:spacing w:after="0" w:line="1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WHEREAS, the uncertainties relating to such insurance, to indemnification and to advancement of expenses may increase the difficulty of attracting and retaining such persons;</w:t>
      </w:r>
    </w:p>
    <w:p>
      <w:pPr>
        <w:spacing w:after="0" w:line="170"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ectPr>
          <w:pgSz w:w="11900" w:h="16838" w:orient="portrait"/>
          <w:cols w:equalWidth="0" w:num="1">
            <w:col w:w="11420"/>
          </w:cols>
          <w:pgMar w:left="240" w:top="121" w:right="239" w:bottom="1440" w:gutter="0" w:footer="0" w:header="0"/>
        </w:sectPr>
      </w:pPr>
    </w:p>
    <w:bookmarkStart w:id="12" w:name="page13"/>
    <w:bookmarkEnd w:id="12"/>
    <w:p>
      <w:pPr>
        <w:ind w:right="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WHEREAS, this Agreement is a supplement to and in furtherance of the Bylaws, the Certificate of Incorporation and any resolutions adopted pursuant thereto, and is not a substitute therefor, nor diminishes or abrogates any rights of Indemnitee thereunder; and</w:t>
      </w:r>
    </w:p>
    <w:p>
      <w:pPr>
        <w:spacing w:after="0" w:line="17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WHEREAS, Indemnitee does not regard the protection available under the Bylaws, Certificate of Incorporation, DGCL and insurance as adequate in the present circumstances, and may not be willing to serve or continue to serve as an officer or director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7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Indemnitee agrees to serve as a [director/officer]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8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w:t>
      </w:r>
    </w:p>
    <w:p>
      <w:pPr>
        <w:spacing w:after="0" w:line="225" w:lineRule="exact"/>
        <w:rPr>
          <w:sz w:val="20"/>
          <w:szCs w:val="20"/>
          <w:color w:val="auto"/>
        </w:rPr>
      </w:pPr>
    </w:p>
    <w:p>
      <w:pPr>
        <w:ind w:right="320" w:firstLine="921"/>
        <w:spacing w:after="0" w:line="277" w:lineRule="auto"/>
        <w:tabs>
          <w:tab w:leader="none" w:pos="1293" w:val="left"/>
        </w:tabs>
        <w:numPr>
          <w:ilvl w:val="0"/>
          <w:numId w:val="6"/>
        </w:numPr>
        <w:rPr>
          <w:rFonts w:ascii="Arial" w:cs="Arial" w:eastAsia="Arial" w:hAnsi="Arial"/>
          <w:sz w:val="18"/>
          <w:szCs w:val="18"/>
          <w:color w:val="auto"/>
        </w:rPr>
      </w:pPr>
      <w:r>
        <w:rPr>
          <w:rFonts w:ascii="Arial" w:cs="Arial" w:eastAsia="Arial" w:hAnsi="Arial"/>
          <w:sz w:val="18"/>
          <w:szCs w:val="18"/>
          <w:color w:val="auto"/>
        </w:rPr>
        <w:t>“Agent” means any person who is authorized by the Company or an Enterprise to act for or represent the interests of the Company or an Enterprise, respectively.</w:t>
      </w:r>
    </w:p>
    <w:p>
      <w:pPr>
        <w:spacing w:after="0" w:line="170" w:lineRule="exact"/>
        <w:rPr>
          <w:rFonts w:ascii="Arial" w:cs="Arial" w:eastAsia="Arial" w:hAnsi="Arial"/>
          <w:sz w:val="18"/>
          <w:szCs w:val="18"/>
          <w:color w:val="auto"/>
        </w:rPr>
      </w:pPr>
    </w:p>
    <w:p>
      <w:pPr>
        <w:ind w:left="1300" w:hanging="379"/>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“Change in Control” occurs upon the earliest to occur after the date of this Agreement of any of the following events:</w:t>
      </w:r>
    </w:p>
    <w:p>
      <w:pPr>
        <w:spacing w:after="0" w:line="225" w:lineRule="exact"/>
        <w:rPr>
          <w:rFonts w:ascii="Arial" w:cs="Arial" w:eastAsia="Arial" w:hAnsi="Arial"/>
          <w:sz w:val="18"/>
          <w:szCs w:val="18"/>
          <w:color w:val="auto"/>
        </w:rPr>
      </w:pPr>
    </w:p>
    <w:p>
      <w:pPr>
        <w:ind w:right="140" w:firstLine="1492"/>
        <w:spacing w:after="0" w:line="255" w:lineRule="auto"/>
        <w:tabs>
          <w:tab w:leader="none" w:pos="1749" w:val="left"/>
        </w:tabs>
        <w:numPr>
          <w:ilvl w:val="1"/>
          <w:numId w:val="6"/>
        </w:numPr>
        <w:rPr>
          <w:rFonts w:ascii="Arial" w:cs="Arial" w:eastAsia="Arial" w:hAnsi="Arial"/>
          <w:sz w:val="18"/>
          <w:szCs w:val="18"/>
          <w:color w:val="auto"/>
        </w:rPr>
      </w:pPr>
      <w:r>
        <w:rPr>
          <w:rFonts w:ascii="Arial" w:cs="Arial" w:eastAsia="Arial" w:hAnsi="Arial"/>
          <w:sz w:val="18"/>
          <w:szCs w:val="18"/>
          <w:color w:val="auto"/>
        </w:rPr>
        <w:t>Acquisition of Stock by Third Party. Any Person (as defined below) is or becomes the Beneficial Owner (as defined below), directly or indirectly, of securities of the Company representing fifteen percent (15%) or more of the combined voting power of the Company’s then outstanding securities unless the change in relative beneficial ownership of the Company’s securities by any Person results solely from (A) a reduction in the aggregate number of outstanding shares of securities entitled to vote generally in the election of directors or (B) the conversion or other disposition of shares Class B common stock held by stockholders of the Company, in each case, other than as permitted in the Certificate of Incorporation to not be deemed a conversion from Class B common stock to Class A common stock;</w:t>
      </w:r>
    </w:p>
    <w:p>
      <w:pPr>
        <w:spacing w:after="0" w:line="193" w:lineRule="exact"/>
        <w:rPr>
          <w:rFonts w:ascii="Arial" w:cs="Arial" w:eastAsia="Arial" w:hAnsi="Arial"/>
          <w:sz w:val="18"/>
          <w:szCs w:val="18"/>
          <w:color w:val="auto"/>
        </w:rPr>
      </w:pPr>
    </w:p>
    <w:p>
      <w:pPr>
        <w:ind w:right="20" w:firstLine="1492"/>
        <w:spacing w:after="0" w:line="255" w:lineRule="auto"/>
        <w:tabs>
          <w:tab w:leader="none" w:pos="1809" w:val="left"/>
        </w:tabs>
        <w:numPr>
          <w:ilvl w:val="1"/>
          <w:numId w:val="6"/>
        </w:numPr>
        <w:rPr>
          <w:rFonts w:ascii="Arial" w:cs="Arial" w:eastAsia="Arial" w:hAnsi="Arial"/>
          <w:sz w:val="18"/>
          <w:szCs w:val="18"/>
          <w:color w:val="auto"/>
        </w:rPr>
      </w:pPr>
      <w:r>
        <w:rPr>
          <w:rFonts w:ascii="Arial" w:cs="Arial" w:eastAsia="Arial" w:hAnsi="Arial"/>
          <w:sz w:val="18"/>
          <w:szCs w:val="18"/>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2(b)i., 2(b) iii. or 2(b) iv. hereof)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3" w:name="page14"/>
    <w:bookmarkEnd w:id="13"/>
    <w:p>
      <w:pPr>
        <w:ind w:left="-80" w:right="40" w:firstLine="1492"/>
        <w:spacing w:after="0" w:line="257" w:lineRule="auto"/>
        <w:tabs>
          <w:tab w:leader="none" w:pos="1779"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51%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88" w:lineRule="exact"/>
        <w:rPr>
          <w:rFonts w:ascii="Arial" w:cs="Arial" w:eastAsia="Arial" w:hAnsi="Arial"/>
          <w:sz w:val="18"/>
          <w:szCs w:val="18"/>
          <w:color w:val="auto"/>
        </w:rPr>
      </w:pPr>
    </w:p>
    <w:p>
      <w:pPr>
        <w:ind w:left="-80" w:right="180" w:firstLine="1492"/>
        <w:spacing w:after="0" w:line="277" w:lineRule="auto"/>
        <w:tabs>
          <w:tab w:leader="none" w:pos="1757"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Liquidation. The approval by the stockholders of the Company of a complete liquidation of the Company or an agreement for the sale or disposition by the Company of all or substantially all of the Company’s assets; and</w:t>
      </w:r>
    </w:p>
    <w:p>
      <w:pPr>
        <w:spacing w:after="0" w:line="170" w:lineRule="exact"/>
        <w:rPr>
          <w:rFonts w:ascii="Arial" w:cs="Arial" w:eastAsia="Arial" w:hAnsi="Arial"/>
          <w:sz w:val="18"/>
          <w:szCs w:val="18"/>
          <w:color w:val="auto"/>
        </w:rPr>
      </w:pPr>
    </w:p>
    <w:p>
      <w:pPr>
        <w:ind w:left="-80" w:firstLine="1492"/>
        <w:spacing w:after="0" w:line="259" w:lineRule="auto"/>
        <w:tabs>
          <w:tab w:leader="none" w:pos="1707"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 unless such event was a result of the conversion of shares held by stockholders of the Company.</w:t>
      </w:r>
    </w:p>
    <w:p>
      <w:pPr>
        <w:spacing w:after="0" w:line="186" w:lineRule="exact"/>
        <w:rPr>
          <w:rFonts w:ascii="Arial" w:cs="Arial" w:eastAsia="Arial" w:hAnsi="Arial"/>
          <w:sz w:val="18"/>
          <w:szCs w:val="18"/>
          <w:color w:val="auto"/>
        </w:rPr>
      </w:pPr>
    </w:p>
    <w:p>
      <w:pPr>
        <w:ind w:left="1780" w:hanging="368"/>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this Section 2(b), the following terms have the following meanings:</w:t>
      </w:r>
    </w:p>
    <w:p>
      <w:pPr>
        <w:spacing w:after="0" w:line="131" w:lineRule="exact"/>
        <w:rPr>
          <w:sz w:val="20"/>
          <w:szCs w:val="20"/>
          <w:color w:val="auto"/>
        </w:rPr>
      </w:pPr>
    </w:p>
    <w:p>
      <w:pPr>
        <w:ind w:left="2300" w:hanging="441"/>
        <w:spacing w:after="0"/>
        <w:tabs>
          <w:tab w:leader="none" w:pos="2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w:t>
      </w:r>
    </w:p>
    <w:p>
      <w:pPr>
        <w:spacing w:after="0" w:line="131" w:lineRule="exact"/>
        <w:rPr>
          <w:sz w:val="20"/>
          <w:szCs w:val="20"/>
          <w:color w:val="auto"/>
        </w:rPr>
      </w:pPr>
    </w:p>
    <w:p>
      <w:pPr>
        <w:ind w:left="2300" w:right="280" w:hanging="441"/>
        <w:spacing w:after="0" w:line="259" w:lineRule="auto"/>
        <w:tabs>
          <w:tab w:leader="none" w:pos="2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 has the meaning as set forth in Sections 13(d) and 14(d) of the Exchange Act; provided, however, that Person excludes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92" w:lineRule="exact"/>
        <w:rPr>
          <w:sz w:val="20"/>
          <w:szCs w:val="20"/>
          <w:color w:val="auto"/>
        </w:rPr>
      </w:pPr>
    </w:p>
    <w:p>
      <w:pPr>
        <w:ind w:left="2300" w:right="320" w:hanging="441"/>
        <w:spacing w:after="0" w:line="264" w:lineRule="auto"/>
        <w:tabs>
          <w:tab w:leader="none" w:pos="2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181" w:lineRule="exact"/>
        <w:rPr>
          <w:rFonts w:ascii="Arial" w:cs="Arial" w:eastAsia="Arial" w:hAnsi="Arial"/>
          <w:sz w:val="18"/>
          <w:szCs w:val="18"/>
          <w:color w:val="auto"/>
        </w:rPr>
      </w:pPr>
    </w:p>
    <w:p>
      <w:pPr>
        <w:ind w:left="-80" w:right="640" w:firstLine="921"/>
        <w:spacing w:after="0" w:line="277" w:lineRule="auto"/>
        <w:tabs>
          <w:tab w:leader="none" w:pos="12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“Corporate Status” describes the status of a person who is or was acting as a director, officer, employee, fiduciary, or Agent of the Company or an Enterprise.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320" w:top="274" w:right="319" w:bottom="1440" w:gutter="0" w:footer="0" w:header="0"/>
        </w:sectPr>
      </w:pPr>
    </w:p>
    <w:bookmarkStart w:id="14" w:name="page15"/>
    <w:bookmarkEnd w:id="14"/>
    <w:p>
      <w:pPr>
        <w:ind w:left="-40" w:right="940" w:firstLine="921"/>
        <w:spacing w:after="0" w:line="277" w:lineRule="auto"/>
        <w:tabs>
          <w:tab w:leader="none" w:pos="1263"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“Disinterested Director” means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ind w:left="-40" w:right="140" w:firstLine="921"/>
        <w:spacing w:after="0" w:line="277" w:lineRule="auto"/>
        <w:tabs>
          <w:tab w:leader="none" w:pos="1253"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“Enterprise” means any other corporation, limited liability company, partnership, joint venture, trust, employee benefit plan or other entity for which Indemnitee is or was serving at the request of the Company as a director, officer, employee or Agent.</w:t>
      </w:r>
    </w:p>
    <w:p>
      <w:pPr>
        <w:spacing w:after="0" w:line="170" w:lineRule="exact"/>
        <w:rPr>
          <w:rFonts w:ascii="Arial" w:cs="Arial" w:eastAsia="Arial" w:hAnsi="Arial"/>
          <w:sz w:val="18"/>
          <w:szCs w:val="18"/>
          <w:color w:val="auto"/>
        </w:rPr>
      </w:pPr>
    </w:p>
    <w:p>
      <w:pPr>
        <w:ind w:left="-40" w:right="20" w:firstLine="921"/>
        <w:spacing w:after="0" w:line="287" w:lineRule="auto"/>
        <w:tabs>
          <w:tab w:leader="none" w:pos="123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“Expenses” includes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Section 14(d) of this Agreement only, Expenses incurred by Indemnitee in connection with the interpretation, enforcement or defense of Indemnitee’s rights under this Agreement, by litigation or otherwise. The parties agree that for the purposes of any advancement of Expenses for which Indemnitee has made written demand to the Company in accordance with this Agreement, all Expenses included in such demand that are certified by affidavit of Indemnitee’s counsel as being reasonable in the good faith judgment of such counsel will be presumed conclusively to be reasonable. Expenses, however, do not include amounts paid in settlement by Indemnitee or the amount of judgments or fines against Indemnitee.</w:t>
      </w:r>
    </w:p>
    <w:p>
      <w:pPr>
        <w:spacing w:after="0" w:line="172" w:lineRule="exact"/>
        <w:rPr>
          <w:rFonts w:ascii="Arial" w:cs="Arial" w:eastAsia="Arial" w:hAnsi="Arial"/>
          <w:sz w:val="16"/>
          <w:szCs w:val="16"/>
          <w:color w:val="auto"/>
        </w:rPr>
      </w:pPr>
    </w:p>
    <w:p>
      <w:pPr>
        <w:ind w:left="-40" w:firstLine="921"/>
        <w:spacing w:after="0" w:line="273" w:lineRule="auto"/>
        <w:tabs>
          <w:tab w:leader="none" w:pos="12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“Independent Counsel”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8" w:lineRule="exact"/>
        <w:rPr>
          <w:rFonts w:ascii="Arial" w:cs="Arial" w:eastAsia="Arial" w:hAnsi="Arial"/>
          <w:sz w:val="17"/>
          <w:szCs w:val="17"/>
          <w:color w:val="auto"/>
        </w:rPr>
      </w:pPr>
    </w:p>
    <w:p>
      <w:pPr>
        <w:ind w:left="-40" w:firstLine="921"/>
        <w:spacing w:after="0" w:line="272" w:lineRule="auto"/>
        <w:tabs>
          <w:tab w:leader="none" w:pos="12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Change in Control” means the occurrence of any of the following events: (i) the Company enters into any written or oral agreement, undertaking or arrangement, the consummation of which would result in the occurrence of a Change in Control; (ii) any Person or the Company publicly announces an intention to take or consider taking actions which if consummated would constitute a Change in Control; (iii) any Person who becomes the Beneficial Owner, directly or indirectly, of securities of the Company representing 5% or more of the combined voting power of the Company’s then outstanding securities entitled to vote generally in the election of directors increases his beneficial ownership of such securities by 5% or more over the percentage so owned by such Person on the date hereof; or (iv) the Board adopts a resolution to the effect that, for purposes of this Agreement, a Potential Change in Control has occurred. Notwithstanding the foregoing, in no event shall any such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80" w:top="274" w:right="259" w:bottom="1440" w:gutter="0" w:footer="0" w:header="0"/>
        </w:sectPr>
      </w:pPr>
    </w:p>
    <w:bookmarkStart w:id="15" w:name="page16"/>
    <w:bookmarkEnd w:id="1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undertaking, arrangement, public announcement, acquisition of securities or beneficial ownership, or Board resolution relating to an increase in ownership or beneficial interest by David A. Morken or his affiliates constitute a Potential Change in Control.</w:t>
      </w:r>
    </w:p>
    <w:p>
      <w:pPr>
        <w:spacing w:after="0" w:line="170" w:lineRule="exact"/>
        <w:rPr>
          <w:sz w:val="20"/>
          <w:szCs w:val="20"/>
          <w:color w:val="auto"/>
        </w:rPr>
      </w:pPr>
    </w:p>
    <w:p>
      <w:pPr>
        <w:ind w:right="60" w:firstLine="921"/>
        <w:spacing w:after="0" w:line="271" w:lineRule="auto"/>
        <w:tabs>
          <w:tab w:leader="none" w:pos="1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term “Proceeding”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7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Indemnity in Third-Party Proceedings.</w:t>
      </w:r>
      <w:r>
        <w:rPr>
          <w:rFonts w:ascii="Arial" w:cs="Arial" w:eastAsia="Arial" w:hAnsi="Arial"/>
          <w:sz w:val="18"/>
          <w:szCs w:val="18"/>
          <w:color w:val="auto"/>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9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Indemnity in Proceedings by or in the Right of the Company.</w:t>
      </w:r>
      <w:r>
        <w:rPr>
          <w:rFonts w:ascii="Arial" w:cs="Arial" w:eastAsia="Arial" w:hAnsi="Arial"/>
          <w:sz w:val="17"/>
          <w:szCs w:val="17"/>
          <w:color w:val="auto"/>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Delaware Court of Chancery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6" w:name="page17"/>
    <w:bookmarkEnd w:id="16"/>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xml:space="preserve"> Notwithstanding any other provisions of this Agreement, to the fullest extent permitted by applicable law, the Company will indemnify Indemnitee against all Expenses actually and reasonably incurred by Indemnitee in connection with any Proceeding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 For Expenses of a Witness.</w:t>
      </w:r>
      <w:r>
        <w:rPr>
          <w:rFonts w:ascii="Arial" w:cs="Arial" w:eastAsia="Arial" w:hAnsi="Arial"/>
          <w:sz w:val="18"/>
          <w:szCs w:val="18"/>
          <w:color w:val="auto"/>
        </w:rPr>
        <w:t xml:space="preserve"> Notwithstanding any other provision of this Agreement and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Partial Indemnification.</w:t>
      </w:r>
      <w:r>
        <w:rPr>
          <w:rFonts w:ascii="Arial" w:cs="Arial" w:eastAsia="Arial" w:hAnsi="Arial"/>
          <w:sz w:val="18"/>
          <w:szCs w:val="18"/>
          <w:color w:val="auto"/>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Additional Indemnification.</w:t>
      </w:r>
      <w:r>
        <w:rPr>
          <w:rFonts w:ascii="Arial" w:cs="Arial" w:eastAsia="Arial" w:hAnsi="Arial"/>
          <w:sz w:val="17"/>
          <w:szCs w:val="17"/>
          <w:color w:val="auto"/>
        </w:rPr>
        <w:t xml:space="preserve"> Notwithstanding any limitation in Sections 3, 4 or 5 of this Agreement, the Company will indemnify Indemnitee to the fullest extent permitted by applicable law (including but not limited to, the DGCL and any amendments to or replacements of the DGCL adopted after the date of this Agreement that expand the Company’s ability to indemnify its officers and directors) if Indemnitee is a party to or threatened to be made a party to any Proceeding (including a Proceeding by or in the right of the Company to procure a judgment in its favor).</w:t>
      </w:r>
    </w:p>
    <w:p>
      <w:pPr>
        <w:spacing w:after="0" w:line="171"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Notwithstanding any provision in this Agreement, the Company is not obligated under this Agreement to make any indemnification payment to Indemnitee in connection with any Proceeding:</w:t>
      </w:r>
    </w:p>
    <w:p>
      <w:pPr>
        <w:spacing w:after="0" w:line="170" w:lineRule="exact"/>
        <w:rPr>
          <w:sz w:val="20"/>
          <w:szCs w:val="20"/>
          <w:color w:val="auto"/>
        </w:rPr>
      </w:pPr>
    </w:p>
    <w:p>
      <w:pPr>
        <w:ind w:right="20" w:firstLine="921"/>
        <w:spacing w:after="0" w:line="264" w:lineRule="auto"/>
        <w:tabs>
          <w:tab w:leader="none" w:pos="1293"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to the extent provided in Section 16(b) of this Agreement and except with respect to any excess beyond the amount paid under any insurance policy or other indemnity provision; or</w:t>
      </w:r>
    </w:p>
    <w:p>
      <w:pPr>
        <w:spacing w:after="0" w:line="181" w:lineRule="exact"/>
        <w:rPr>
          <w:rFonts w:ascii="Arial" w:cs="Arial" w:eastAsia="Arial" w:hAnsi="Arial"/>
          <w:sz w:val="18"/>
          <w:szCs w:val="18"/>
          <w:color w:val="auto"/>
        </w:rPr>
      </w:pPr>
    </w:p>
    <w:p>
      <w:pPr>
        <w:ind w:right="60" w:firstLine="921"/>
        <w:spacing w:after="0" w:line="291" w:lineRule="auto"/>
        <w:tabs>
          <w:tab w:leader="none" w:pos="1303" w:val="left"/>
        </w:tabs>
        <w:numPr>
          <w:ilvl w:val="1"/>
          <w:numId w:val="13"/>
        </w:numPr>
        <w:rPr>
          <w:rFonts w:ascii="Arial" w:cs="Arial" w:eastAsia="Arial" w:hAnsi="Arial"/>
          <w:sz w:val="16"/>
          <w:szCs w:val="16"/>
          <w:color w:val="auto"/>
        </w:rPr>
      </w:pPr>
      <w:r>
        <w:rPr>
          <w:rFonts w:ascii="Arial" w:cs="Arial" w:eastAsia="Arial" w:hAnsi="Arial"/>
          <w:sz w:val="16"/>
          <w:szCs w:val="16"/>
          <w:color w:val="auto"/>
        </w:rPr>
        <w:t>for (i) an accounting of profits made from the purchase and sale (or sale and purchase) by Indemnitee of securities of the Company within the meaning of Section 16(b) of the Exchange Act (as defined in Section 2(b) fof this Agreement) or similar provisions of state statutory law or common law,</w:t>
      </w:r>
    </w:p>
    <w:p>
      <w:pPr>
        <w:ind w:right="180" w:firstLine="8"/>
        <w:spacing w:after="0" w:line="254"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7" w:name="page18"/>
    <w:bookmarkEnd w:id="17"/>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47" w:lineRule="exact"/>
        <w:rPr>
          <w:sz w:val="20"/>
          <w:szCs w:val="20"/>
          <w:color w:val="auto"/>
        </w:rPr>
      </w:pPr>
    </w:p>
    <w:p>
      <w:pPr>
        <w:ind w:right="60" w:firstLine="921"/>
        <w:spacing w:after="0" w:line="257" w:lineRule="auto"/>
        <w:tabs>
          <w:tab w:leader="none" w:pos="12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prior to its initiation or (iii) the Company provides the indemnification, in its sole discretion, pursuant to the powers vested in the Company under applicable law.</w:t>
      </w:r>
    </w:p>
    <w:p>
      <w:pPr>
        <w:spacing w:after="0" w:line="296"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5"/>
          <w:szCs w:val="15"/>
          <w:u w:val="single" w:color="auto"/>
          <w:color w:val="auto"/>
        </w:rPr>
        <w:t>Advances of Expenses.</w:t>
      </w:r>
    </w:p>
    <w:p>
      <w:pPr>
        <w:spacing w:after="0" w:line="117" w:lineRule="exact"/>
        <w:rPr>
          <w:sz w:val="20"/>
          <w:szCs w:val="20"/>
          <w:color w:val="auto"/>
        </w:rPr>
      </w:pPr>
    </w:p>
    <w:p>
      <w:pPr>
        <w:ind w:firstLine="921"/>
        <w:spacing w:after="0" w:line="273" w:lineRule="auto"/>
        <w:tabs>
          <w:tab w:leader="none" w:pos="12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will advance, to the extent not prohibited by law, the Expenses incurred by Indemnitee in connection with any Proceeding (or any part of any Proceeding) not initiated by Indemnitee or any Proceeding (or any part of any Proceeding) initiated by Indemnitee if (i) the Proceeding or part of any Proceeding is to enforce Indemnitee’s rights to obtain indemnification or advancement of Expenses from the Company or Enterprise, including a proceeding initiated pursuant to Section 14 of this Agreement or (ii) the Board authorized the Proceeding (or any part of any Proceeding) prior to its initiation,. The Company will advance the Expenses within thirty (30) days after the receipt by the Company of a statement or statements requesting such advances from time to time, whether prior to or after final disposition of any Proceeding.</w:t>
      </w:r>
    </w:p>
    <w:p>
      <w:pPr>
        <w:spacing w:after="0" w:line="178" w:lineRule="exact"/>
        <w:rPr>
          <w:rFonts w:ascii="Arial" w:cs="Arial" w:eastAsia="Arial" w:hAnsi="Arial"/>
          <w:sz w:val="17"/>
          <w:szCs w:val="17"/>
          <w:color w:val="auto"/>
        </w:rPr>
      </w:pPr>
    </w:p>
    <w:p>
      <w:pPr>
        <w:ind w:right="20" w:firstLine="921"/>
        <w:spacing w:after="0" w:line="257" w:lineRule="auto"/>
        <w:tabs>
          <w:tab w:leader="none" w:pos="129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Advances will be unsecured and interest free. Indemnitee undertakes to repay the amounts advanced (without interest) to the extent that it is ultimately determined that Indemnitee is not entitled to be indemnified by the Company, thus Indemnitee qualifies for advances upon the execution of this Agreement and delivery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296" w:lineRule="exact"/>
        <w:rPr>
          <w:sz w:val="20"/>
          <w:szCs w:val="20"/>
          <w:color w:val="auto"/>
        </w:rPr>
      </w:pPr>
    </w:p>
    <w:p>
      <w:pPr>
        <w:ind w:left="460"/>
        <w:spacing w:after="0"/>
        <w:tabs>
          <w:tab w:leader="none" w:pos="14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Procedure for Notification of Claim for Indemnification or Advancement.</w:t>
      </w:r>
    </w:p>
    <w:p>
      <w:pPr>
        <w:spacing w:after="0" w:line="117" w:lineRule="exact"/>
        <w:rPr>
          <w:sz w:val="20"/>
          <w:szCs w:val="20"/>
          <w:color w:val="auto"/>
        </w:rPr>
      </w:pPr>
    </w:p>
    <w:p>
      <w:pPr>
        <w:ind w:right="100" w:firstLine="921"/>
        <w:spacing w:after="0" w:line="255" w:lineRule="auto"/>
        <w:tabs>
          <w:tab w:leader="none" w:pos="12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8" w:name="page19"/>
    <w:bookmarkEnd w:id="18"/>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any delay in so notifying the Company will not constitute a waiver by Indemnitee of any rights under this Agreement. The Secretary of the Company will, promptly upon receipt of such a request for indemnification, advise the Board in writing that Indemnitee has requested indemnification or advancement.</w:t>
      </w:r>
    </w:p>
    <w:p>
      <w:pPr>
        <w:spacing w:after="0" w:line="181"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The Company will be entitled to participate in the Proceeding at its own expense.</w:t>
      </w:r>
    </w:p>
    <w:p>
      <w:pPr>
        <w:spacing w:after="0" w:line="333"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Procedure Upon Application for Indemnification.</w:t>
      </w:r>
    </w:p>
    <w:p>
      <w:pPr>
        <w:spacing w:after="0" w:line="117" w:lineRule="exact"/>
        <w:rPr>
          <w:sz w:val="20"/>
          <w:szCs w:val="20"/>
          <w:color w:val="auto"/>
        </w:rPr>
      </w:pPr>
    </w:p>
    <w:p>
      <w:pPr>
        <w:ind w:left="1300" w:hanging="379"/>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Unless a Change of Control has occurred, the determination of Indemnitee’s entitlement to indemnification will be made:</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by a majority vote of the Disinterested Directors, even though less than a quorum of the Board;</w:t>
      </w:r>
    </w:p>
    <w:p>
      <w:pPr>
        <w:spacing w:after="0" w:line="225" w:lineRule="exact"/>
        <w:rPr>
          <w:rFonts w:ascii="Arial" w:cs="Arial" w:eastAsia="Arial" w:hAnsi="Arial"/>
          <w:sz w:val="18"/>
          <w:szCs w:val="18"/>
          <w:color w:val="auto"/>
        </w:rPr>
      </w:pPr>
    </w:p>
    <w:p>
      <w:pPr>
        <w:ind w:left="1820" w:hanging="328"/>
        <w:spacing w:after="0"/>
        <w:tabs>
          <w:tab w:leader="none" w:pos="1820" w:val="left"/>
        </w:tabs>
        <w:numPr>
          <w:ilvl w:val="1"/>
          <w:numId w:val="18"/>
        </w:numPr>
        <w:rPr>
          <w:rFonts w:ascii="Arial" w:cs="Arial" w:eastAsia="Arial" w:hAnsi="Arial"/>
          <w:sz w:val="17"/>
          <w:szCs w:val="17"/>
          <w:color w:val="auto"/>
        </w:rPr>
      </w:pPr>
      <w:r>
        <w:rPr>
          <w:rFonts w:ascii="Arial" w:cs="Arial" w:eastAsia="Arial" w:hAnsi="Arial"/>
          <w:sz w:val="17"/>
          <w:szCs w:val="17"/>
          <w:color w:val="auto"/>
        </w:rPr>
        <w:t>by a committee of Disinterested Directors designated by a majority vote of the Disinterested Directors, even though less than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quorum of the Board;</w:t>
      </w:r>
    </w:p>
    <w:p>
      <w:pPr>
        <w:spacing w:after="0" w:line="210" w:lineRule="exact"/>
        <w:rPr>
          <w:rFonts w:ascii="Arial" w:cs="Arial" w:eastAsia="Arial" w:hAnsi="Arial"/>
          <w:sz w:val="17"/>
          <w:szCs w:val="17"/>
          <w:color w:val="auto"/>
        </w:rPr>
      </w:pPr>
    </w:p>
    <w:p>
      <w:pPr>
        <w:ind w:right="20" w:firstLine="1492"/>
        <w:spacing w:after="0" w:line="277" w:lineRule="auto"/>
        <w:tabs>
          <w:tab w:leader="none" w:pos="1904"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there are no such Disinterested Directors or, if such Disinterested Directors so direct, by written opinion provided by Independent Counsel selected by the Board; or</w:t>
      </w:r>
    </w:p>
    <w:p>
      <w:pPr>
        <w:spacing w:after="0" w:line="170" w:lineRule="exact"/>
        <w:rPr>
          <w:rFonts w:ascii="Arial" w:cs="Arial" w:eastAsia="Arial" w:hAnsi="Arial"/>
          <w:sz w:val="18"/>
          <w:szCs w:val="18"/>
          <w:color w:val="auto"/>
        </w:rPr>
      </w:pPr>
    </w:p>
    <w:p>
      <w:pPr>
        <w:ind w:left="1840" w:hanging="348"/>
        <w:spacing w:after="0"/>
        <w:tabs>
          <w:tab w:leader="none" w:pos="18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so directed by the Board, by the stockholders of the Company.</w:t>
      </w:r>
    </w:p>
    <w:p>
      <w:pPr>
        <w:spacing w:after="0" w:line="225" w:lineRule="exact"/>
        <w:rPr>
          <w:rFonts w:ascii="Arial" w:cs="Arial" w:eastAsia="Arial" w:hAnsi="Arial"/>
          <w:sz w:val="18"/>
          <w:szCs w:val="18"/>
          <w:color w:val="auto"/>
        </w:rPr>
      </w:pPr>
    </w:p>
    <w:p>
      <w:pPr>
        <w:ind w:right="440" w:firstLine="921"/>
        <w:spacing w:after="0" w:line="308" w:lineRule="auto"/>
        <w:tabs>
          <w:tab w:leader="none" w:pos="1303"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146" w:lineRule="exact"/>
        <w:rPr>
          <w:rFonts w:ascii="Arial" w:cs="Arial" w:eastAsia="Arial" w:hAnsi="Arial"/>
          <w:sz w:val="17"/>
          <w:szCs w:val="17"/>
          <w:color w:val="auto"/>
        </w:rPr>
      </w:pPr>
    </w:p>
    <w:p>
      <w:pPr>
        <w:ind w:firstLine="921"/>
        <w:spacing w:after="0" w:line="287" w:lineRule="auto"/>
        <w:tabs>
          <w:tab w:leader="none" w:pos="1338"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submission by Indemnitee of a written request for indemnification pursuant to Section 11(a) of this Agreement and the final disposition of the Proceeding, Independent Counsel has not been selected or, if selected, any objection to has not been resolved, either the Company or Indemnitee may petition the Delaware Court for the appointment as Independent Counsel of a person selected by such court or by such other person as such court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9" w:name="page20"/>
    <w:bookmarkEnd w:id="19"/>
    <w:p>
      <w:pPr>
        <w:ind w:right="340" w:firstLine="921"/>
        <w:spacing w:after="0" w:line="271" w:lineRule="auto"/>
        <w:tabs>
          <w:tab w:leader="none" w:pos="1303"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78" w:lineRule="exact"/>
        <w:rPr>
          <w:rFonts w:ascii="Arial" w:cs="Arial" w:eastAsia="Arial" w:hAnsi="Arial"/>
          <w:sz w:val="17"/>
          <w:szCs w:val="17"/>
          <w:color w:val="auto"/>
        </w:rPr>
      </w:pPr>
    </w:p>
    <w:p>
      <w:pPr>
        <w:ind w:right="160" w:firstLine="921"/>
        <w:spacing w:after="0" w:line="277" w:lineRule="auto"/>
        <w:tabs>
          <w:tab w:leader="none" w:pos="12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it is determined that Indemnitee is entitled to indemnification, the Company will make payment to Indemnitee within ten (10) days after such determination.</w:t>
      </w:r>
    </w:p>
    <w:p>
      <w:pPr>
        <w:spacing w:after="0" w:line="279"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Presumptions and Effect of Certain Proceedings.</w:t>
      </w:r>
    </w:p>
    <w:p>
      <w:pPr>
        <w:spacing w:after="0" w:line="117" w:lineRule="exact"/>
        <w:rPr>
          <w:sz w:val="20"/>
          <w:szCs w:val="20"/>
          <w:color w:val="auto"/>
        </w:rPr>
      </w:pPr>
    </w:p>
    <w:p>
      <w:pPr>
        <w:ind w:right="40" w:firstLine="921"/>
        <w:spacing w:after="0" w:line="254" w:lineRule="auto"/>
        <w:tabs>
          <w:tab w:leader="none" w:pos="1293"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or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92" w:lineRule="exact"/>
        <w:rPr>
          <w:rFonts w:ascii="Arial" w:cs="Arial" w:eastAsia="Arial" w:hAnsi="Arial"/>
          <w:sz w:val="18"/>
          <w:szCs w:val="18"/>
          <w:color w:val="auto"/>
        </w:rPr>
      </w:pPr>
    </w:p>
    <w:p>
      <w:pPr>
        <w:ind w:left="1320" w:hanging="399"/>
        <w:spacing w:after="0"/>
        <w:tabs>
          <w:tab w:leader="none" w:pos="13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the determination of the Indemnitee’s entitlement to indemnification has not made pursuant to Section 12 of this Agreement within sixty</w:t>
      </w:r>
    </w:p>
    <w:p>
      <w:pPr>
        <w:spacing w:after="0" w:line="46" w:lineRule="exact"/>
        <w:rPr>
          <w:rFonts w:ascii="Arial" w:cs="Arial" w:eastAsia="Arial" w:hAnsi="Arial"/>
          <w:sz w:val="16"/>
          <w:szCs w:val="16"/>
          <w:color w:val="auto"/>
        </w:rPr>
      </w:pPr>
    </w:p>
    <w:p>
      <w:pPr>
        <w:ind w:right="20" w:firstLine="8"/>
        <w:spacing w:after="0" w:line="281" w:lineRule="auto"/>
        <w:tabs>
          <w:tab w:leader="none" w:pos="3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days after the latter of (i) receipt by the Company of Indemnitee’s request for indemnification pursuant to Section 11(a) of this Agreement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the Determination Period may be extended an additional fifteen (15) days if the determination of entitlement to indemnification is to be made by the stockholders pursuant to Section 12(a) iv. of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0" w:name="page21"/>
    <w:bookmarkEnd w:id="20"/>
    <w:p>
      <w:pPr>
        <w:ind w:left="-40" w:right="160" w:firstLine="921"/>
        <w:spacing w:after="0" w:line="257" w:lineRule="auto"/>
        <w:tabs>
          <w:tab w:leader="none" w:pos="1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termination of any Proceeding or of any claim, issue or matter therein, by judgment, order, settlement or conviction, or upon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8" w:lineRule="exact"/>
        <w:rPr>
          <w:rFonts w:ascii="Arial" w:cs="Arial" w:eastAsia="Arial" w:hAnsi="Arial"/>
          <w:sz w:val="18"/>
          <w:szCs w:val="18"/>
          <w:color w:val="auto"/>
        </w:rPr>
      </w:pPr>
    </w:p>
    <w:p>
      <w:pPr>
        <w:ind w:left="-40" w:firstLine="921"/>
        <w:spacing w:after="0" w:line="270" w:lineRule="auto"/>
        <w:tabs>
          <w:tab w:leader="none" w:pos="1263"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 purposes of any determination of good faith, Indemnitee will be deemed to have acted in good faith if Indemnitee acted based on the records or books of account of the Company, its subsidiaries, or an Enterprise, including financial statements, or on information supplied to Indemnitee by the directors or officers of the Company, its subsidiaries, or an Enterprise in the course of their duties, or on the advice of legal counsel for the Company, its subsidiaries, or an Enterprise or on information or records given or reports made to the Company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is not exclusive and does not limit in any way the other circumstances in which the Indemnitee may be deemed to have met the applicable standard of conduct set forth in this Agreement.</w:t>
      </w:r>
    </w:p>
    <w:p>
      <w:pPr>
        <w:spacing w:after="0" w:line="181" w:lineRule="exact"/>
        <w:rPr>
          <w:rFonts w:ascii="Arial" w:cs="Arial" w:eastAsia="Arial" w:hAnsi="Arial"/>
          <w:sz w:val="17"/>
          <w:szCs w:val="17"/>
          <w:color w:val="auto"/>
        </w:rPr>
      </w:pPr>
    </w:p>
    <w:p>
      <w:pPr>
        <w:ind w:left="-40" w:right="100" w:firstLine="921"/>
        <w:spacing w:after="0" w:line="308" w:lineRule="auto"/>
        <w:tabs>
          <w:tab w:leader="none" w:pos="1249"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knowledge and/or actions, or failure to act, of any director, officer, trustee, partner, managing member, fiduciary, agent or employee of the Enterprise may not be imputed to Indemnitee for purposes of determining Indemnitee’s right to indemnification under this Agreement.</w:t>
      </w:r>
    </w:p>
    <w:p>
      <w:pPr>
        <w:spacing w:after="0" w:line="255"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Remedies of Indemnitee.</w:t>
      </w:r>
    </w:p>
    <w:p>
      <w:pPr>
        <w:spacing w:after="0" w:line="117" w:lineRule="exact"/>
        <w:rPr>
          <w:sz w:val="20"/>
          <w:szCs w:val="20"/>
          <w:color w:val="auto"/>
        </w:rPr>
      </w:pPr>
    </w:p>
    <w:p>
      <w:pPr>
        <w:ind w:left="-40" w:right="20" w:firstLine="921"/>
        <w:spacing w:after="0" w:line="269" w:lineRule="auto"/>
        <w:tabs>
          <w:tab w:leader="none" w:pos="1253"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Indemnitee may commence litigation against the Company in the Delaware Court of Chancery to obtain indemnification or advancement of Expenses provided by this Agreement in the event that (i) a determination is made pursuant to Section 12 of this Agreement that Indemnitee is not entitled to indemnification under this Agreement, (ii) the Company does not advance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ten (10) days after receipt by the Company of a written request therefor, (v) the Company does not indemnify Indemnitee pursuant to Section 3, 4, 7 or 8 of this Agreement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Alternatively, Indemnitee, at Indemnitee’s option, may seek an award in arbitration to be conducted by a single arbitrator pursuant to the Commercial Arbitration Rules of the American Arbitration Association. Indemnitee must commence such</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4" w:right="259" w:bottom="1440" w:gutter="0" w:footer="0" w:header="0"/>
        </w:sectPr>
      </w:pPr>
    </w:p>
    <w:bookmarkStart w:id="21" w:name="page22"/>
    <w:bookmarkEnd w:id="21"/>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Proceeding seeking an adjudication or an award in arbitration within 180 days following the date on which Indemnitee first has the right to commence such Proceeding pursuant to this Section 14(a);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clause does not apply in respect of a Proceeding brought by Indemnitee to enforce Indemnitee’s rights under Section 5 of this Agreement. The Company will not oppose Indemnitee’s right to seek any such adjudication or award in arbitration.</w:t>
      </w:r>
    </w:p>
    <w:p>
      <w:pPr>
        <w:spacing w:after="0" w:line="187" w:lineRule="exact"/>
        <w:rPr>
          <w:sz w:val="20"/>
          <w:szCs w:val="20"/>
          <w:color w:val="auto"/>
        </w:rPr>
      </w:pPr>
    </w:p>
    <w:p>
      <w:pPr>
        <w:ind w:right="200" w:firstLine="921"/>
        <w:spacing w:after="0" w:line="276" w:lineRule="auto"/>
        <w:tabs>
          <w:tab w:leader="none" w:pos="1303"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172" w:lineRule="exact"/>
        <w:rPr>
          <w:rFonts w:ascii="Arial" w:cs="Arial" w:eastAsia="Arial" w:hAnsi="Arial"/>
          <w:sz w:val="17"/>
          <w:szCs w:val="17"/>
          <w:color w:val="auto"/>
        </w:rPr>
      </w:pPr>
    </w:p>
    <w:p>
      <w:pPr>
        <w:ind w:right="220" w:firstLine="921"/>
        <w:spacing w:after="0" w:line="259" w:lineRule="auto"/>
        <w:tabs>
          <w:tab w:leader="none" w:pos="12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 determination is made pursuant to Section 12 of this Agreement that Indemnitee is entitled to indemnification, the Company will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ind w:right="60" w:firstLine="921"/>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is, to the fullest extent not prohibited by law, precluded from asserting in any judicial proceeding or arbitration commenced pursuant to this Section 14 that the procedures and presumptions of this Agreement are not valid, binding and enforceable and will stipulate in any such court or before any such arbitrator that the Company is bound by all the provisions of this Agreement.</w:t>
      </w:r>
    </w:p>
    <w:p>
      <w:pPr>
        <w:spacing w:after="0" w:line="181" w:lineRule="exact"/>
        <w:rPr>
          <w:rFonts w:ascii="Arial" w:cs="Arial" w:eastAsia="Arial" w:hAnsi="Arial"/>
          <w:sz w:val="18"/>
          <w:szCs w:val="18"/>
          <w:color w:val="auto"/>
        </w:rPr>
      </w:pPr>
    </w:p>
    <w:p>
      <w:pPr>
        <w:ind w:firstLine="921"/>
        <w:spacing w:after="0" w:line="254" w:lineRule="auto"/>
        <w:tabs>
          <w:tab w:leader="none" w:pos="12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to the fullest extent permitted by law, will (within ten (10) days after receipt by the Company of a written request therefor) advance to Indemnitee such Expenses which are incurred by Indemnitee in connection with any action concerning this Agreement, Indemnitee’s right to indemnification or advancement of Expenses from the Company, or concerning any directors’ and officers’ liability insurance policies maintained by the Company. and will indemnify Indemnitee against any and all such Expenses unless the court determines that each of the Indemnitee’s claims in such Proceeding were made in bad faith or were frivolous or are prohibited by law.</w:t>
      </w:r>
    </w:p>
    <w:p>
      <w:pPr>
        <w:spacing w:after="0" w:line="300"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6"/>
          <w:szCs w:val="16"/>
          <w:u w:val="single" w:color="auto"/>
          <w:color w:val="auto"/>
        </w:rPr>
        <w:t>Establishment of Trust</w:t>
      </w:r>
      <w:r>
        <w:rPr>
          <w:rFonts w:ascii="Arial" w:cs="Arial" w:eastAsia="Arial" w:hAnsi="Arial"/>
          <w:sz w:val="16"/>
          <w:szCs w:val="16"/>
          <w:color w:val="auto"/>
        </w:rPr>
        <w:t>.</w:t>
      </w:r>
    </w:p>
    <w:p>
      <w:pPr>
        <w:spacing w:after="0" w:line="117" w:lineRule="exact"/>
        <w:rPr>
          <w:sz w:val="20"/>
          <w:szCs w:val="20"/>
          <w:color w:val="auto"/>
        </w:rPr>
      </w:pPr>
    </w:p>
    <w:p>
      <w:pPr>
        <w:ind w:firstLine="921"/>
        <w:spacing w:after="0" w:line="264" w:lineRule="auto"/>
        <w:tabs>
          <w:tab w:leader="none" w:pos="129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event of a Potential Change in Control or a Change in Control, the Company will, upon written request by Indemnitee, create a trust for the benefit of Indemnitee (the “Trust”) and from time to time upon written request of Indemnitee will fund such Trust in an amount sufficient to satisfy the reasonably anticipated indemnification and advancement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of the Company to the Indemnitee in connection with any Proceeding for which Indemnitee has demanded indemnification and/or advancement prior to the Potential Change in Control or Change in Control (the “Funding Obligation”). The trustee of the Trust (the “Trustee”) will be a bank or trust company or other individual or entity chosen by the Indemnitee and reasonably acceptable to the Company. Nothing in this Section 15 relieves the Company of any of its obligations under this Agreement.</w:t>
      </w:r>
    </w:p>
    <w:p>
      <w:pPr>
        <w:spacing w:after="0" w:line="187" w:lineRule="exact"/>
        <w:rPr>
          <w:sz w:val="20"/>
          <w:szCs w:val="20"/>
          <w:color w:val="auto"/>
        </w:rPr>
      </w:pPr>
    </w:p>
    <w:p>
      <w:pPr>
        <w:ind w:firstLine="921"/>
        <w:spacing w:after="0" w:line="269"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 or amounts to be deposited in the Trust pursuant to the Funding Obligation will be determined by mutual agreement of the Indemnitee and the Company or, if the Company and the Indemnitee are unable to reach such an agreement, by Independent Counsel selected in accordance with Section 12(b) of this Agreement. The terms of the Trust will provide that, except upon the consent of both the Indemnitee and the Company, upon a Change in Control: (i) the Trust may not be revoked, or the principal thereof invaded, without the written consent of the Indemnitee; (ii) the Trustee will advance, to the fullest extent permitted by applicable law, within two (2) business days of a request by the Indemnitee; (iii) the Company will continue to fund the Trust in accordance with the Funding Obligation; (iv) the Trustee will promptly pay to the Indemnitee all amounts for which the Indemnitee is entitled to indemnification pursuant to this Agreement or otherwise; and (v) all unexpended funds in such Trust revert to the Company upon mutual agreement by the Indemnitee and the Company or, if the Indemnitee and the Company are unable to reach such an agreement, by Independent Counsel selected in accordance with Section 12(b) of this Agreement, that the Indemnitee has been fully indemnified under the terms of this Agreement. New York law (without regard to its conflicts of laws rules) governs the Trust and the Trustee will consent to the exclusive jurisdiction of Delaware Court of Chancery, in accordance with Section 25 of this Agreement.</w:t>
      </w:r>
    </w:p>
    <w:p>
      <w:pPr>
        <w:spacing w:after="0" w:line="291"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Non-exclusivity; Survival of Rights; Insurance; Subrogation</w:t>
      </w:r>
      <w:r>
        <w:rPr>
          <w:rFonts w:ascii="Arial" w:cs="Arial" w:eastAsia="Arial" w:hAnsi="Arial"/>
          <w:sz w:val="16"/>
          <w:szCs w:val="16"/>
          <w:color w:val="auto"/>
        </w:rPr>
        <w:t>.</w:t>
      </w:r>
    </w:p>
    <w:p>
      <w:pPr>
        <w:spacing w:after="0" w:line="117" w:lineRule="exact"/>
        <w:rPr>
          <w:sz w:val="20"/>
          <w:szCs w:val="20"/>
          <w:color w:val="auto"/>
        </w:rPr>
      </w:pPr>
    </w:p>
    <w:p>
      <w:pPr>
        <w:ind w:right="40" w:firstLine="921"/>
        <w:spacing w:after="0" w:line="270" w:lineRule="auto"/>
        <w:tabs>
          <w:tab w:leader="none" w:pos="128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this Agreement are not exclusive of any other rights to which Indemnitee may at any time be entitled under applicable law, the Certificate of Incorporation, the Bylaws, any agreement, a vote of stockholders or a resolution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177" w:lineRule="exact"/>
        <w:rPr>
          <w:rFonts w:ascii="Arial" w:cs="Arial" w:eastAsia="Arial" w:hAnsi="Arial"/>
          <w:sz w:val="17"/>
          <w:szCs w:val="17"/>
          <w:color w:val="auto"/>
        </w:rPr>
      </w:pPr>
    </w:p>
    <w:p>
      <w:pPr>
        <w:ind w:right="20" w:firstLine="921"/>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hereby acknowledges that Indemnitee may have certain rights to indemnification, advancement of Expenses and/or insurance provided by one or more Persons with whom or which Indemnitee may be associated.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3" w:name="page24"/>
    <w:bookmarkEnd w:id="23"/>
    <w:p>
      <w:pPr>
        <w:ind w:left="1760" w:hanging="268"/>
        <w:spacing w:after="0"/>
        <w:tabs>
          <w:tab w:leader="none" w:pos="1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hereby acknowledges and agrees:</w:t>
      </w:r>
    </w:p>
    <w:p>
      <w:pPr>
        <w:spacing w:after="0" w:line="225" w:lineRule="exact"/>
        <w:rPr>
          <w:rFonts w:ascii="Arial" w:cs="Arial" w:eastAsia="Arial" w:hAnsi="Arial"/>
          <w:sz w:val="18"/>
          <w:szCs w:val="18"/>
          <w:color w:val="auto"/>
        </w:rPr>
      </w:pPr>
    </w:p>
    <w:p>
      <w:pPr>
        <w:ind w:right="400" w:firstLine="1948"/>
        <w:spacing w:after="0" w:line="342" w:lineRule="auto"/>
        <w:tabs>
          <w:tab w:leader="none" w:pos="2270"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Company is the indemnitor of first resort with respect to any request for indemnification or advancement of Expenses made pursuant to this Agreement concerning any Proceeding arising from or related to Indemnitee’s Corporate Status with the Company;</w:t>
      </w:r>
    </w:p>
    <w:p>
      <w:pPr>
        <w:spacing w:after="0" w:line="123" w:lineRule="exact"/>
        <w:rPr>
          <w:rFonts w:ascii="Arial" w:cs="Arial" w:eastAsia="Arial" w:hAnsi="Arial"/>
          <w:sz w:val="16"/>
          <w:szCs w:val="16"/>
          <w:color w:val="auto"/>
        </w:rPr>
      </w:pPr>
    </w:p>
    <w:p>
      <w:pPr>
        <w:ind w:right="60" w:firstLine="1948"/>
        <w:spacing w:after="0" w:line="264" w:lineRule="auto"/>
        <w:tabs>
          <w:tab w:leader="none" w:pos="2315"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Company is primarily liable for all indemnification and indemnification or advancement of Expenses obligations for any Proceeding arising from or related to Indemnitee’s Corporate Status, whether created by law, organizational or constituent documents, contract (including this Agreement) or otherwise;</w:t>
      </w:r>
    </w:p>
    <w:p>
      <w:pPr>
        <w:spacing w:after="0" w:line="181" w:lineRule="exact"/>
        <w:rPr>
          <w:rFonts w:ascii="Arial" w:cs="Arial" w:eastAsia="Arial" w:hAnsi="Arial"/>
          <w:sz w:val="18"/>
          <w:szCs w:val="18"/>
          <w:color w:val="auto"/>
        </w:rPr>
      </w:pPr>
    </w:p>
    <w:p>
      <w:pPr>
        <w:ind w:right="500" w:firstLine="1948"/>
        <w:spacing w:after="0" w:line="308" w:lineRule="auto"/>
        <w:tabs>
          <w:tab w:leader="none" w:pos="2270" w:val="left"/>
        </w:tabs>
        <w:numPr>
          <w:ilvl w:val="2"/>
          <w:numId w:val="28"/>
        </w:numPr>
        <w:rPr>
          <w:rFonts w:ascii="Arial" w:cs="Arial" w:eastAsia="Arial" w:hAnsi="Arial"/>
          <w:sz w:val="17"/>
          <w:szCs w:val="17"/>
          <w:color w:val="auto"/>
        </w:rPr>
      </w:pPr>
      <w:r>
        <w:rPr>
          <w:rFonts w:ascii="Arial" w:cs="Arial" w:eastAsia="Arial" w:hAnsi="Arial"/>
          <w:sz w:val="17"/>
          <w:szCs w:val="17"/>
          <w:color w:val="auto"/>
        </w:rPr>
        <w:t>any obligation of any other Persons with whom or which Indemnitee may be associated to indemnify Indemnitee and/or advance Expenses to Indemnitee in respect of any proceeding are secondary to the obligations of the Company’s obligations;</w:t>
      </w:r>
    </w:p>
    <w:p>
      <w:pPr>
        <w:spacing w:after="0" w:line="146" w:lineRule="exact"/>
        <w:rPr>
          <w:rFonts w:ascii="Arial" w:cs="Arial" w:eastAsia="Arial" w:hAnsi="Arial"/>
          <w:sz w:val="17"/>
          <w:szCs w:val="17"/>
          <w:color w:val="auto"/>
        </w:rPr>
      </w:pPr>
    </w:p>
    <w:p>
      <w:pPr>
        <w:ind w:right="60" w:firstLine="1948"/>
        <w:spacing w:after="0" w:line="264" w:lineRule="auto"/>
        <w:tabs>
          <w:tab w:leader="none" w:pos="227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Company will indemnify Indemnitee and advance Expenses to Indemnitee hereunder to the fullest extent provided herein without regard to any rights Indemnitee may have against any other Person with whom or which Indemnitee may be associated or insurer of any such Person; and</w:t>
      </w:r>
    </w:p>
    <w:p>
      <w:pPr>
        <w:spacing w:after="0" w:line="181" w:lineRule="exact"/>
        <w:rPr>
          <w:rFonts w:ascii="Arial" w:cs="Arial" w:eastAsia="Arial" w:hAnsi="Arial"/>
          <w:sz w:val="18"/>
          <w:szCs w:val="18"/>
          <w:color w:val="auto"/>
        </w:rPr>
      </w:pPr>
    </w:p>
    <w:p>
      <w:pPr>
        <w:ind w:right="100" w:firstLine="1492"/>
        <w:spacing w:after="0" w:line="264" w:lineRule="auto"/>
        <w:tabs>
          <w:tab w:leader="none" w:pos="180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irrevocably waives, relinquishes and releases any other Person with whom or which Indemnitee may be associated from any claim of contribution, subrogation, reimbursement, exoneration or indemnification, or any other recovery of any kind in respect of amounts paid by the Company to Indemnitee pursuant to this Agreement.</w:t>
      </w:r>
    </w:p>
    <w:p>
      <w:pPr>
        <w:spacing w:after="0" w:line="181" w:lineRule="exact"/>
        <w:rPr>
          <w:rFonts w:ascii="Arial" w:cs="Arial" w:eastAsia="Arial" w:hAnsi="Arial"/>
          <w:sz w:val="18"/>
          <w:szCs w:val="18"/>
          <w:color w:val="auto"/>
        </w:rPr>
      </w:pPr>
    </w:p>
    <w:p>
      <w:pPr>
        <w:ind w:right="20" w:firstLine="1492"/>
        <w:spacing w:after="0" w:line="257" w:lineRule="auto"/>
        <w:tabs>
          <w:tab w:leader="none" w:pos="1859"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the event any other Person with whom or which Indemnitee may be associated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or their insurers affect the obligations of the Company hereunder or shift primary liability for the Company’s obligation to indemnify or advance of Expenses to any other Person with whom or which Indemnitee may be associated.</w:t>
      </w:r>
    </w:p>
    <w:p>
      <w:pPr>
        <w:spacing w:after="0" w:line="188" w:lineRule="exact"/>
        <w:rPr>
          <w:rFonts w:ascii="Arial" w:cs="Arial" w:eastAsia="Arial" w:hAnsi="Arial"/>
          <w:sz w:val="18"/>
          <w:szCs w:val="18"/>
          <w:color w:val="auto"/>
        </w:rPr>
      </w:pPr>
    </w:p>
    <w:p>
      <w:pPr>
        <w:ind w:firstLine="1492"/>
        <w:spacing w:after="0" w:line="264" w:lineRule="auto"/>
        <w:tabs>
          <w:tab w:leader="none" w:pos="182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indemnification or advancement of Expenses provided by any other Person with whom or which Indemnitee may be associated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81" w:lineRule="exact"/>
        <w:rPr>
          <w:rFonts w:ascii="Arial" w:cs="Arial" w:eastAsia="Arial" w:hAnsi="Arial"/>
          <w:sz w:val="18"/>
          <w:szCs w:val="18"/>
          <w:color w:val="auto"/>
        </w:rPr>
      </w:pPr>
    </w:p>
    <w:p>
      <w:pPr>
        <w:ind w:right="80" w:firstLine="921"/>
        <w:spacing w:after="0" w:line="257" w:lineRule="auto"/>
        <w:tabs>
          <w:tab w:leader="none" w:pos="12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that the Company maintains an insurance policy or policies providing liability insurance for directors, officers, employees or agents of the Enterprise,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4" w:name="page25"/>
    <w:bookmarkEnd w:id="2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liability insurance in effect, the Company will give prompt notice of such claim or of the commencement of a Proceeding, as the case may be, to the insurers in accordance with the procedures set forth in the respective policies. The Company will thereafter take all necessary or desirable action to cause such insurers to pay, on behalf of the Indemnitee, all amounts payable as a result of such Proceeding in accordance with the terms of such policies. Indemnitee agrees to assist the Company efforts to cause the insurers to pay such amounts and will comply with the terms of such policies, including selection of approved panel counsel, if required.</w:t>
      </w:r>
    </w:p>
    <w:p>
      <w:pPr>
        <w:spacing w:after="0" w:line="188" w:lineRule="exact"/>
        <w:rPr>
          <w:sz w:val="20"/>
          <w:szCs w:val="20"/>
          <w:color w:val="auto"/>
        </w:rPr>
      </w:pPr>
    </w:p>
    <w:p>
      <w:pPr>
        <w:ind w:right="260" w:firstLine="921"/>
        <w:spacing w:after="0" w:line="272"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77" w:lineRule="exact"/>
        <w:rPr>
          <w:rFonts w:ascii="Arial" w:cs="Arial" w:eastAsia="Arial" w:hAnsi="Arial"/>
          <w:sz w:val="17"/>
          <w:szCs w:val="17"/>
          <w:color w:val="auto"/>
        </w:rPr>
      </w:pPr>
    </w:p>
    <w:p>
      <w:pPr>
        <w:ind w:right="40" w:firstLine="921"/>
        <w:spacing w:after="0" w:line="312" w:lineRule="auto"/>
        <w:tabs>
          <w:tab w:leader="none" w:pos="1293"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event of any payment made by the Company under this Agreement, the Company will be subrogated to the extent of such payment to all of the rights of recovery of Indemnitee from any Enterprise or insurance carrier. Indemnitee will execute all papers required and take all action necessary to secure such rights, including execution of such documents as are necessary to enable the Company to bring suit to enforce such rights.</w:t>
      </w:r>
    </w:p>
    <w:p>
      <w:pPr>
        <w:spacing w:after="0" w:line="14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Duration of Agreement</w:t>
      </w:r>
      <w:r>
        <w:rPr>
          <w:rFonts w:ascii="Arial" w:cs="Arial" w:eastAsia="Arial" w:hAnsi="Arial"/>
          <w:sz w:val="17"/>
          <w:szCs w:val="17"/>
          <w:color w:val="auto"/>
        </w:rPr>
        <w:t>. This Agreement continues until and terminates upon the later of: (a) ten (10) years after the date that Indemnitee ceases to serve as a [director/officer] of the Company or (b) one (1) year after the final termination of any Proceeding then pending in respect of which Indemnitee is granted rights of indemnification or advancement of Expenses hereunder and of any Proceeding commenced by Indemnitee pursuant to Section 14 of this Agreement relating thereto. The indemnification and advancement of Expenses rights provided by or granted pursuant to this Agreement are binding upon and be enforceable by the parties hereto and their respective successors and assigns (including any direct or indirect successor by purchase, merger, consolidation or otherwise to all or substantially all of the business or assets of the Company), continue as to an Indemnitee who has ceased to be a director, officer, employee or agent of the Company or of any other Enterprise, and inure to the benefit of Indemnitee and Indemnitee’s spouse, assigns, heirs, devisees, executors and administrators and other legal representatives.</w:t>
      </w:r>
    </w:p>
    <w:p>
      <w:pPr>
        <w:spacing w:after="0" w:line="179"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or provisions of this Agreement is held to be invalid, illegal or unenforceable for any reason whatsoever:</w:t>
      </w:r>
    </w:p>
    <w:p>
      <w:pPr>
        <w:spacing w:after="0" w:line="23" w:lineRule="exact"/>
        <w:rPr>
          <w:sz w:val="20"/>
          <w:szCs w:val="20"/>
          <w:color w:val="auto"/>
        </w:rPr>
      </w:pPr>
    </w:p>
    <w:p>
      <w:pPr>
        <w:ind w:right="40" w:firstLine="8"/>
        <w:spacing w:after="0" w:line="273" w:lineRule="auto"/>
        <w:tabs>
          <w:tab w:leader="none" w:pos="2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will not in any way be affected or impaired thereby and remain enforceable to the fullest extent permitted by law; (b) such provision or provisions will be deemed reformed to the extent necessary to conform to applicable law and to give the maximum effect to the intent of the parties hereto; and (c) to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5" w:name="page26"/>
    <w:bookmarkEnd w:id="25"/>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Interpretation</w:t>
      </w:r>
      <w:r>
        <w:rPr>
          <w:rFonts w:ascii="Arial" w:cs="Arial" w:eastAsia="Arial" w:hAnsi="Arial"/>
          <w:sz w:val="18"/>
          <w:szCs w:val="18"/>
          <w:color w:val="auto"/>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in excess of that expressly provided, without limitation, by the Certificate of Incorporation, the Bylaws, vote of the Company stockholders or disinterested directors, or applicable law.</w:t>
      </w:r>
    </w:p>
    <w:p>
      <w:pPr>
        <w:spacing w:after="0" w:line="295"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Enforcement</w:t>
      </w:r>
      <w:r>
        <w:rPr>
          <w:rFonts w:ascii="Arial" w:cs="Arial" w:eastAsia="Arial" w:hAnsi="Arial"/>
          <w:sz w:val="16"/>
          <w:szCs w:val="16"/>
          <w:color w:val="auto"/>
        </w:rPr>
        <w:t>.</w:t>
      </w:r>
    </w:p>
    <w:p>
      <w:pPr>
        <w:spacing w:after="0" w:line="117" w:lineRule="exact"/>
        <w:rPr>
          <w:sz w:val="20"/>
          <w:szCs w:val="20"/>
          <w:color w:val="auto"/>
        </w:rPr>
      </w:pPr>
    </w:p>
    <w:p>
      <w:pPr>
        <w:ind w:right="160" w:firstLine="921"/>
        <w:spacing w:after="0" w:line="264" w:lineRule="auto"/>
        <w:tabs>
          <w:tab w:leader="none" w:pos="12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spacing w:after="0" w:line="181" w:lineRule="exact"/>
        <w:rPr>
          <w:rFonts w:ascii="Arial" w:cs="Arial" w:eastAsia="Arial" w:hAnsi="Arial"/>
          <w:sz w:val="18"/>
          <w:szCs w:val="18"/>
          <w:color w:val="auto"/>
        </w:rPr>
      </w:pPr>
    </w:p>
    <w:p>
      <w:pPr>
        <w:ind w:firstLine="921"/>
        <w:spacing w:after="0" w:line="259"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is a supplement to and in furtherance of the Certificate of Incorporation, the Bylaws and applicable law, and is not a substitute therefor, nor to diminish or abrogate any rights of Indemnitee thereunder.</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of this Agreement is binding unless executed in writing by the parties hereto. No waiver of any of the provisions of this Agreement will be deemed or constitutes a waiver of any other provisions of this Agreement nor will any waiver constitute a continuing waiver.</w:t>
      </w:r>
    </w:p>
    <w:p>
      <w:pPr>
        <w:spacing w:after="0" w:line="18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8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under this Agreement will be in writing and will be deemed to have been duly given if (a) delivered by hand to the other party, (b) sent by reputable overnight courier to the other party or (c) sent by electronic mail, with receipt of oral confirmation that such communication has been received:</w:t>
      </w:r>
    </w:p>
    <w:p>
      <w:pPr>
        <w:spacing w:after="0" w:line="181" w:lineRule="exact"/>
        <w:rPr>
          <w:sz w:val="20"/>
          <w:szCs w:val="20"/>
          <w:color w:val="auto"/>
        </w:rPr>
      </w:pPr>
    </w:p>
    <w:p>
      <w:pPr>
        <w:ind w:left="92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Indemnitee, at the address indicated on the signature page of this Agreement, or such other address as Indemnitee provides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6" w:name="page27"/>
    <w:bookmarkEnd w:id="26"/>
    <w:p>
      <w:pPr>
        <w:ind w:left="920"/>
        <w:spacing w:after="0"/>
        <w:tabs>
          <w:tab w:leader="none" w:pos="1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r>
        <w:rPr>
          <w:sz w:val="20"/>
          <w:szCs w:val="20"/>
          <w:color w:val="auto"/>
        </w:rPr>
        <w:tab/>
      </w:r>
      <w:r>
        <w:rPr>
          <w:rFonts w:ascii="Arial" w:cs="Arial" w:eastAsia="Arial" w:hAnsi="Arial"/>
          <w:sz w:val="16"/>
          <w:szCs w:val="16"/>
          <w:color w:val="auto"/>
        </w:rPr>
        <w:t>If to the Company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Bandwidth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900 Main Campus Drive</w:t>
      </w:r>
    </w:p>
    <w:p>
      <w:pPr>
        <w:spacing w:after="0" w:line="9" w:lineRule="exact"/>
        <w:rPr>
          <w:sz w:val="20"/>
          <w:szCs w:val="20"/>
          <w:color w:val="auto"/>
        </w:rPr>
      </w:pPr>
    </w:p>
    <w:p>
      <w:pPr>
        <w:ind w:left="1500" w:right="8200" w:hanging="8"/>
        <w:spacing w:after="0" w:line="281" w:lineRule="auto"/>
        <w:tabs>
          <w:tab w:leader="none" w:pos="19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808-5150 Attention: Chris Matton</w:t>
      </w:r>
    </w:p>
    <w:p>
      <w:pPr>
        <w:spacing w:after="0" w:line="1"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Email:  cmatton@bandwidth.com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Contribution</w:t>
      </w:r>
      <w:r>
        <w:rPr>
          <w:rFonts w:ascii="Arial" w:cs="Arial" w:eastAsia="Arial" w:hAnsi="Arial"/>
          <w:sz w:val="18"/>
          <w:szCs w:val="18"/>
          <w:color w:val="auto"/>
        </w:rPr>
        <w:t>.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u w:val="single" w:color="auto"/>
          <w:color w:val="auto"/>
        </w:rPr>
        <w:t>Applicable Law and Consent to Jurisdiction</w:t>
      </w:r>
      <w:r>
        <w:rPr>
          <w:rFonts w:ascii="Arial" w:cs="Arial" w:eastAsia="Arial" w:hAnsi="Arial"/>
          <w:sz w:val="17"/>
          <w:szCs w:val="17"/>
          <w:color w:val="auto"/>
        </w:rPr>
        <w:t>. This Agreement and the legal relations among the parties are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(i) agree that any action or Proceeding arising out of or in connection with this Agreement may be brought only in the Delaware Court of Chancery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will for all purposes be deemed to be an original but all of which together constitutes one and the same Agreement. Only one such counterpart signed by the party against whom enforceability is sought needs to be produced to evidence the existence of this Agreement.</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this Agreement are inserted for convenience only and do not constitute part of this Agreement or affect the construction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Agreement to be signed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BANDWIDTH INC.</w:t>
            </w:r>
          </w:p>
        </w:tc>
        <w:tc>
          <w:tcPr>
            <w:tcW w:w="352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INDEMNITEE</w:t>
            </w:r>
          </w:p>
        </w:tc>
        <w:tc>
          <w:tcPr>
            <w:tcW w:w="0" w:type="dxa"/>
            <w:vAlign w:val="bottom"/>
          </w:tcPr>
          <w:p>
            <w:pPr>
              <w:spacing w:after="0"/>
              <w:rPr>
                <w:sz w:val="1"/>
                <w:szCs w:val="1"/>
                <w:color w:val="auto"/>
              </w:rPr>
            </w:pPr>
          </w:p>
        </w:tc>
      </w:tr>
      <w:tr>
        <w:trPr>
          <w:trHeight w:val="432"/>
        </w:trPr>
        <w:tc>
          <w:tcPr>
            <w:tcW w:w="3880" w:type="dxa"/>
            <w:vAlign w:val="bottom"/>
            <w:gridSpan w:val="2"/>
          </w:tcPr>
          <w:p>
            <w:pPr>
              <w:spacing w:after="0"/>
              <w:rPr>
                <w:sz w:val="20"/>
                <w:szCs w:val="20"/>
                <w:color w:val="auto"/>
              </w:rPr>
            </w:pPr>
            <w:r>
              <w:rPr>
                <w:rFonts w:ascii="Arial" w:cs="Arial" w:eastAsia="Arial" w:hAnsi="Arial"/>
                <w:sz w:val="18"/>
                <w:szCs w:val="18"/>
                <w:color w:val="auto"/>
              </w:rPr>
              <w:t>By:</w:t>
            </w:r>
          </w:p>
        </w:tc>
        <w:tc>
          <w:tcPr>
            <w:tcW w:w="3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tcBorders>
              <w:top w:val="single" w:sz="8" w:color="auto"/>
            </w:tcBorders>
          </w:tcPr>
          <w:p>
            <w:pPr>
              <w:spacing w:after="0"/>
              <w:rPr>
                <w:sz w:val="19"/>
                <w:szCs w:val="19"/>
                <w:color w:val="auto"/>
              </w:rPr>
            </w:pPr>
          </w:p>
        </w:tc>
        <w:tc>
          <w:tcPr>
            <w:tcW w:w="3520" w:type="dxa"/>
            <w:vAlign w:val="bottom"/>
          </w:tcPr>
          <w:p>
            <w:pPr>
              <w:spacing w:after="0"/>
              <w:rPr>
                <w:sz w:val="19"/>
                <w:szCs w:val="19"/>
                <w:color w:val="auto"/>
              </w:rPr>
            </w:pPr>
          </w:p>
        </w:tc>
        <w:tc>
          <w:tcPr>
            <w:tcW w:w="4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35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520" w:type="dxa"/>
            <w:vAlign w:val="bottom"/>
            <w:vMerge w:val="restart"/>
          </w:tcPr>
          <w:p>
            <w:pPr>
              <w:jc w:val="right"/>
              <w:ind w:right="1450"/>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52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2"/>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lowerLetter"/>
      <w:start w:val="1"/>
    </w:lvl>
    <w:lvl w:ilvl="1">
      <w:lvlJc w:val="left"/>
      <w:lvlText w:val="%2."/>
      <w:numFmt w:val="lowerRoman"/>
      <w:start w:val="1"/>
    </w:lvl>
  </w:abstractNum>
  <w:abstractNum w:abstractNumId="6">
    <w:nsid w:val="62BBD95A"/>
    <w:multiLevelType w:val="hybridMultilevel"/>
    <w:lvl w:ilvl="0">
      <w:lvlJc w:val="left"/>
      <w:lvlText w:val="%1."/>
      <w:numFmt w:val="lowerRoman"/>
      <w:start w:val="3"/>
    </w:lvl>
  </w:abstractNum>
  <w:abstractNum w:abstractNumId="7">
    <w:nsid w:val="436C6125"/>
    <w:multiLevelType w:val="hybridMultilevel"/>
    <w:lvl w:ilvl="0">
      <w:lvlJc w:val="left"/>
      <w:lvlText w:val="1"/>
      <w:numFmt w:val="bullet"/>
      <w:start w:val="1"/>
    </w:lvl>
  </w:abstractNum>
  <w:abstractNum w:abstractNumId="8">
    <w:nsid w:val="628C895D"/>
    <w:multiLevelType w:val="hybridMultilevel"/>
    <w:lvl w:ilvl="0">
      <w:lvlJc w:val="left"/>
      <w:lvlText w:val="2"/>
      <w:numFmt w:val="bullet"/>
      <w:start w:val="1"/>
    </w:lvl>
  </w:abstractNum>
  <w:abstractNum w:abstractNumId="9">
    <w:nsid w:val="333AB105"/>
    <w:multiLevelType w:val="hybridMultilevel"/>
    <w:lvl w:ilvl="0">
      <w:lvlJc w:val="left"/>
      <w:lvlText w:val="(%1)"/>
      <w:numFmt w:val="lowerLetter"/>
      <w:start w:val="2"/>
    </w:lvl>
    <w:lvl w:ilvl="1">
      <w:lvlJc w:val="left"/>
      <w:lvlText w:val="3"/>
      <w:numFmt w:val="bullet"/>
      <w:start w:val="1"/>
    </w:lvl>
  </w:abstractNum>
  <w:abstractNum w:abstractNumId="10">
    <w:nsid w:val="721DA317"/>
    <w:multiLevelType w:val="hybridMultilevel"/>
    <w:lvl w:ilvl="0">
      <w:lvlJc w:val="left"/>
      <w:lvlText w:val="(%1)"/>
      <w:numFmt w:val="lowerLetter"/>
      <w:start w:val="4"/>
    </w:lvl>
  </w:abstractNum>
  <w:abstractNum w:abstractNumId="11">
    <w:nsid w:val="2443A858"/>
    <w:multiLevelType w:val="hybridMultilevel"/>
    <w:lvl w:ilvl="0">
      <w:lvlJc w:val="left"/>
      <w:lvlText w:val="(%1)"/>
      <w:numFmt w:val="lowerRoman"/>
      <w:start w:val="1"/>
    </w:lvl>
  </w:abstractNum>
  <w:abstractNum w:abstractNumId="12">
    <w:nsid w:val="2D1D5AE9"/>
    <w:multiLevelType w:val="hybridMultilevel"/>
    <w:lvl w:ilvl="0">
      <w:lvlJc w:val="left"/>
      <w:lvlText w:val="%1"/>
      <w:numFmt w:val="lowerLetter"/>
      <w:start w:val="1"/>
    </w:lvl>
    <w:lvl w:ilvl="1">
      <w:lvlJc w:val="left"/>
      <w:lvlText w:val="(%2)"/>
      <w:numFmt w:val="lowerLetter"/>
      <w:start w:val="1"/>
    </w:lvl>
  </w:abstractNum>
  <w:abstractNum w:abstractNumId="13">
    <w:nsid w:val="6763845E"/>
    <w:multiLevelType w:val="hybridMultilevel"/>
    <w:lvl w:ilvl="0">
      <w:lvlJc w:val="left"/>
      <w:lvlText w:val="(%1)"/>
      <w:numFmt w:val="lowerLetter"/>
      <w:start w:val="35"/>
    </w:lvl>
    <w:lvl w:ilvl="1">
      <w:lvlJc w:val="left"/>
      <w:lvlText w:val="%2"/>
      <w:numFmt w:val="lowerLetter"/>
      <w:start w:val="1"/>
    </w:lvl>
  </w:abstractNum>
  <w:abstractNum w:abstractNumId="14">
    <w:nsid w:val="75A2A8D4"/>
    <w:multiLevelType w:val="hybridMultilevel"/>
    <w:lvl w:ilvl="0">
      <w:lvlJc w:val="left"/>
      <w:lvlText w:val="(%1)"/>
      <w:numFmt w:val="lowerLetter"/>
      <w:start w:val="3"/>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1"/>
    </w:lvl>
  </w:abstractNum>
  <w:abstractNum w:abstractNumId="17">
    <w:nsid w:val="4353D0CD"/>
    <w:multiLevelType w:val="hybridMultilevel"/>
    <w:lvl w:ilvl="0">
      <w:lvlJc w:val="left"/>
      <w:lvlText w:val="(%1)"/>
      <w:numFmt w:val="lowerLetter"/>
      <w:start w:val="1"/>
    </w:lvl>
    <w:lvl w:ilvl="1">
      <w:lvlJc w:val="left"/>
      <w:lvlText w:val="%2."/>
      <w:numFmt w:val="lowerRoman"/>
      <w:start w:val="1"/>
    </w:lvl>
  </w:abstractNum>
  <w:abstractNum w:abstractNumId="18">
    <w:nsid w:val="B03E0C6"/>
    <w:multiLevelType w:val="hybridMultilevel"/>
    <w:lvl w:ilvl="0">
      <w:lvlJc w:val="left"/>
      <w:lvlText w:val="(%1)"/>
      <w:numFmt w:val="lowerLetter"/>
      <w:start w:val="4"/>
    </w:lvl>
  </w:abstractNum>
  <w:abstractNum w:abstractNumId="19">
    <w:nsid w:val="189A769B"/>
    <w:multiLevelType w:val="hybridMultilevel"/>
    <w:lvl w:ilvl="0">
      <w:lvlJc w:val="left"/>
      <w:lvlText w:val="%1"/>
      <w:numFmt w:val="decimal"/>
      <w:start w:val="1"/>
    </w:lvl>
    <w:lvl w:ilvl="1">
      <w:lvlJc w:val="left"/>
      <w:lvlText w:val="(%2)"/>
      <w:numFmt w:val="lowerLetter"/>
      <w:start w:val="1"/>
    </w:lvl>
  </w:abstractNum>
  <w:abstractNum w:abstractNumId="20">
    <w:nsid w:val="54E49EB4"/>
    <w:multiLevelType w:val="hybridMultilevel"/>
    <w:lvl w:ilvl="0">
      <w:lvlJc w:val="left"/>
      <w:lvlText w:val="(%1)"/>
      <w:numFmt w:val="decimal"/>
      <w:start w:val="60"/>
    </w:lvl>
    <w:lvl w:ilvl="1">
      <w:lvlJc w:val="left"/>
      <w:lvlText w:val="%2"/>
      <w:numFmt w:val="lowerLetter"/>
      <w:start w:val="1"/>
    </w:lvl>
  </w:abstractNum>
  <w:abstractNum w:abstractNumId="21">
    <w:nsid w:val="71F32454"/>
    <w:multiLevelType w:val="hybridMultilevel"/>
    <w:lvl w:ilvl="0">
      <w:lvlJc w:val="left"/>
      <w:lvlText w:val="(%1)"/>
      <w:numFmt w:val="lowerLetter"/>
      <w:start w:val="3"/>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2"/>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8">
    <w:nsid w:val="7C3DBD3D"/>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29">
    <w:nsid w:val="737B8DDC"/>
    <w:multiLevelType w:val="hybridMultilevel"/>
    <w:lvl w:ilvl="0">
      <w:lvlJc w:val="left"/>
      <w:lvlText w:val="(%1)"/>
      <w:numFmt w:val="lowerLetter"/>
      <w:start w:val="4"/>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42" Type="http://schemas.openxmlformats.org/officeDocument/2006/relationships/image" Target="media/image16.png"/><Relationship Id="rId54" Type="http://schemas.openxmlformats.org/officeDocument/2006/relationships/image" Target="media/image17.png"/><Relationship Id="rId55" Type="http://schemas.openxmlformats.org/officeDocument/2006/relationships/image" Target="media/image18.png"/><Relationship Id="rId56" Type="http://schemas.openxmlformats.org/officeDocument/2006/relationships/image" Target="media/image19.png"/><Relationship Id="rId57" Type="http://schemas.openxmlformats.org/officeDocument/2006/relationships/image" Target="media/image20.jpeg"/><Relationship Id="rId58" Type="http://schemas.openxmlformats.org/officeDocument/2006/relationships/image" Target="media/image21.png"/><Relationship Id="rId59" Type="http://schemas.openxmlformats.org/officeDocument/2006/relationships/image" Target="media/image22.jpeg"/><Relationship Id="rId60" Type="http://schemas.openxmlformats.org/officeDocument/2006/relationships/image" Target="media/image23.png"/><Relationship Id="rId61" Type="http://schemas.openxmlformats.org/officeDocument/2006/relationships/image" Target="media/image24.png"/><Relationship Id="rId62" Type="http://schemas.openxmlformats.org/officeDocument/2006/relationships/image" Target="media/image25.png"/><Relationship Id="rId63" Type="http://schemas.openxmlformats.org/officeDocument/2006/relationships/image" Target="media/image26.png"/><Relationship Id="rId64" Type="http://schemas.openxmlformats.org/officeDocument/2006/relationships/image" Target="media/image27.png"/><Relationship Id="rId65" Type="http://schemas.openxmlformats.org/officeDocument/2006/relationships/image" Target="media/image28.png"/><Relationship Id="rId66" Type="http://schemas.openxmlformats.org/officeDocument/2006/relationships/image" Target="media/image29.png"/><Relationship Id="rId67" Type="http://schemas.openxmlformats.org/officeDocument/2006/relationships/image" Target="media/image30.png"/><Relationship Id="rId68" Type="http://schemas.openxmlformats.org/officeDocument/2006/relationships/image" Target="media/image31.png"/><Relationship Id="rId69" Type="http://schemas.openxmlformats.org/officeDocument/2006/relationships/image" Target="media/image32.png"/><Relationship Id="rId70" Type="http://schemas.openxmlformats.org/officeDocument/2006/relationships/image" Target="media/image33.png"/><Relationship Id="rId71" Type="http://schemas.openxmlformats.org/officeDocument/2006/relationships/image" Target="media/image34.png"/><Relationship Id="rId72" Type="http://schemas.openxmlformats.org/officeDocument/2006/relationships/image" Target="media/image35.png"/><Relationship Id="rId73" Type="http://schemas.openxmlformats.org/officeDocument/2006/relationships/image" Target="media/image36.png"/><Relationship Id="rId74" Type="http://schemas.openxmlformats.org/officeDocument/2006/relationships/image" Target="media/image37.png"/><Relationship Id="rId75" Type="http://schemas.openxmlformats.org/officeDocument/2006/relationships/image" Target="media/image38.png"/><Relationship Id="rId23" Type="http://schemas.openxmlformats.org/officeDocument/2006/relationships/hyperlink" Target="http://www.sec.gov/Archives/edgar/data/1514416/000119312517316392/d416018dex11.htm" TargetMode="External"/><Relationship Id="rId24" Type="http://schemas.openxmlformats.org/officeDocument/2006/relationships/hyperlink" Target="http://www.sec.gov/Archives/edgar/data/1514416/000119312517309873/d416018dex21.htm" TargetMode="External"/><Relationship Id="rId25" Type="http://schemas.openxmlformats.org/officeDocument/2006/relationships/hyperlink" Target="http://www.sec.gov/Archives/edgar/data/1514416/000119312517322087/d416018dex31.htm" TargetMode="External"/><Relationship Id="rId26" Type="http://schemas.openxmlformats.org/officeDocument/2006/relationships/hyperlink" Target="http://www.sec.gov/Archives/edgar/data/1514416/000119312517322087/d416018dex32.htm" TargetMode="External"/><Relationship Id="rId27" Type="http://schemas.openxmlformats.org/officeDocument/2006/relationships/hyperlink" Target="http://www.sec.gov/Archives/edgar/data/1514416/000119312517309873/d416018dex42.htm" TargetMode="External"/><Relationship Id="rId28" Type="http://schemas.openxmlformats.org/officeDocument/2006/relationships/hyperlink" Target="http://www.sec.gov/Archives/edgar/data/1514416/000119312517309873/d416018dex43.htm" TargetMode="External"/><Relationship Id="rId29" Type="http://schemas.openxmlformats.org/officeDocument/2006/relationships/hyperlink" Target="http://www.sec.gov/Archives/edgar/data/1514416/000119312517309873/d416018dex101.htm" TargetMode="External"/><Relationship Id="rId30" Type="http://schemas.openxmlformats.org/officeDocument/2006/relationships/hyperlink" Target="http://www.sec.gov/Archives/edgar/data/1514416/000119312517309873/d416018dex103.htm" TargetMode="External"/><Relationship Id="rId31" Type="http://schemas.openxmlformats.org/officeDocument/2006/relationships/hyperlink" Target="http://www.sec.gov/Archives/edgar/data/1514416/000119312517309873/d416018dex104.htm" TargetMode="External"/><Relationship Id="rId32" Type="http://schemas.openxmlformats.org/officeDocument/2006/relationships/hyperlink" Target="http://www.sec.gov/Archives/edgar/data/1514416/000119312517309873/d416018dex105.htm" TargetMode="External"/><Relationship Id="rId33" Type="http://schemas.openxmlformats.org/officeDocument/2006/relationships/hyperlink" Target="http://www.sec.gov/Archives/edgar/data/1514416/000119312517309873/d416018dex106.htm" TargetMode="External"/><Relationship Id="rId34" Type="http://schemas.openxmlformats.org/officeDocument/2006/relationships/hyperlink" Target="http://www.sec.gov/Archives/edgar/data/1514416/000119312517309873/d416018dex107.htm" TargetMode="External"/><Relationship Id="rId35" Type="http://schemas.openxmlformats.org/officeDocument/2006/relationships/hyperlink" Target="http://www.sec.gov/Archives/edgar/data/1514416/000119312517309873/d416018dex108.htm" TargetMode="External"/><Relationship Id="rId36" Type="http://schemas.openxmlformats.org/officeDocument/2006/relationships/hyperlink" Target="http://www.sec.gov/Archives/edgar/data/1514416/000119312517309873/d416018dex109.htm" TargetMode="External"/><Relationship Id="rId37" Type="http://schemas.openxmlformats.org/officeDocument/2006/relationships/hyperlink" Target="http://www.sec.gov/Archives/edgar/data/1514416/000119312517309873/d416018dex1010.htm" TargetMode="External"/><Relationship Id="rId38" Type="http://schemas.openxmlformats.org/officeDocument/2006/relationships/hyperlink" Target="http://www.sec.gov/Archives/edgar/data/1514416/000119312517309873/d416018dex1011.htm" TargetMode="External"/><Relationship Id="rId39" Type="http://schemas.openxmlformats.org/officeDocument/2006/relationships/hyperlink" Target="http://www.sec.gov/Archives/edgar/data/1514416/000119312517309873/d416018dex1012.htm" TargetMode="External"/><Relationship Id="rId40" Type="http://schemas.openxmlformats.org/officeDocument/2006/relationships/hyperlink" Target="http://www.sec.gov/Archives/edgar/data/1514416/000119312517309873/d416018dex1013.htm" TargetMode="External"/><Relationship Id="rId41" Type="http://schemas.openxmlformats.org/officeDocument/2006/relationships/hyperlink" Target="http://www.sec.gov/Archives/edgar/data/1514416/000119312517309873/d416018dex1014.htm" TargetMode="External"/><Relationship Id="rId43" Type="http://schemas.openxmlformats.org/officeDocument/2006/relationships/hyperlink" Target="http://www.sec.gov/Archives/edgar/data/1514416/000119312517309873/d416018dex1015.htm" TargetMode="External"/><Relationship Id="rId44" Type="http://schemas.openxmlformats.org/officeDocument/2006/relationships/hyperlink" Target="http://www.sec.gov/Archives/edgar/data/1514416/000119312517309873/d416018dex1016.htm" TargetMode="External"/><Relationship Id="rId45" Type="http://schemas.openxmlformats.org/officeDocument/2006/relationships/hyperlink" Target="http://www.sec.gov/Archives/edgar/data/1514416/000119312517309873/d416018dex1017.htm" TargetMode="External"/><Relationship Id="rId46" Type="http://schemas.openxmlformats.org/officeDocument/2006/relationships/hyperlink" Target="http://www.sec.gov/Archives/edgar/data/1514416/000119312517309873/d416018dex1018.htm" TargetMode="External"/><Relationship Id="rId47" Type="http://schemas.openxmlformats.org/officeDocument/2006/relationships/hyperlink" Target="http://www.sec.gov/Archives/edgar/data/1514416/000119312517309873/d416018dex1019.htm" TargetMode="External"/><Relationship Id="rId48" Type="http://schemas.openxmlformats.org/officeDocument/2006/relationships/hyperlink" Target="http://www.sec.gov/Archives/edgar/data/1514416/000119312517323803/d416018dex1020.htm" TargetMode="External"/><Relationship Id="rId49" Type="http://schemas.openxmlformats.org/officeDocument/2006/relationships/hyperlink" Target="http://www.sec.gov/Archives/edgar/data/1514416/000119312517322087/d416018dex1021.htm" TargetMode="External"/><Relationship Id="rId50" Type="http://schemas.openxmlformats.org/officeDocument/2006/relationships/hyperlink" Target="http://www.sec.gov/Archives/edgar/data/1514416/000119312517309873/d416018dex211.htm" TargetMode="External"/><Relationship Id="rId51" Type="http://schemas.openxmlformats.org/officeDocument/2006/relationships/hyperlink" Target="http://www.sec.gov/Archives/edgar/data/1514416/000119312517323803/d416018dex231.htm" TargetMode="External"/><Relationship Id="rId52" Type="http://schemas.openxmlformats.org/officeDocument/2006/relationships/hyperlink" Target="http://www.sec.gov/Archives/edgar/data/1514416/000119312517316392/d416018dex233.htm" TargetMode="External"/><Relationship Id="rId53" Type="http://schemas.openxmlformats.org/officeDocument/2006/relationships/hyperlink" Target="http://www.sec.gov/Archives/edgar/data/1514416/000119312517309873/d416018ds1.htm#rom416018_23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2019-12-07T15:12:02Z</dcterms:created>
  <dcterms:modified xsi:type="dcterms:W3CDTF">2019-12-07T15:12:02Z</dcterms:modified>
</cp:coreProperties>
</file>