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145415</wp:posOffset>
            </wp:positionH>
            <wp:positionV relativeFrom="page">
              <wp:posOffset>744220</wp:posOffset>
            </wp:positionV>
            <wp:extent cx="72428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2810" cy="6985"/>
                    </a:xfrm>
                    <a:prstGeom prst="rect">
                      <a:avLst/>
                    </a:prstGeom>
                    <a:noFill/>
                  </pic:spPr>
                </pic:pic>
              </a:graphicData>
            </a:graphic>
          </wp:anchor>
        </w:drawing>
        <w:drawing>
          <wp:anchor simplePos="0" relativeHeight="251657728" behindDoc="1" locked="0" layoutInCell="0" allowOverlap="1">
            <wp:simplePos x="0" y="0"/>
            <wp:positionH relativeFrom="page">
              <wp:posOffset>145415</wp:posOffset>
            </wp:positionH>
            <wp:positionV relativeFrom="page">
              <wp:posOffset>708660</wp:posOffset>
            </wp:positionV>
            <wp:extent cx="7242810"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2810" cy="1397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60"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4, 2019 (March 1, 2019)</w:t>
      </w:r>
    </w:p>
    <w:p>
      <w:pPr>
        <w:spacing w:after="0" w:line="18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Bandwidth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5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w:t>
      </w:r>
    </w:p>
    <w:p>
      <w:pPr>
        <w:spacing w:after="0" w:line="313" w:lineRule="exact"/>
        <w:rPr>
          <w:sz w:val="24"/>
          <w:szCs w:val="24"/>
          <w:color w:val="auto"/>
        </w:rPr>
      </w:pPr>
    </w:p>
    <w:tbl>
      <w:tblPr>
        <w:tblLayout w:type="fixed"/>
        <w:tblInd w:w="1320" w:type="dxa"/>
        <w:tblCellMar>
          <w:top w:w="0" w:type="dxa"/>
          <w:left w:w="0" w:type="dxa"/>
          <w:bottom w:w="0" w:type="dxa"/>
          <w:right w:w="0" w:type="dxa"/>
        </w:tblCellMar>
      </w:tblPr>
      <w:tr>
        <w:trPr>
          <w:trHeight w:val="186"/>
        </w:trPr>
        <w:tc>
          <w:tcPr>
            <w:tcW w:w="2400" w:type="dxa"/>
            <w:vAlign w:val="bottom"/>
          </w:tcPr>
          <w:p>
            <w:pPr>
              <w:jc w:val="center"/>
              <w:ind w:right="673"/>
              <w:spacing w:after="0"/>
              <w:rPr>
                <w:sz w:val="20"/>
                <w:szCs w:val="20"/>
                <w:color w:val="auto"/>
              </w:rPr>
            </w:pPr>
            <w:r>
              <w:rPr>
                <w:rFonts w:ascii="Times New Roman" w:cs="Times New Roman" w:eastAsia="Times New Roman" w:hAnsi="Times New Roman"/>
                <w:sz w:val="15"/>
                <w:szCs w:val="15"/>
                <w:b w:val="1"/>
                <w:bCs w:val="1"/>
                <w:color w:val="auto"/>
                <w:w w:val="95"/>
              </w:rPr>
              <w:t>Delaware</w:t>
            </w:r>
          </w:p>
        </w:tc>
        <w:tc>
          <w:tcPr>
            <w:tcW w:w="4360" w:type="dxa"/>
            <w:vAlign w:val="bottom"/>
          </w:tcPr>
          <w:p>
            <w:pPr>
              <w:ind w:left="1660"/>
              <w:spacing w:after="0"/>
              <w:rPr>
                <w:sz w:val="20"/>
                <w:szCs w:val="20"/>
                <w:color w:val="auto"/>
              </w:rPr>
            </w:pPr>
            <w:r>
              <w:rPr>
                <w:rFonts w:ascii="Times New Roman" w:cs="Times New Roman" w:eastAsia="Times New Roman" w:hAnsi="Times New Roman"/>
                <w:sz w:val="15"/>
                <w:szCs w:val="15"/>
                <w:b w:val="1"/>
                <w:bCs w:val="1"/>
                <w:color w:val="auto"/>
              </w:rPr>
              <w:t>001-38285</w:t>
            </w:r>
          </w:p>
        </w:tc>
        <w:tc>
          <w:tcPr>
            <w:tcW w:w="1680" w:type="dxa"/>
            <w:vAlign w:val="bottom"/>
          </w:tcPr>
          <w:p>
            <w:pPr>
              <w:jc w:val="center"/>
              <w:ind w:left="695"/>
              <w:spacing w:after="0"/>
              <w:rPr>
                <w:sz w:val="20"/>
                <w:szCs w:val="20"/>
                <w:color w:val="auto"/>
              </w:rPr>
            </w:pPr>
            <w:r>
              <w:rPr>
                <w:rFonts w:ascii="Times New Roman" w:cs="Times New Roman" w:eastAsia="Times New Roman" w:hAnsi="Times New Roman"/>
                <w:sz w:val="15"/>
                <w:szCs w:val="15"/>
                <w:b w:val="1"/>
                <w:bCs w:val="1"/>
                <w:color w:val="auto"/>
                <w:w w:val="99"/>
              </w:rPr>
              <w:t>56-2242657</w:t>
            </w:r>
          </w:p>
        </w:tc>
        <w:tc>
          <w:tcPr>
            <w:tcW w:w="0" w:type="dxa"/>
            <w:vAlign w:val="bottom"/>
          </w:tcPr>
          <w:p>
            <w:pPr>
              <w:spacing w:after="0"/>
              <w:rPr>
                <w:sz w:val="1"/>
                <w:szCs w:val="1"/>
                <w:color w:val="auto"/>
              </w:rPr>
            </w:pPr>
          </w:p>
        </w:tc>
      </w:tr>
      <w:tr>
        <w:trPr>
          <w:trHeight w:val="119"/>
        </w:trPr>
        <w:tc>
          <w:tcPr>
            <w:tcW w:w="2400" w:type="dxa"/>
            <w:vAlign w:val="bottom"/>
          </w:tcPr>
          <w:p>
            <w:pPr>
              <w:jc w:val="center"/>
              <w:ind w:right="673"/>
              <w:spacing w:after="0" w:line="12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w:t>
            </w:r>
          </w:p>
        </w:tc>
        <w:tc>
          <w:tcPr>
            <w:tcW w:w="4360" w:type="dxa"/>
            <w:vAlign w:val="bottom"/>
          </w:tcPr>
          <w:p>
            <w:pPr>
              <w:ind w:left="1660"/>
              <w:spacing w:after="0" w:line="120"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1680" w:type="dxa"/>
            <w:vAlign w:val="bottom"/>
          </w:tcPr>
          <w:p>
            <w:pPr>
              <w:jc w:val="center"/>
              <w:ind w:left="695"/>
              <w:spacing w:after="0" w:line="12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c>
          <w:tcPr>
            <w:tcW w:w="0" w:type="dxa"/>
            <w:vAlign w:val="bottom"/>
          </w:tcPr>
          <w:p>
            <w:pPr>
              <w:spacing w:after="0"/>
              <w:rPr>
                <w:sz w:val="1"/>
                <w:szCs w:val="1"/>
                <w:color w:val="auto"/>
              </w:rPr>
            </w:pPr>
          </w:p>
        </w:tc>
      </w:tr>
      <w:tr>
        <w:trPr>
          <w:trHeight w:val="155"/>
        </w:trPr>
        <w:tc>
          <w:tcPr>
            <w:tcW w:w="2400" w:type="dxa"/>
            <w:vAlign w:val="bottom"/>
          </w:tcPr>
          <w:p>
            <w:pPr>
              <w:jc w:val="center"/>
              <w:ind w:right="673"/>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4360" w:type="dxa"/>
            <w:vAlign w:val="bottom"/>
          </w:tcPr>
          <w:p>
            <w:pPr>
              <w:ind w:left="164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680" w:type="dxa"/>
            <w:vAlign w:val="bottom"/>
          </w:tcPr>
          <w:p>
            <w:pPr>
              <w:jc w:val="center"/>
              <w:ind w:left="695"/>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c>
          <w:tcPr>
            <w:tcW w:w="0" w:type="dxa"/>
            <w:vAlign w:val="bottom"/>
          </w:tcPr>
          <w:p>
            <w:pPr>
              <w:spacing w:after="0"/>
              <w:rPr>
                <w:sz w:val="1"/>
                <w:szCs w:val="1"/>
                <w:color w:val="auto"/>
              </w:rPr>
            </w:pPr>
          </w:p>
        </w:tc>
      </w:tr>
      <w:tr>
        <w:trPr>
          <w:trHeight w:val="288"/>
        </w:trPr>
        <w:tc>
          <w:tcPr>
            <w:tcW w:w="2400" w:type="dxa"/>
            <w:vAlign w:val="bottom"/>
          </w:tcPr>
          <w:p>
            <w:pPr>
              <w:jc w:val="center"/>
              <w:ind w:right="393"/>
              <w:spacing w:after="0"/>
              <w:rPr>
                <w:sz w:val="20"/>
                <w:szCs w:val="20"/>
                <w:color w:val="auto"/>
              </w:rPr>
            </w:pPr>
            <w:r>
              <w:rPr>
                <w:rFonts w:ascii="Times New Roman" w:cs="Times New Roman" w:eastAsia="Times New Roman" w:hAnsi="Times New Roman"/>
                <w:sz w:val="15"/>
                <w:szCs w:val="15"/>
                <w:b w:val="1"/>
                <w:bCs w:val="1"/>
                <w:color w:val="auto"/>
                <w:w w:val="98"/>
              </w:rPr>
              <w:t>900 Main Campus Drive</w:t>
            </w:r>
          </w:p>
        </w:tc>
        <w:tc>
          <w:tcPr>
            <w:tcW w:w="4360" w:type="dxa"/>
            <w:vAlign w:val="bottom"/>
          </w:tcPr>
          <w:p>
            <w:pPr>
              <w:spacing w:after="0"/>
              <w:rPr>
                <w:sz w:val="24"/>
                <w:szCs w:val="24"/>
                <w:color w:val="auto"/>
              </w:rPr>
            </w:pPr>
          </w:p>
        </w:tc>
        <w:tc>
          <w:tcPr>
            <w:tcW w:w="1680" w:type="dxa"/>
            <w:vAlign w:val="bottom"/>
            <w:vMerge w:val="restart"/>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27606</w:t>
            </w:r>
          </w:p>
        </w:tc>
        <w:tc>
          <w:tcPr>
            <w:tcW w:w="0" w:type="dxa"/>
            <w:vAlign w:val="bottom"/>
          </w:tcPr>
          <w:p>
            <w:pPr>
              <w:spacing w:after="0"/>
              <w:rPr>
                <w:sz w:val="1"/>
                <w:szCs w:val="1"/>
                <w:color w:val="auto"/>
              </w:rPr>
            </w:pPr>
          </w:p>
        </w:tc>
      </w:tr>
      <w:tr>
        <w:trPr>
          <w:trHeight w:val="180"/>
        </w:trPr>
        <w:tc>
          <w:tcPr>
            <w:tcW w:w="2400" w:type="dxa"/>
            <w:vAlign w:val="bottom"/>
          </w:tcPr>
          <w:p>
            <w:pPr>
              <w:jc w:val="center"/>
              <w:ind w:right="393"/>
              <w:spacing w:after="0"/>
              <w:rPr>
                <w:sz w:val="20"/>
                <w:szCs w:val="20"/>
                <w:color w:val="auto"/>
              </w:rPr>
            </w:pPr>
            <w:r>
              <w:rPr>
                <w:rFonts w:ascii="Times New Roman" w:cs="Times New Roman" w:eastAsia="Times New Roman" w:hAnsi="Times New Roman"/>
                <w:sz w:val="15"/>
                <w:szCs w:val="15"/>
                <w:b w:val="1"/>
                <w:bCs w:val="1"/>
                <w:color w:val="auto"/>
                <w:w w:val="99"/>
              </w:rPr>
              <w:t>Raleigh, NC</w:t>
            </w:r>
          </w:p>
        </w:tc>
        <w:tc>
          <w:tcPr>
            <w:tcW w:w="436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00" w:type="dxa"/>
            <w:vAlign w:val="bottom"/>
          </w:tcPr>
          <w:p>
            <w:pPr>
              <w:jc w:val="center"/>
              <w:ind w:right="393"/>
              <w:spacing w:after="0"/>
              <w:rPr>
                <w:sz w:val="20"/>
                <w:szCs w:val="20"/>
                <w:color w:val="auto"/>
              </w:rPr>
            </w:pPr>
            <w:r>
              <w:rPr>
                <w:rFonts w:ascii="Times New Roman" w:cs="Times New Roman" w:eastAsia="Times New Roman" w:hAnsi="Times New Roman"/>
                <w:sz w:val="12"/>
                <w:szCs w:val="12"/>
                <w:b w:val="1"/>
                <w:bCs w:val="1"/>
                <w:color w:val="auto"/>
                <w:w w:val="97"/>
              </w:rPr>
              <w:t>(Address of principal executive offices)</w:t>
            </w:r>
          </w:p>
        </w:tc>
        <w:tc>
          <w:tcPr>
            <w:tcW w:w="4360" w:type="dxa"/>
            <w:vAlign w:val="bottom"/>
          </w:tcPr>
          <w:p>
            <w:pPr>
              <w:spacing w:after="0"/>
              <w:rPr>
                <w:sz w:val="13"/>
                <w:szCs w:val="13"/>
                <w:color w:val="auto"/>
              </w:rPr>
            </w:pPr>
          </w:p>
        </w:tc>
        <w:tc>
          <w:tcPr>
            <w:tcW w:w="1680" w:type="dxa"/>
            <w:vAlign w:val="bottom"/>
          </w:tcPr>
          <w:p>
            <w:pPr>
              <w:jc w:val="center"/>
              <w:ind w:left="395"/>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r>
        <w:trPr>
          <w:trHeight w:val="322"/>
        </w:trPr>
        <w:tc>
          <w:tcPr>
            <w:tcW w:w="2400" w:type="dxa"/>
            <w:vAlign w:val="bottom"/>
          </w:tcPr>
          <w:p>
            <w:pPr>
              <w:spacing w:after="0"/>
              <w:rPr>
                <w:sz w:val="24"/>
                <w:szCs w:val="24"/>
                <w:color w:val="auto"/>
              </w:rPr>
            </w:pPr>
          </w:p>
        </w:tc>
        <w:tc>
          <w:tcPr>
            <w:tcW w:w="4360" w:type="dxa"/>
            <w:vAlign w:val="bottom"/>
          </w:tcPr>
          <w:p>
            <w:pPr>
              <w:jc w:val="center"/>
              <w:ind w:right="255"/>
              <w:spacing w:after="0"/>
              <w:rPr>
                <w:sz w:val="20"/>
                <w:szCs w:val="20"/>
                <w:color w:val="auto"/>
              </w:rPr>
            </w:pPr>
            <w:r>
              <w:rPr>
                <w:rFonts w:ascii="Times New Roman" w:cs="Times New Roman" w:eastAsia="Times New Roman" w:hAnsi="Times New Roman"/>
                <w:sz w:val="15"/>
                <w:szCs w:val="15"/>
                <w:b w:val="1"/>
                <w:bCs w:val="1"/>
                <w:color w:val="auto"/>
                <w:w w:val="98"/>
              </w:rPr>
              <w:t>(800) 808-5150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4360" w:type="dxa"/>
            <w:vAlign w:val="bottom"/>
          </w:tcPr>
          <w:p>
            <w:pPr>
              <w:jc w:val="center"/>
              <w:ind w:right="275"/>
              <w:spacing w:after="0"/>
              <w:rPr>
                <w:sz w:val="20"/>
                <w:szCs w:val="20"/>
                <w:color w:val="auto"/>
              </w:rPr>
            </w:pPr>
            <w:r>
              <w:rPr>
                <w:rFonts w:ascii="Times New Roman" w:cs="Times New Roman" w:eastAsia="Times New Roman" w:hAnsi="Times New Roman"/>
                <w:sz w:val="12"/>
                <w:szCs w:val="12"/>
                <w:b w:val="1"/>
                <w:bCs w:val="1"/>
                <w:color w:val="auto"/>
                <w:w w:val="97"/>
              </w:rPr>
              <w:t>Registrant’s telephone number, including area code</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2400" w:type="dxa"/>
            <w:vAlign w:val="bottom"/>
          </w:tcPr>
          <w:p>
            <w:pPr>
              <w:spacing w:after="0"/>
              <w:rPr>
                <w:sz w:val="24"/>
                <w:szCs w:val="24"/>
                <w:color w:val="auto"/>
              </w:rPr>
            </w:pPr>
          </w:p>
        </w:tc>
        <w:tc>
          <w:tcPr>
            <w:tcW w:w="4360" w:type="dxa"/>
            <w:vAlign w:val="bottom"/>
          </w:tcPr>
          <w:p>
            <w:pPr>
              <w:jc w:val="center"/>
              <w:ind w:right="275"/>
              <w:spacing w:after="0"/>
              <w:rPr>
                <w:sz w:val="20"/>
                <w:szCs w:val="20"/>
                <w:color w:val="auto"/>
              </w:rPr>
            </w:pPr>
            <w:r>
              <w:rPr>
                <w:rFonts w:ascii="Times New Roman" w:cs="Times New Roman" w:eastAsia="Times New Roman" w:hAnsi="Times New Roman"/>
                <w:sz w:val="15"/>
                <w:szCs w:val="15"/>
                <w:b w:val="1"/>
                <w:bCs w:val="1"/>
                <w:color w:val="auto"/>
                <w:w w:val="97"/>
              </w:rPr>
              <w:t>Not Applicable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4360" w:type="dxa"/>
            <w:vAlign w:val="bottom"/>
          </w:tcPr>
          <w:p>
            <w:pPr>
              <w:jc w:val="center"/>
              <w:ind w:right="255"/>
              <w:spacing w:after="0"/>
              <w:rPr>
                <w:sz w:val="20"/>
                <w:szCs w:val="20"/>
                <w:color w:val="auto"/>
              </w:rPr>
            </w:pPr>
            <w:r>
              <w:rPr>
                <w:rFonts w:ascii="Times New Roman" w:cs="Times New Roman" w:eastAsia="Times New Roman" w:hAnsi="Times New Roman"/>
                <w:sz w:val="12"/>
                <w:szCs w:val="12"/>
                <w:b w:val="1"/>
                <w:bCs w:val="1"/>
                <w:color w:val="auto"/>
                <w:w w:val="98"/>
              </w:rPr>
              <w:t>(Former name or former address, if changed since last report.)</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700" w:hanging="677"/>
        <w:spacing w:after="0"/>
        <w:tabs>
          <w:tab w:leader="none" w:pos="7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49" w:lineRule="exact"/>
        <w:rPr>
          <w:rFonts w:ascii="MS PGothic" w:cs="MS PGothic" w:eastAsia="MS PGothic" w:hAnsi="MS PGothic"/>
          <w:sz w:val="15"/>
          <w:szCs w:val="15"/>
          <w:color w:val="auto"/>
        </w:rPr>
      </w:pPr>
    </w:p>
    <w:p>
      <w:pPr>
        <w:ind w:left="700" w:hanging="677"/>
        <w:spacing w:after="0"/>
        <w:tabs>
          <w:tab w:leader="none" w:pos="7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49" w:lineRule="exact"/>
        <w:rPr>
          <w:rFonts w:ascii="MS PGothic" w:cs="MS PGothic" w:eastAsia="MS PGothic" w:hAnsi="MS PGothic"/>
          <w:sz w:val="15"/>
          <w:szCs w:val="15"/>
          <w:color w:val="auto"/>
        </w:rPr>
      </w:pPr>
    </w:p>
    <w:p>
      <w:pPr>
        <w:ind w:left="700" w:hanging="677"/>
        <w:spacing w:after="0"/>
        <w:tabs>
          <w:tab w:leader="none" w:pos="7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49" w:lineRule="exact"/>
        <w:rPr>
          <w:rFonts w:ascii="MS PGothic" w:cs="MS PGothic" w:eastAsia="MS PGothic" w:hAnsi="MS PGothic"/>
          <w:sz w:val="15"/>
          <w:szCs w:val="15"/>
          <w:color w:val="auto"/>
        </w:rPr>
      </w:pPr>
    </w:p>
    <w:p>
      <w:pPr>
        <w:ind w:left="700" w:hanging="677"/>
        <w:spacing w:after="0"/>
        <w:tabs>
          <w:tab w:leader="none" w:pos="7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05"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 w:lineRule="exact"/>
        <w:rPr>
          <w:sz w:val="24"/>
          <w:szCs w:val="24"/>
          <w:color w:val="auto"/>
        </w:rPr>
      </w:pPr>
    </w:p>
    <w:p>
      <w:pPr>
        <w:ind w:left="9560"/>
        <w:spacing w:after="0" w:line="173" w:lineRule="exact"/>
        <w:tabs>
          <w:tab w:leader="none" w:pos="11300" w:val="left"/>
        </w:tabs>
        <w:rPr>
          <w:sz w:val="20"/>
          <w:szCs w:val="20"/>
          <w:color w:val="auto"/>
        </w:rPr>
      </w:pPr>
      <w:r>
        <w:rPr>
          <w:rFonts w:ascii="Times New Roman" w:cs="Times New Roman" w:eastAsia="Times New Roman" w:hAnsi="Times New Roman"/>
          <w:sz w:val="15"/>
          <w:szCs w:val="15"/>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17" w:lineRule="exact"/>
        <w:rPr>
          <w:sz w:val="24"/>
          <w:szCs w:val="24"/>
          <w:color w:val="auto"/>
        </w:rPr>
      </w:pPr>
    </w:p>
    <w:p>
      <w:pPr>
        <w:ind w:right="500"/>
        <w:spacing w:after="0" w:line="254"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182245</wp:posOffset>
            </wp:positionV>
            <wp:extent cx="726376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139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161290</wp:posOffset>
            </wp:positionV>
            <wp:extent cx="72637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6985"/>
                    </a:xfrm>
                    <a:prstGeom prst="rect">
                      <a:avLst/>
                    </a:prstGeom>
                    <a:noFill/>
                  </pic:spPr>
                </pic:pic>
              </a:graphicData>
            </a:graphic>
          </wp:anchor>
        </w:drawing>
      </w:r>
    </w:p>
    <w:p>
      <w:pPr>
        <w:sectPr>
          <w:pgSz w:w="11900" w:h="16838" w:orient="portrait"/>
          <w:cols w:equalWidth="0" w:num="1">
            <w:col w:w="11460"/>
          </w:cols>
          <w:pgMar w:left="220" w:top="1244"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1.01 Entry into a Material Definitive Agreement.</w:t>
      </w:r>
    </w:p>
    <w:p>
      <w:pPr>
        <w:spacing w:after="0" w:line="140" w:lineRule="exact"/>
        <w:rPr>
          <w:sz w:val="20"/>
          <w:szCs w:val="20"/>
          <w:color w:val="auto"/>
        </w:rPr>
      </w:pPr>
    </w:p>
    <w:p>
      <w:pPr>
        <w:jc w:val="both"/>
        <w:ind w:firstLine="533"/>
        <w:spacing w:after="0" w:line="260" w:lineRule="auto"/>
        <w:rPr>
          <w:sz w:val="20"/>
          <w:szCs w:val="20"/>
          <w:color w:val="auto"/>
        </w:rPr>
      </w:pPr>
      <w:r>
        <w:rPr>
          <w:rFonts w:ascii="Times New Roman" w:cs="Times New Roman" w:eastAsia="Times New Roman" w:hAnsi="Times New Roman"/>
          <w:sz w:val="15"/>
          <w:szCs w:val="15"/>
          <w:color w:val="auto"/>
        </w:rPr>
        <w:t>On March 1, 2019, Bandwidth Inc., as borrower (“</w:t>
      </w:r>
      <w:r>
        <w:rPr>
          <w:rFonts w:ascii="Times New Roman" w:cs="Times New Roman" w:eastAsia="Times New Roman" w:hAnsi="Times New Roman"/>
          <w:sz w:val="15"/>
          <w:szCs w:val="15"/>
          <w:u w:val="single" w:color="auto"/>
          <w:color w:val="auto"/>
        </w:rPr>
        <w:t>Bandwidth</w:t>
      </w:r>
      <w:r>
        <w:rPr>
          <w:rFonts w:ascii="Times New Roman" w:cs="Times New Roman" w:eastAsia="Times New Roman" w:hAnsi="Times New Roman"/>
          <w:sz w:val="15"/>
          <w:szCs w:val="15"/>
          <w:color w:val="auto"/>
        </w:rPr>
        <w:t>” or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entered into a credit and security agreement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with KeyBank National Association as Administrative Agent (the “</w:t>
      </w:r>
      <w:r>
        <w:rPr>
          <w:rFonts w:ascii="Times New Roman" w:cs="Times New Roman" w:eastAsia="Times New Roman" w:hAnsi="Times New Roman"/>
          <w:sz w:val="15"/>
          <w:szCs w:val="15"/>
          <w:u w:val="single" w:color="auto"/>
          <w:color w:val="auto"/>
        </w:rPr>
        <w:t>Agent</w:t>
      </w:r>
      <w:r>
        <w:rPr>
          <w:rFonts w:ascii="Times New Roman" w:cs="Times New Roman" w:eastAsia="Times New Roman" w:hAnsi="Times New Roman"/>
          <w:sz w:val="15"/>
          <w:szCs w:val="15"/>
          <w:color w:val="auto"/>
        </w:rPr>
        <w:t>”) and lender, and KeyBanc Capital Markets Inc. as sole lead arranger. The Credit Agreement provides for a secured $25.0 million revolving credit facility. The Company and its subsidiaries may use funds borrowed under the Credit Agreement for working capital and other general corporate purposes.</w:t>
      </w:r>
    </w:p>
    <w:p>
      <w:pPr>
        <w:spacing w:after="0" w:line="105" w:lineRule="exact"/>
        <w:rPr>
          <w:sz w:val="20"/>
          <w:szCs w:val="20"/>
          <w:color w:val="auto"/>
        </w:rPr>
      </w:pPr>
    </w:p>
    <w:p>
      <w:pPr>
        <w:jc w:val="both"/>
        <w:ind w:firstLine="533"/>
        <w:spacing w:after="0" w:line="273" w:lineRule="auto"/>
        <w:rPr>
          <w:sz w:val="20"/>
          <w:szCs w:val="20"/>
          <w:color w:val="auto"/>
        </w:rPr>
      </w:pPr>
      <w:r>
        <w:rPr>
          <w:rFonts w:ascii="Times New Roman" w:cs="Times New Roman" w:eastAsia="Times New Roman" w:hAnsi="Times New Roman"/>
          <w:sz w:val="15"/>
          <w:szCs w:val="15"/>
          <w:color w:val="auto"/>
        </w:rPr>
        <w:t>As of March 1, 2019, no borrowings were outstanding under the Credit Agreement. Accordingly, at March 1, 2019, $25.0 million of borrowing capacity was available for the purposes permitted by the Credit Agreement.</w:t>
      </w:r>
    </w:p>
    <w:p>
      <w:pPr>
        <w:spacing w:after="0" w:line="96" w:lineRule="exact"/>
        <w:rPr>
          <w:sz w:val="20"/>
          <w:szCs w:val="20"/>
          <w:color w:val="auto"/>
        </w:rPr>
      </w:pPr>
    </w:p>
    <w:p>
      <w:pPr>
        <w:jc w:val="both"/>
        <w:ind w:firstLine="533"/>
        <w:spacing w:after="0" w:line="252" w:lineRule="auto"/>
        <w:rPr>
          <w:sz w:val="20"/>
          <w:szCs w:val="20"/>
          <w:color w:val="auto"/>
        </w:rPr>
      </w:pPr>
      <w:r>
        <w:rPr>
          <w:rFonts w:ascii="Times New Roman" w:cs="Times New Roman" w:eastAsia="Times New Roman" w:hAnsi="Times New Roman"/>
          <w:sz w:val="15"/>
          <w:szCs w:val="15"/>
          <w:color w:val="auto"/>
        </w:rPr>
        <w:t>Loans under the Credit Agreement will bear interest at the highest of (i) the Agent’s prime rate, (ii) the federal funds effective rate plus 0.5 percent, and (iii) the London Interbank Offered Rate plus 1.00 percent. The Credit Agreement will terminate and all amounts owing thereunder will be due and payable on March 1, 2022, unless the commitments are terminated earlier, either at the request of the Company or, if an event of default occurs, by the lenders (or automatically in the case of certain bankruptcy-related events). The Credit Agreement contains customary representations, warranties, affirmative and negative covenants (including financial covenants), events of default and indemnification provisions in favor of the lenders. The negative covenants include restrictions regarding the incurrence of liens, subject to certain exceptions. The financial covenants require the Company to maintain minimum liquidity of $15.0 million in unrestricted cash at any time and minimum quarterly CPaaS revenue at least equal to the Company’s indebtedness.</w:t>
      </w:r>
    </w:p>
    <w:p>
      <w:pPr>
        <w:spacing w:after="0" w:line="112" w:lineRule="exact"/>
        <w:rPr>
          <w:sz w:val="20"/>
          <w:szCs w:val="20"/>
          <w:color w:val="auto"/>
        </w:rPr>
      </w:pPr>
    </w:p>
    <w:p>
      <w:pPr>
        <w:jc w:val="both"/>
        <w:ind w:right="20" w:firstLine="533"/>
        <w:spacing w:after="0" w:line="273" w:lineRule="auto"/>
        <w:rPr>
          <w:sz w:val="20"/>
          <w:szCs w:val="20"/>
          <w:color w:val="auto"/>
        </w:rPr>
      </w:pPr>
      <w:r>
        <w:rPr>
          <w:rFonts w:ascii="Times New Roman" w:cs="Times New Roman" w:eastAsia="Times New Roman" w:hAnsi="Times New Roman"/>
          <w:sz w:val="15"/>
          <w:szCs w:val="15"/>
          <w:color w:val="auto"/>
        </w:rPr>
        <w:t>The Agent and/or its affiliates have from time to time provided, and/or may in the future provide, various financial advisory, commercial banking, investment banking and other services to the Company and its affiliates, for which the Agent and/or its affiliates received or may receive customary compensation and expense reimbursement.</w:t>
      </w:r>
    </w:p>
    <w:p>
      <w:pPr>
        <w:spacing w:after="0" w:line="96" w:lineRule="exact"/>
        <w:rPr>
          <w:sz w:val="20"/>
          <w:szCs w:val="20"/>
          <w:color w:val="auto"/>
        </w:rPr>
      </w:pPr>
    </w:p>
    <w:p>
      <w:pPr>
        <w:jc w:val="both"/>
        <w:ind w:firstLine="533"/>
        <w:spacing w:after="0" w:line="273" w:lineRule="auto"/>
        <w:rPr>
          <w:sz w:val="20"/>
          <w:szCs w:val="20"/>
          <w:color w:val="auto"/>
        </w:rPr>
      </w:pPr>
      <w:r>
        <w:rPr>
          <w:rFonts w:ascii="Times New Roman" w:cs="Times New Roman" w:eastAsia="Times New Roman" w:hAnsi="Times New Roman"/>
          <w:sz w:val="15"/>
          <w:szCs w:val="15"/>
          <w:color w:val="auto"/>
        </w:rPr>
        <w:t>The foregoing description of the Credit Agreement and the transactions contemplated thereby does not purport to be complete and is subject to, and qualified in its entirety by, the full text of the Credit Agreement, which is attached hereto as Exhibit 10.1, and is incorporated by reference into this Current Report on Form 8-K.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2.03 Creation of a Direct Financial Obligation or an Obligation under an Off-Balance Sheet Arrangement of a Registrant.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disclosure included in Item 1.01 of this Current Report on Form 8-K is incorporated into this Item 2.03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(d) Exhibits</w:t>
            </w:r>
          </w:p>
        </w:tc>
        <w:tc>
          <w:tcPr>
            <w:tcW w:w="8040" w:type="dxa"/>
            <w:vAlign w:val="bottom"/>
          </w:tcPr>
          <w:p>
            <w:pPr>
              <w:spacing w:after="0"/>
              <w:rPr>
                <w:sz w:val="16"/>
                <w:szCs w:val="16"/>
                <w:color w:val="auto"/>
              </w:rPr>
            </w:pPr>
          </w:p>
        </w:tc>
      </w:tr>
      <w:tr>
        <w:trPr>
          <w:trHeight w:val="355"/>
        </w:trPr>
        <w:tc>
          <w:tcPr>
            <w:tcW w:w="2400" w:type="dxa"/>
            <w:vAlign w:val="bottom"/>
            <w:gridSpan w:val="4"/>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Exhibit No.</w:t>
            </w:r>
          </w:p>
        </w:tc>
        <w:tc>
          <w:tcPr>
            <w:tcW w:w="8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3"/>
        </w:trPr>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40" w:type="dxa"/>
            <w:vAlign w:val="bottom"/>
            <w:tcBorders>
              <w:bottom w:val="single" w:sz="8" w:color="auto"/>
            </w:tcBorders>
          </w:tcPr>
          <w:p>
            <w:pPr>
              <w:spacing w:after="0" w:line="20" w:lineRule="exact"/>
              <w:rPr>
                <w:sz w:val="1"/>
                <w:szCs w:val="1"/>
                <w:color w:val="auto"/>
              </w:rPr>
            </w:pPr>
          </w:p>
        </w:tc>
      </w:tr>
      <w:tr>
        <w:trPr>
          <w:trHeight w:val="146"/>
        </w:trPr>
        <w:tc>
          <w:tcPr>
            <w:tcW w:w="2120" w:type="dxa"/>
            <w:vAlign w:val="bottom"/>
            <w:gridSpan w:val="3"/>
          </w:tcPr>
          <w:p>
            <w:pPr>
              <w:jc w:val="center"/>
              <w:ind w:right="900"/>
              <w:spacing w:after="0" w:line="136" w:lineRule="exact"/>
              <w:rPr>
                <w:rFonts w:ascii="Times New Roman" w:cs="Times New Roman" w:eastAsia="Times New Roman" w:hAnsi="Times New Roman"/>
                <w:sz w:val="15"/>
                <w:szCs w:val="15"/>
                <w:color w:val="0000FF"/>
              </w:rPr>
            </w:pPr>
            <w:hyperlink w:anchor="page4">
              <w:r>
                <w:rPr>
                  <w:rFonts w:ascii="Times New Roman" w:cs="Times New Roman" w:eastAsia="Times New Roman" w:hAnsi="Times New Roman"/>
                  <w:sz w:val="15"/>
                  <w:szCs w:val="15"/>
                  <w:color w:val="0000FF"/>
                </w:rPr>
                <w:t>10.</w:t>
              </w:r>
              <w:r>
                <w:rPr>
                  <w:rFonts w:ascii="Times New Roman" w:cs="Times New Roman" w:eastAsia="Times New Roman" w:hAnsi="Times New Roman"/>
                  <w:sz w:val="15"/>
                  <w:szCs w:val="15"/>
                  <w:u w:val="single" w:color="auto"/>
                  <w:color w:val="0000FF"/>
                </w:rPr>
                <w:t>1</w:t>
              </w:r>
            </w:hyperlink>
          </w:p>
        </w:tc>
        <w:tc>
          <w:tcPr>
            <w:tcW w:w="280" w:type="dxa"/>
            <w:vAlign w:val="bottom"/>
          </w:tcPr>
          <w:p>
            <w:pPr>
              <w:spacing w:after="0"/>
              <w:rPr>
                <w:sz w:val="12"/>
                <w:szCs w:val="12"/>
                <w:color w:val="auto"/>
              </w:rPr>
            </w:pPr>
          </w:p>
        </w:tc>
        <w:tc>
          <w:tcPr>
            <w:tcW w:w="8040" w:type="dxa"/>
            <w:vAlign w:val="bottom"/>
          </w:tcPr>
          <w:p>
            <w:pPr>
              <w:spacing w:after="0" w:line="136" w:lineRule="exact"/>
              <w:rPr>
                <w:sz w:val="20"/>
                <w:szCs w:val="20"/>
                <w:color w:val="auto"/>
              </w:rPr>
            </w:pPr>
            <w:r>
              <w:rPr>
                <w:rFonts w:ascii="Times New Roman" w:cs="Times New Roman" w:eastAsia="Times New Roman" w:hAnsi="Times New Roman"/>
                <w:sz w:val="15"/>
                <w:szCs w:val="15"/>
                <w:color w:val="auto"/>
              </w:rPr>
              <w:t>Credit and Security Agreement, dated as of November 4, 2016 as amended and restated as of March 1, 2019, among Bandwidth Inc.,</w:t>
            </w:r>
          </w:p>
        </w:tc>
      </w:tr>
      <w:tr>
        <w:trPr>
          <w:trHeight w:val="190"/>
        </w:trPr>
        <w:tc>
          <w:tcPr>
            <w:tcW w:w="9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5"/>
                <w:szCs w:val="15"/>
                <w:color w:val="auto"/>
              </w:rPr>
              <w:t>KeyBank National Association, and KeyBanc Capital Markets Inc.</w:t>
            </w:r>
          </w:p>
        </w:tc>
      </w:tr>
    </w:tbl>
    <w:p>
      <w:pPr>
        <w:sectPr>
          <w:pgSz w:w="11900" w:h="16838" w:orient="portrait"/>
          <w:cols w:equalWidth="0" w:num="1">
            <w:col w:w="11460"/>
          </w:cols>
          <w:pgMar w:left="220" w:top="789" w:right="21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6780" w:type="dxa"/>
            <w:vAlign w:val="bottom"/>
            <w:gridSpan w:val="2"/>
          </w:tcPr>
          <w:p>
            <w:pPr>
              <w:ind w:left="2420"/>
              <w:spacing w:after="0"/>
              <w:rPr>
                <w:sz w:val="20"/>
                <w:szCs w:val="20"/>
                <w:color w:val="auto"/>
              </w:rPr>
            </w:pPr>
            <w:r>
              <w:rPr>
                <w:rFonts w:ascii="Times New Roman" w:cs="Times New Roman" w:eastAsia="Times New Roman" w:hAnsi="Times New Roman"/>
                <w:sz w:val="15"/>
                <w:szCs w:val="15"/>
                <w:color w:val="auto"/>
              </w:rPr>
              <w:t>BANDWIDTH INC.</w:t>
            </w:r>
          </w:p>
        </w:tc>
      </w:tr>
      <w:tr>
        <w:trPr>
          <w:trHeight w:val="444"/>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Date: March 4, 2019</w:t>
            </w:r>
          </w:p>
        </w:tc>
        <w:tc>
          <w:tcPr>
            <w:tcW w:w="3120" w:type="dxa"/>
            <w:vAlign w:val="bottom"/>
          </w:tcPr>
          <w:p>
            <w:pPr>
              <w:ind w:left="2420"/>
              <w:spacing w:after="0"/>
              <w:rPr>
                <w:sz w:val="20"/>
                <w:szCs w:val="20"/>
                <w:color w:val="auto"/>
              </w:rPr>
            </w:pPr>
            <w:r>
              <w:rPr>
                <w:rFonts w:ascii="Times New Roman" w:cs="Times New Roman" w:eastAsia="Times New Roman" w:hAnsi="Times New Roman"/>
                <w:sz w:val="15"/>
                <w:szCs w:val="15"/>
                <w:color w:val="auto"/>
              </w:rPr>
              <w:t>By:</w:t>
            </w:r>
          </w:p>
        </w:tc>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Jeffrey A. Hoffman</w:t>
            </w:r>
          </w:p>
        </w:tc>
      </w:tr>
      <w:tr>
        <w:trPr>
          <w:trHeight w:val="23"/>
        </w:trPr>
        <w:tc>
          <w:tcPr>
            <w:tcW w:w="3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190"/>
        </w:trPr>
        <w:tc>
          <w:tcPr>
            <w:tcW w:w="3640" w:type="dxa"/>
            <w:vAlign w:val="bottom"/>
          </w:tcPr>
          <w:p>
            <w:pPr>
              <w:spacing w:after="0"/>
              <w:rPr>
                <w:sz w:val="16"/>
                <w:szCs w:val="16"/>
                <w:color w:val="auto"/>
              </w:rPr>
            </w:pPr>
          </w:p>
        </w:tc>
        <w:tc>
          <w:tcPr>
            <w:tcW w:w="3120" w:type="dxa"/>
            <w:vAlign w:val="bottom"/>
          </w:tcPr>
          <w:p>
            <w:pPr>
              <w:ind w:left="2420"/>
              <w:spacing w:after="0"/>
              <w:rPr>
                <w:sz w:val="20"/>
                <w:szCs w:val="20"/>
                <w:color w:val="auto"/>
              </w:rPr>
            </w:pPr>
            <w:r>
              <w:rPr>
                <w:rFonts w:ascii="Times New Roman" w:cs="Times New Roman" w:eastAsia="Times New Roman" w:hAnsi="Times New Roman"/>
                <w:sz w:val="15"/>
                <w:szCs w:val="15"/>
                <w:color w:val="auto"/>
              </w:rPr>
              <w:t>Name:</w:t>
            </w:r>
          </w:p>
        </w:tc>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Jeffrey A. Hoffman</w:t>
            </w:r>
          </w:p>
        </w:tc>
      </w:tr>
      <w:tr>
        <w:trPr>
          <w:trHeight w:val="222"/>
        </w:trPr>
        <w:tc>
          <w:tcPr>
            <w:tcW w:w="3640" w:type="dxa"/>
            <w:vAlign w:val="bottom"/>
          </w:tcPr>
          <w:p>
            <w:pPr>
              <w:spacing w:after="0"/>
              <w:rPr>
                <w:sz w:val="19"/>
                <w:szCs w:val="19"/>
                <w:color w:val="auto"/>
              </w:rPr>
            </w:pPr>
          </w:p>
        </w:tc>
        <w:tc>
          <w:tcPr>
            <w:tcW w:w="3120" w:type="dxa"/>
            <w:vAlign w:val="bottom"/>
          </w:tcPr>
          <w:p>
            <w:pPr>
              <w:ind w:left="2420"/>
              <w:spacing w:after="0"/>
              <w:rPr>
                <w:sz w:val="20"/>
                <w:szCs w:val="20"/>
                <w:color w:val="auto"/>
              </w:rPr>
            </w:pPr>
            <w:r>
              <w:rPr>
                <w:rFonts w:ascii="Times New Roman" w:cs="Times New Roman" w:eastAsia="Times New Roman" w:hAnsi="Times New Roman"/>
                <w:sz w:val="15"/>
                <w:szCs w:val="15"/>
                <w:color w:val="auto"/>
              </w:rPr>
              <w:t>Title:</w:t>
            </w:r>
          </w:p>
        </w:tc>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1280"/>
          </w:cols>
          <w:pgMar w:left="240" w:top="789" w:right="3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7351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7780020</wp:posOffset>
            </wp:positionV>
            <wp:extent cx="721233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7780020</wp:posOffset>
            </wp:positionV>
            <wp:extent cx="721233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653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7780020</wp:posOffset>
            </wp:positionV>
            <wp:extent cx="7212330"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233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653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653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2330" cy="7365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444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2330" cy="7344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57099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57099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57099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7099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2330" cy="5709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83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440690</wp:posOffset>
            </wp:positionV>
            <wp:extent cx="7212330" cy="73513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13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2330" cy="7351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73583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2330"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2019-12-28T15:19:08Z</dcterms:created>
  <dcterms:modified xsi:type="dcterms:W3CDTF">2019-12-28T15:19:08Z</dcterms:modified>
</cp:coreProperties>
</file>