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Bandwidth,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001-38285</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800-808-5150</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Kade Ross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8000</w:t>
            </w:r>
          </w:p>
        </w:tc>
        <w:tc>
          <w:tcPr>
            <w:tcW w:w="1385" w:type="dxa"/>
            <w:tcBorders/>
            <w:vAlign w:val="center"/>
          </w:tcPr>
          <w:p>
            <w:pPr>
              <w:pStyle w:val="TableContents"/>
              <w:bidi w:val="0"/>
              <w:spacing w:before="0" w:after="283"/>
              <w:jc w:val="left"/>
              <w:rPr/>
            </w:pPr>
            <w:r>
              <w:rPr/>
              <w:t>406320</w:t>
            </w:r>
          </w:p>
        </w:tc>
        <w:tc>
          <w:tcPr>
            <w:tcW w:w="1559" w:type="dxa"/>
            <w:tcBorders/>
            <w:vAlign w:val="center"/>
          </w:tcPr>
          <w:p>
            <w:pPr>
              <w:pStyle w:val="TableContents"/>
              <w:bidi w:val="0"/>
              <w:spacing w:before="0" w:after="283"/>
              <w:jc w:val="left"/>
              <w:rPr/>
            </w:pPr>
            <w:r>
              <w:rPr/>
              <w:t>30222760</w:t>
            </w:r>
          </w:p>
        </w:tc>
        <w:tc>
          <w:tcPr>
            <w:tcW w:w="1571" w:type="dxa"/>
            <w:tcBorders/>
            <w:vAlign w:val="center"/>
          </w:tcPr>
          <w:p>
            <w:pPr>
              <w:pStyle w:val="TableContents"/>
              <w:bidi w:val="0"/>
              <w:spacing w:before="0" w:after="283"/>
              <w:jc w:val="left"/>
              <w:rPr/>
            </w:pPr>
            <w:r>
              <w:rPr/>
              <w:t>09/02/2026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Class A Common Stock</w:t>
            </w:r>
          </w:p>
        </w:tc>
        <w:tc>
          <w:tcPr>
            <w:tcW w:w="1135" w:type="dxa"/>
            <w:tcBorders/>
            <w:vAlign w:val="center"/>
          </w:tcPr>
          <w:p>
            <w:pPr>
              <w:pStyle w:val="TableContents"/>
              <w:bidi w:val="0"/>
              <w:spacing w:before="0" w:after="283"/>
              <w:jc w:val="left"/>
              <w:rPr/>
            </w:pPr>
            <w:r>
              <w:rPr/>
              <w:t>02/28/2025</w:t>
            </w:r>
          </w:p>
        </w:tc>
        <w:tc>
          <w:tcPr>
            <w:tcW w:w="1503" w:type="dxa"/>
            <w:tcBorders/>
            <w:vAlign w:val="center"/>
          </w:tcPr>
          <w:p>
            <w:pPr>
              <w:pStyle w:val="TableContents"/>
              <w:bidi w:val="0"/>
              <w:spacing w:before="0" w:after="283"/>
              <w:jc w:val="left"/>
              <w:rPr/>
            </w:pPr>
            <w:r>
              <w:rPr/>
              <w:t>RSU Vesting</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8000</w:t>
            </w:r>
          </w:p>
        </w:tc>
        <w:tc>
          <w:tcPr>
            <w:tcW w:w="1077" w:type="dxa"/>
            <w:tcBorders/>
            <w:vAlign w:val="center"/>
          </w:tcPr>
          <w:p>
            <w:pPr>
              <w:pStyle w:val="TableContents"/>
              <w:bidi w:val="0"/>
              <w:spacing w:before="0" w:after="283"/>
              <w:jc w:val="left"/>
              <w:rPr/>
            </w:pPr>
            <w:r>
              <w:rPr/>
              <w:t>02/28/2025</w:t>
            </w:r>
          </w:p>
        </w:tc>
        <w:tc>
          <w:tcPr>
            <w:tcW w:w="1247" w:type="dxa"/>
            <w:tcBorders/>
            <w:vAlign w:val="center"/>
          </w:tcPr>
          <w:p>
            <w:pPr>
              <w:pStyle w:val="TableContents"/>
              <w:bidi w:val="0"/>
              <w:spacing w:before="0" w:after="283"/>
              <w:jc w:val="left"/>
              <w:rPr/>
            </w:pPr>
            <w:r>
              <w:rPr/>
              <w:t>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15"/>
        <w:gridCol w:w="5290"/>
      </w:tblGrid>
      <w:tr>
        <w:trPr/>
        <w:tc>
          <w:tcPr>
            <w:tcW w:w="4915" w:type="dxa"/>
            <w:tcBorders/>
            <w:vAlign w:val="center"/>
          </w:tcPr>
          <w:p>
            <w:pPr>
              <w:pStyle w:val="TableContents"/>
              <w:bidi w:val="0"/>
              <w:spacing w:before="0" w:after="283"/>
              <w:jc w:val="left"/>
              <w:rPr/>
            </w:pPr>
            <w:r>
              <w:rPr/>
              <w:t>Remarks</w:t>
            </w:r>
          </w:p>
        </w:tc>
        <w:tc>
          <w:tcPr>
            <w:tcW w:w="5290" w:type="dxa"/>
            <w:tcBorders/>
            <w:vAlign w:val="center"/>
          </w:tcPr>
          <w:p>
            <w:pPr>
              <w:pStyle w:val="TableContents"/>
              <w:bidi w:val="0"/>
              <w:spacing w:before="0" w:after="0"/>
              <w:jc w:val="left"/>
              <w:rPr/>
            </w:pPr>
            <w:r>
              <w:rPr/>
              <w:t>The shares covered by this filing are RSUs that vested between 02/28/25.</w:t>
            </w:r>
          </w:p>
        </w:tc>
      </w:tr>
      <w:tr>
        <w:trPr/>
        <w:tc>
          <w:tcPr>
            <w:tcW w:w="4915" w:type="dxa"/>
            <w:tcBorders/>
            <w:vAlign w:val="center"/>
          </w:tcPr>
          <w:p>
            <w:pPr>
              <w:pStyle w:val="TableContents"/>
              <w:bidi w:val="0"/>
              <w:spacing w:before="0" w:after="283"/>
              <w:jc w:val="left"/>
              <w:rPr/>
            </w:pPr>
            <w:r>
              <w:rPr/>
              <w:t>Date of Notice</w:t>
            </w:r>
          </w:p>
        </w:tc>
        <w:tc>
          <w:tcPr>
            <w:tcW w:w="5290" w:type="dxa"/>
            <w:tcBorders/>
            <w:vAlign w:val="center"/>
          </w:tcPr>
          <w:p>
            <w:pPr>
              <w:pStyle w:val="TableContents"/>
              <w:bidi w:val="0"/>
              <w:spacing w:before="0" w:after="0"/>
              <w:jc w:val="left"/>
              <w:rPr/>
            </w:pPr>
            <w:r>
              <w:rPr/>
              <w:t>09/02/2026</w:t>
            </w:r>
          </w:p>
        </w:tc>
      </w:tr>
      <w:tr>
        <w:trPr/>
        <w:tc>
          <w:tcPr>
            <w:tcW w:w="4915" w:type="dxa"/>
            <w:tcBorders/>
            <w:vAlign w:val="center"/>
          </w:tcPr>
          <w:p>
            <w:pPr>
              <w:pStyle w:val="TableContents"/>
              <w:bidi w:val="0"/>
              <w:spacing w:before="0" w:after="283"/>
              <w:jc w:val="left"/>
              <w:rPr/>
            </w:pPr>
            <w:r>
              <w:rPr/>
              <w:t>Date of Plan Adoption or Giving of Instruction, If Relying on Rule 10b5-1</w:t>
            </w:r>
          </w:p>
        </w:tc>
        <w:tc>
          <w:tcPr>
            <w:tcW w:w="5290"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5" w:type="dxa"/>
            <w:tcBorders/>
            <w:vAlign w:val="center"/>
          </w:tcPr>
          <w:p>
            <w:pPr>
              <w:pStyle w:val="TableContents"/>
              <w:bidi w:val="0"/>
              <w:spacing w:before="0" w:after="283"/>
              <w:jc w:val="left"/>
              <w:rPr/>
            </w:pPr>
            <w:r>
              <w:rPr/>
              <w:t>Signature</w:t>
            </w:r>
          </w:p>
        </w:tc>
        <w:tc>
          <w:tcPr>
            <w:tcW w:w="5290" w:type="dxa"/>
            <w:tcBorders/>
            <w:vAlign w:val="center"/>
          </w:tcPr>
          <w:p>
            <w:pPr>
              <w:pStyle w:val="TableContents"/>
              <w:bidi w:val="0"/>
              <w:spacing w:before="0" w:after="0"/>
              <w:jc w:val="left"/>
              <w:rPr/>
            </w:pPr>
            <w:r>
              <w:rPr/>
              <w:t>/s/ J.P. Morgan Securities LLC as agent and attorney-in-fact for Kade Ross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3069</Characters>
  <CharactersWithSpaces>3625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