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50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5081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Bailey Brian D.</w:t>
              </w:r>
            </w:hyperlink>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Bandwidth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BAND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tcBorders>
              <w:top w:val="single" w:sz="8" w:color="0000EE"/>
            </w:tcBorders>
          </w:tcPr>
          <w:p>
            <w:pPr>
              <w:spacing w:after="0"/>
              <w:rPr>
                <w:sz w:val="5"/>
                <w:szCs w:val="5"/>
                <w:color w:val="auto"/>
              </w:rPr>
            </w:pPr>
          </w:p>
        </w:tc>
        <w:tc>
          <w:tcPr>
            <w:tcW w:w="2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540" w:type="dxa"/>
            <w:vAlign w:val="bottom"/>
            <w:tcBorders>
              <w:top w:val="single" w:sz="8" w:color="EEEEEE"/>
            </w:tcBorders>
          </w:tcPr>
          <w:p>
            <w:pPr>
              <w:spacing w:after="0"/>
              <w:rPr>
                <w:sz w:val="3"/>
                <w:szCs w:val="3"/>
                <w:color w:val="auto"/>
              </w:rPr>
            </w:pPr>
          </w:p>
        </w:tc>
        <w:tc>
          <w:tcPr>
            <w:tcW w:w="680" w:type="dxa"/>
            <w:vAlign w:val="bottom"/>
            <w:tcBorders>
              <w:top w:val="single" w:sz="8" w:color="EEEEEE"/>
            </w:tcBorders>
          </w:tcPr>
          <w:p>
            <w:pPr>
              <w:spacing w:after="0"/>
              <w:rPr>
                <w:sz w:val="3"/>
                <w:szCs w:val="3"/>
                <w:color w:val="auto"/>
              </w:rPr>
            </w:pPr>
          </w:p>
        </w:tc>
        <w:tc>
          <w:tcPr>
            <w:tcW w:w="162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tcPr>
          <w:p>
            <w:pPr>
              <w:ind w:left="4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CARMICHAEL INVESTMENT PARTNERS</w:t>
            </w:r>
          </w:p>
        </w:tc>
        <w:tc>
          <w:tcPr>
            <w:tcW w:w="14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05/28/2026</w:t>
            </w: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362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4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46"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4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4725 PIEDMONT ROW DRIVE, SUITE 210</w:t>
            </w:r>
          </w:p>
        </w:tc>
        <w:tc>
          <w:tcPr>
            <w:tcW w:w="100" w:type="dxa"/>
            <w:vAlign w:val="bottom"/>
          </w:tcPr>
          <w:p>
            <w:pPr>
              <w:spacing w:after="0"/>
              <w:rPr>
                <w:sz w:val="18"/>
                <w:szCs w:val="18"/>
                <w:color w:val="auto"/>
              </w:rPr>
            </w:pPr>
          </w:p>
        </w:tc>
        <w:tc>
          <w:tcPr>
            <w:tcW w:w="3420" w:type="dxa"/>
            <w:vAlign w:val="bottom"/>
            <w:tcBorders>
              <w:top w:val="single" w:sz="8" w:color="2C2C2C"/>
            </w:tcBorders>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140" w:type="dxa"/>
            <w:vAlign w:val="bottom"/>
            <w:tcBorders>
              <w:top w:val="single" w:sz="8" w:color="2C2C2C"/>
            </w:tcBorders>
          </w:tcPr>
          <w:p>
            <w:pPr>
              <w:spacing w:after="0"/>
              <w:rPr>
                <w:sz w:val="18"/>
                <w:szCs w:val="18"/>
                <w:color w:val="auto"/>
              </w:rPr>
            </w:pPr>
          </w:p>
        </w:tc>
        <w:tc>
          <w:tcPr>
            <w:tcW w:w="3560" w:type="dxa"/>
            <w:vAlign w:val="bottom"/>
            <w:tcBorders>
              <w:top w:val="single" w:sz="8" w:color="2C2C2C"/>
            </w:tcBorders>
            <w:gridSpan w:val="8"/>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4"/>
          </w:tcPr>
          <w:p>
            <w:pPr>
              <w:ind w:left="32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CHARLOTTE   NC</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28210</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restart"/>
          </w:tcPr>
          <w:p>
            <w:pPr>
              <w:ind w:left="3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3960" w:type="dxa"/>
            <w:vAlign w:val="bottom"/>
            <w:tcBorders>
              <w:bottom w:val="single" w:sz="8" w:color="2C2C2C"/>
            </w:tcBorders>
            <w:gridSpan w:val="8"/>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4"/>
          </w:tcPr>
          <w:p>
            <w:pPr>
              <w:ind w:left="5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114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4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1140" w:type="dxa"/>
            <w:vAlign w:val="bottom"/>
            <w:gridSpan w:val="2"/>
          </w:tcPr>
          <w:p>
            <w:pPr>
              <w:ind w:left="280"/>
              <w:spacing w:after="0" w:line="129" w:lineRule="exact"/>
              <w:rPr>
                <w:sz w:val="20"/>
                <w:szCs w:val="20"/>
                <w:color w:val="auto"/>
              </w:rPr>
            </w:pPr>
            <w:r>
              <w:rPr>
                <w:rFonts w:ascii="Arial" w:cs="Arial" w:eastAsia="Arial" w:hAnsi="Arial"/>
                <w:sz w:val="12"/>
                <w:szCs w:val="12"/>
                <w:b w:val="1"/>
                <w:bCs w:val="1"/>
                <w:color w:val="auto"/>
              </w:rPr>
              <w:t>Form: Direct</w:t>
            </w:r>
          </w:p>
        </w:tc>
        <w:tc>
          <w:tcPr>
            <w:tcW w:w="12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4"/>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1140" w:type="dxa"/>
            <w:vAlign w:val="bottom"/>
            <w:gridSpan w:val="2"/>
          </w:tcPr>
          <w:p>
            <w:pPr>
              <w:ind w:left="280"/>
              <w:spacing w:after="0" w:line="130" w:lineRule="exact"/>
              <w:rPr>
                <w:sz w:val="20"/>
                <w:szCs w:val="20"/>
                <w:color w:val="auto"/>
              </w:rPr>
            </w:pPr>
            <w:r>
              <w:rPr>
                <w:rFonts w:ascii="Arial" w:cs="Arial" w:eastAsia="Arial" w:hAnsi="Arial"/>
                <w:sz w:val="12"/>
                <w:szCs w:val="12"/>
                <w:b w:val="1"/>
                <w:bCs w:val="1"/>
                <w:color w:val="auto"/>
              </w:rPr>
              <w:t>(D) or Indirect</w:t>
            </w:r>
          </w:p>
        </w:tc>
        <w:tc>
          <w:tcPr>
            <w:tcW w:w="12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Owned Following  (I) (Instr. 4)</w:t>
            </w:r>
          </w:p>
        </w:tc>
        <w:tc>
          <w:tcPr>
            <w:tcW w:w="22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4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ind w:left="600"/>
              <w:spacing w:after="0"/>
              <w:rPr>
                <w:sz w:val="20"/>
                <w:szCs w:val="20"/>
                <w:color w:val="auto"/>
              </w:rPr>
            </w:pPr>
            <w:r>
              <w:rPr>
                <w:rFonts w:ascii="Times New Roman" w:cs="Times New Roman" w:eastAsia="Times New Roman" w:hAnsi="Times New Roman"/>
                <w:sz w:val="17"/>
                <w:szCs w:val="17"/>
                <w:color w:val="0000FF"/>
              </w:rPr>
              <w:t>05/28/2026</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3,334</w:t>
            </w: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140" w:type="dxa"/>
            <w:vAlign w:val="bottom"/>
          </w:tcPr>
          <w:p>
            <w:pPr>
              <w:spacing w:after="0"/>
              <w:rPr>
                <w:sz w:val="21"/>
                <w:szCs w:val="21"/>
                <w:color w:val="auto"/>
              </w:rPr>
            </w:pPr>
          </w:p>
        </w:tc>
        <w:tc>
          <w:tcPr>
            <w:tcW w:w="400" w:type="dxa"/>
            <w:vAlign w:val="bottom"/>
            <w:vMerge w:val="restart"/>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1"/>
                <w:szCs w:val="21"/>
                <w:color w:val="auto"/>
              </w:rPr>
            </w:pPr>
          </w:p>
        </w:tc>
        <w:tc>
          <w:tcPr>
            <w:tcW w:w="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72,089</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21"/>
                <w:szCs w:val="21"/>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20" w:type="dxa"/>
            <w:vAlign w:val="bottom"/>
            <w:gridSpan w:val="4"/>
            <w:vMerge w:val="continue"/>
          </w:tcPr>
          <w:p>
            <w:pPr>
              <w:spacing w:after="0"/>
              <w:rPr>
                <w:sz w:val="10"/>
                <w:szCs w:val="10"/>
                <w:color w:val="auto"/>
              </w:rPr>
            </w:pPr>
          </w:p>
        </w:tc>
        <w:tc>
          <w:tcPr>
            <w:tcW w:w="1540" w:type="dxa"/>
            <w:vAlign w:val="bottom"/>
            <w:gridSpan w:val="4"/>
            <w:vMerge w:val="continue"/>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4"/>
            <w:vMerge w:val="restart"/>
          </w:tcPr>
          <w:p>
            <w:pPr>
              <w:ind w:left="40"/>
              <w:spacing w:after="0" w:line="272" w:lineRule="exact"/>
              <w:rPr>
                <w:sz w:val="20"/>
                <w:szCs w:val="20"/>
                <w:color w:val="auto"/>
              </w:rPr>
            </w:pPr>
            <w:r>
              <w:rPr>
                <w:rFonts w:ascii="Times New Roman" w:cs="Times New Roman" w:eastAsia="Times New Roman" w:hAnsi="Times New Roman"/>
                <w:sz w:val="31"/>
                <w:szCs w:val="31"/>
                <w:color w:val="0000FF"/>
                <w:vertAlign w:val="subscript"/>
              </w:rPr>
              <w:t>footnotes</w:t>
            </w:r>
            <w:r>
              <w:rPr>
                <w:rFonts w:ascii="Times New Roman" w:cs="Times New Roman" w:eastAsia="Times New Roman" w:hAnsi="Times New Roman"/>
                <w:sz w:val="10"/>
                <w:szCs w:val="10"/>
                <w:color w:val="008000"/>
              </w:rPr>
              <w:t>(1)(2)(3)</w:t>
            </w:r>
          </w:p>
        </w:tc>
        <w:tc>
          <w:tcPr>
            <w:tcW w:w="0" w:type="dxa"/>
            <w:vAlign w:val="bottom"/>
          </w:tcPr>
          <w:p>
            <w:pPr>
              <w:spacing w:after="0"/>
              <w:rPr>
                <w:sz w:val="1"/>
                <w:szCs w:val="1"/>
                <w:color w:val="auto"/>
              </w:rPr>
            </w:pPr>
          </w:p>
        </w:tc>
      </w:tr>
      <w:tr>
        <w:trPr>
          <w:trHeight w:val="200"/>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124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0" w:type="dxa"/>
            <w:vAlign w:val="bottom"/>
            <w:gridSpan w:val="15"/>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160" w:type="dxa"/>
            <w:vAlign w:val="bottom"/>
            <w:gridSpan w:val="14"/>
          </w:tcPr>
          <w:p>
            <w:pPr>
              <w:jc w:val="center"/>
              <w:ind w:right="7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220" w:type="dxa"/>
            <w:vAlign w:val="bottom"/>
          </w:tcPr>
          <w:p>
            <w:pPr>
              <w:ind w:left="40"/>
              <w:spacing w:after="0"/>
              <w:rPr>
                <w:sz w:val="20"/>
                <w:szCs w:val="20"/>
                <w:color w:val="auto"/>
              </w:rPr>
            </w:pPr>
            <w:r>
              <w:rPr>
                <w:rFonts w:ascii="Arial" w:cs="Arial" w:eastAsia="Arial" w:hAnsi="Arial"/>
                <w:sz w:val="12"/>
                <w:szCs w:val="12"/>
                <w:b w:val="1"/>
                <w:bCs w:val="1"/>
                <w:color w:val="auto"/>
                <w:w w:val="95"/>
              </w:rPr>
              <w:t>10.</w:t>
            </w:r>
          </w:p>
        </w:tc>
        <w:tc>
          <w:tcPr>
            <w:tcW w:w="52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w w:val="96"/>
              </w:rPr>
              <w:t>Derivative Security</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140" w:type="dxa"/>
            <w:vAlign w:val="bottom"/>
          </w:tcPr>
          <w:p>
            <w:pPr>
              <w:spacing w:after="0"/>
              <w:rPr>
                <w:sz w:val="13"/>
                <w:szCs w:val="13"/>
                <w:color w:val="auto"/>
              </w:rPr>
            </w:pPr>
          </w:p>
        </w:tc>
        <w:tc>
          <w:tcPr>
            <w:tcW w:w="4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w w:val="97"/>
              </w:rPr>
              <w:t>Class A</w:t>
            </w:r>
          </w:p>
        </w:tc>
        <w:tc>
          <w:tcPr>
            <w:tcW w:w="140" w:type="dxa"/>
            <w:vAlign w:val="bottom"/>
          </w:tcPr>
          <w:p>
            <w:pPr>
              <w:spacing w:after="0"/>
              <w:rPr>
                <w:sz w:val="15"/>
                <w:szCs w:val="15"/>
                <w:color w:val="auto"/>
              </w:rPr>
            </w:pPr>
          </w:p>
        </w:tc>
        <w:tc>
          <w:tcPr>
            <w:tcW w:w="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3,334</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05/28/2026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60" w:type="dxa"/>
            <w:vAlign w:val="bottom"/>
          </w:tcPr>
          <w:p>
            <w:pPr>
              <w:ind w:left="360"/>
              <w:spacing w:after="0" w:line="143" w:lineRule="exact"/>
              <w:rPr>
                <w:sz w:val="20"/>
                <w:szCs w:val="20"/>
                <w:color w:val="auto"/>
              </w:rPr>
            </w:pPr>
            <w:r>
              <w:rPr>
                <w:rFonts w:ascii="Times New Roman" w:cs="Times New Roman" w:eastAsia="Times New Roman" w:hAnsi="Times New Roman"/>
                <w:sz w:val="13"/>
                <w:szCs w:val="13"/>
                <w:color w:val="0000FF"/>
                <w:w w:val="95"/>
              </w:rPr>
              <w:t>3,334</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80" w:type="dxa"/>
            <w:vAlign w:val="bottom"/>
            <w:gridSpan w:val="2"/>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460" w:type="dxa"/>
            <w:vAlign w:val="bottom"/>
            <w:gridSpan w:val="2"/>
            <w:vMerge w:val="continue"/>
          </w:tcPr>
          <w:p>
            <w:pPr>
              <w:spacing w:after="0"/>
              <w:rPr>
                <w:sz w:val="12"/>
                <w:szCs w:val="12"/>
                <w:color w:val="auto"/>
              </w:rPr>
            </w:pPr>
          </w:p>
        </w:tc>
        <w:tc>
          <w:tcPr>
            <w:tcW w:w="840" w:type="dxa"/>
            <w:vAlign w:val="bottom"/>
            <w:gridSpan w:val="2"/>
          </w:tcPr>
          <w:p>
            <w:pPr>
              <w:ind w:left="3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280"/>
              <w:spacing w:after="0" w:line="143" w:lineRule="exact"/>
              <w:rPr>
                <w:sz w:val="20"/>
                <w:szCs w:val="20"/>
                <w:color w:val="auto"/>
              </w:rPr>
            </w:pPr>
            <w:r>
              <w:rPr>
                <w:rFonts w:ascii="Times New Roman" w:cs="Times New Roman" w:eastAsia="Times New Roman" w:hAnsi="Times New Roman"/>
                <w:sz w:val="13"/>
                <w:szCs w:val="13"/>
                <w:color w:val="0000FF"/>
              </w:rPr>
              <w:t>6,666</w:t>
            </w:r>
          </w:p>
        </w:tc>
        <w:tc>
          <w:tcPr>
            <w:tcW w:w="220" w:type="dxa"/>
            <w:vAlign w:val="bottom"/>
          </w:tcPr>
          <w:p>
            <w:pPr>
              <w:spacing w:after="0"/>
              <w:rPr>
                <w:sz w:val="12"/>
                <w:szCs w:val="12"/>
                <w:color w:val="auto"/>
              </w:rPr>
            </w:pPr>
          </w:p>
        </w:tc>
        <w:tc>
          <w:tcPr>
            <w:tcW w:w="52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Carmichael Bandwidth LLC is the managing member of each of Carmichael Partners, LLC ("CP"); Carmichael Investment Partners II, LLC ("CP II"); and Carmichael Investment Partners III, LLC ("CP III"). Brian D. Bailey and Kevin J. Martin are the managing partners of Carmichael Bandwidth LLC and CP and share voting and dispositive power with respect to the shares held by CP, CP II and CP III. The Reporting Person disclaims beneficial ownership of the securities reported herein except to the extent of his pecuniary interest therein.</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transactions reported herein, consists of 8,750 shares of Class A Common Stock held by CP and 63,339 shares of Class A Common Stock held of record by Brian D. Bailey.</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agreement between Mr. Bailey and CP, CP is entitled to all economic benefit with respect to 7,234 shares held by Mr. Bailey.</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Bandwidth Inc. Class A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28, 2025, the Reporting Person was granted 13,333 Restricted Stock Units, which vest in four equal quarterly installments beginning on February 28, 2026.</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Leah Webb, Attorney-in-</w:t>
            </w:r>
          </w:p>
        </w:tc>
        <w:tc>
          <w:tcPr>
            <w:tcW w:w="3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06/01/2026</w:t>
            </w:r>
          </w:p>
        </w:tc>
        <w:tc>
          <w:tcPr>
            <w:tcW w:w="0" w:type="dxa"/>
            <w:vAlign w:val="bottom"/>
          </w:tcPr>
          <w:p>
            <w:pPr>
              <w:spacing w:after="0"/>
              <w:rPr>
                <w:sz w:val="1"/>
                <w:szCs w:val="1"/>
                <w:color w:val="auto"/>
              </w:rPr>
            </w:pPr>
          </w:p>
        </w:tc>
      </w:tr>
      <w:tr>
        <w:trPr>
          <w:trHeight w:val="89"/>
        </w:trPr>
        <w:tc>
          <w:tcPr>
            <w:tcW w:w="16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8"/>
              </w:rPr>
              <w:t>Fact for Brian D. Bailey</w:t>
            </w:r>
          </w:p>
        </w:tc>
        <w:tc>
          <w:tcPr>
            <w:tcW w:w="5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640" w:type="dxa"/>
            <w:vAlign w:val="bottom"/>
            <w:tcBorders>
              <w:bottom w:val="single" w:sz="8" w:color="auto"/>
            </w:tcBorders>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75505" TargetMode="External"/><Relationship Id="rId14" Type="http://schemas.openxmlformats.org/officeDocument/2006/relationships/hyperlink" Target="http://www.sec.gov/cgi-bin/browse-edgar?action=getcompany&amp;CIK=000151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2026-06-01T17:05:17Z</dcterms:created>
  <dcterms:modified xsi:type="dcterms:W3CDTF">2026-06-01T17:05:17Z</dcterms:modified>
</cp:coreProperties>
</file>