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0001405026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Raiford Daryl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11900</w:t>
            </w:r>
          </w:p>
        </w:tc>
        <w:tc>
          <w:tcPr>
            <w:tcW w:w="1381" w:type="dxa"/>
            <w:tcBorders/>
            <w:vAlign w:val="center"/>
          </w:tcPr>
          <w:p>
            <w:pPr>
              <w:pStyle w:val="TableContents"/>
              <w:bidi w:val="0"/>
              <w:spacing w:before="0" w:after="283"/>
              <w:jc w:val="left"/>
              <w:rPr/>
            </w:pPr>
            <w:r>
              <w:rPr/>
              <w:t>551565.00</w:t>
            </w:r>
          </w:p>
        </w:tc>
        <w:tc>
          <w:tcPr>
            <w:tcW w:w="1556" w:type="dxa"/>
            <w:tcBorders/>
            <w:vAlign w:val="center"/>
          </w:tcPr>
          <w:p>
            <w:pPr>
              <w:pStyle w:val="TableContents"/>
              <w:bidi w:val="0"/>
              <w:spacing w:before="0" w:after="283"/>
              <w:jc w:val="left"/>
              <w:rPr/>
            </w:pPr>
            <w:r>
              <w:rPr/>
              <w:t>30222760</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11900</w:t>
            </w:r>
          </w:p>
        </w:tc>
        <w:tc>
          <w:tcPr>
            <w:tcW w:w="1078" w:type="dxa"/>
            <w:tcBorders/>
            <w:vAlign w:val="center"/>
          </w:tcPr>
          <w:p>
            <w:pPr>
              <w:pStyle w:val="TableContents"/>
              <w:bidi w:val="0"/>
              <w:spacing w:before="0" w:after="283"/>
              <w:jc w:val="left"/>
              <w:rPr/>
            </w:pPr>
            <w:r>
              <w:rPr/>
              <w:t>08/28/2026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Daryl Raiford</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06/02/2026</w:t>
            </w:r>
          </w:p>
        </w:tc>
        <w:tc>
          <w:tcPr>
            <w:tcW w:w="1561" w:type="dxa"/>
            <w:tcBorders/>
            <w:vAlign w:val="center"/>
          </w:tcPr>
          <w:p>
            <w:pPr>
              <w:pStyle w:val="TableContents"/>
              <w:bidi w:val="0"/>
              <w:spacing w:before="0" w:after="283"/>
              <w:jc w:val="left"/>
              <w:rPr/>
            </w:pPr>
            <w:r>
              <w:rPr/>
              <w:t>6374</w:t>
            </w:r>
          </w:p>
        </w:tc>
        <w:tc>
          <w:tcPr>
            <w:tcW w:w="1759" w:type="dxa"/>
            <w:tcBorders/>
            <w:vAlign w:val="center"/>
          </w:tcPr>
          <w:p>
            <w:pPr>
              <w:pStyle w:val="TableContents"/>
              <w:bidi w:val="0"/>
              <w:spacing w:before="0" w:after="283"/>
              <w:jc w:val="left"/>
              <w:rPr/>
            </w:pPr>
            <w:r>
              <w:rPr/>
              <w:t>441053.09</w:t>
            </w:r>
          </w:p>
        </w:tc>
      </w:tr>
      <w:tr>
        <w:trPr/>
        <w:tc>
          <w:tcPr>
            <w:tcW w:w="3003" w:type="dxa"/>
            <w:tcBorders/>
            <w:vAlign w:val="center"/>
          </w:tcPr>
          <w:p>
            <w:pPr>
              <w:pStyle w:val="TableContents"/>
              <w:bidi w:val="0"/>
              <w:spacing w:before="0" w:after="283"/>
              <w:jc w:val="left"/>
              <w:rPr/>
            </w:pPr>
            <w:r>
              <w:rPr/>
              <w:t>Daryl Raiford</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12168</w:t>
            </w:r>
          </w:p>
        </w:tc>
        <w:tc>
          <w:tcPr>
            <w:tcW w:w="1759" w:type="dxa"/>
            <w:tcBorders/>
            <w:vAlign w:val="center"/>
          </w:tcPr>
          <w:p>
            <w:pPr>
              <w:pStyle w:val="TableContents"/>
              <w:bidi w:val="0"/>
              <w:spacing w:before="0" w:after="283"/>
              <w:jc w:val="left"/>
              <w:rPr/>
            </w:pPr>
            <w:r>
              <w:rPr/>
              <w:t>815168.79</w:t>
            </w:r>
          </w:p>
        </w:tc>
      </w:tr>
      <w:tr>
        <w:trPr/>
        <w:tc>
          <w:tcPr>
            <w:tcW w:w="3003" w:type="dxa"/>
            <w:tcBorders/>
            <w:vAlign w:val="center"/>
          </w:tcPr>
          <w:p>
            <w:pPr>
              <w:pStyle w:val="TableContents"/>
              <w:bidi w:val="0"/>
              <w:spacing w:before="0" w:after="283"/>
              <w:jc w:val="left"/>
              <w:rPr/>
            </w:pPr>
            <w:r>
              <w:rPr/>
              <w:t>Daryl Raiford</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3961</w:t>
            </w:r>
          </w:p>
        </w:tc>
        <w:tc>
          <w:tcPr>
            <w:tcW w:w="1759" w:type="dxa"/>
            <w:tcBorders/>
            <w:vAlign w:val="center"/>
          </w:tcPr>
          <w:p>
            <w:pPr>
              <w:pStyle w:val="TableContents"/>
              <w:bidi w:val="0"/>
              <w:spacing w:before="0" w:after="283"/>
              <w:jc w:val="left"/>
              <w:rPr/>
            </w:pPr>
            <w:r>
              <w:rPr/>
              <w:t>233086.61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27"/>
        <w:gridCol w:w="7478"/>
      </w:tblGrid>
      <w:tr>
        <w:trPr/>
        <w:tc>
          <w:tcPr>
            <w:tcW w:w="2727" w:type="dxa"/>
            <w:tcBorders/>
            <w:vAlign w:val="center"/>
          </w:tcPr>
          <w:p>
            <w:pPr>
              <w:pStyle w:val="TableContents"/>
              <w:bidi w:val="0"/>
              <w:spacing w:before="0" w:after="283"/>
              <w:jc w:val="left"/>
              <w:rPr/>
            </w:pPr>
            <w:r>
              <w:rPr/>
              <w:t>Remarks</w:t>
            </w:r>
          </w:p>
        </w:tc>
        <w:tc>
          <w:tcPr>
            <w:tcW w:w="7478" w:type="dxa"/>
            <w:tcBorders/>
            <w:vAlign w:val="center"/>
          </w:tcPr>
          <w:p>
            <w:pPr>
              <w:pStyle w:val="TableContents"/>
              <w:bidi w:val="0"/>
              <w:spacing w:before="0" w:after="0"/>
              <w:jc w:val="left"/>
              <w:rPr/>
            </w:pPr>
            <w:r>
              <w:rPr/>
              <w:t>The shares covered by this filing are restricted stock units that vest 08/28/2026. Up to 8,000 of the shares covered by this filing may be sold within the next three months pursuant to the Rule10b5-1 plan adopted by the Reporting Person on December 3, 2025, as modified on June 3, 2026.</w:t>
            </w:r>
          </w:p>
        </w:tc>
      </w:tr>
      <w:tr>
        <w:trPr/>
        <w:tc>
          <w:tcPr>
            <w:tcW w:w="2727" w:type="dxa"/>
            <w:tcBorders/>
            <w:vAlign w:val="center"/>
          </w:tcPr>
          <w:p>
            <w:pPr>
              <w:pStyle w:val="TableContents"/>
              <w:bidi w:val="0"/>
              <w:spacing w:before="0" w:after="283"/>
              <w:jc w:val="left"/>
              <w:rPr/>
            </w:pPr>
            <w:r>
              <w:rPr/>
              <w:t>Date of Notice</w:t>
            </w:r>
          </w:p>
        </w:tc>
        <w:tc>
          <w:tcPr>
            <w:tcW w:w="7478" w:type="dxa"/>
            <w:tcBorders/>
            <w:vAlign w:val="center"/>
          </w:tcPr>
          <w:p>
            <w:pPr>
              <w:pStyle w:val="TableContents"/>
              <w:bidi w:val="0"/>
              <w:spacing w:before="0" w:after="0"/>
              <w:jc w:val="left"/>
              <w:rPr/>
            </w:pPr>
            <w:r>
              <w:rPr/>
              <w:t>08/27/2026</w:t>
            </w:r>
          </w:p>
        </w:tc>
      </w:tr>
      <w:tr>
        <w:trPr/>
        <w:tc>
          <w:tcPr>
            <w:tcW w:w="2727" w:type="dxa"/>
            <w:tcBorders/>
            <w:vAlign w:val="center"/>
          </w:tcPr>
          <w:p>
            <w:pPr>
              <w:pStyle w:val="TableContents"/>
              <w:bidi w:val="0"/>
              <w:spacing w:before="0" w:after="283"/>
              <w:jc w:val="left"/>
              <w:rPr/>
            </w:pPr>
            <w:r>
              <w:rPr/>
              <w:t>Date of Plan Adoption or Giving of Instruction, If Relying on Rule 10b5-1</w:t>
            </w:r>
          </w:p>
        </w:tc>
        <w:tc>
          <w:tcPr>
            <w:tcW w:w="7478"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27" w:type="dxa"/>
            <w:tcBorders/>
            <w:vAlign w:val="center"/>
          </w:tcPr>
          <w:p>
            <w:pPr>
              <w:pStyle w:val="TableContents"/>
              <w:bidi w:val="0"/>
              <w:spacing w:before="0" w:after="283"/>
              <w:jc w:val="left"/>
              <w:rPr/>
            </w:pPr>
            <w:r>
              <w:rPr/>
              <w:t>Signature</w:t>
            </w:r>
          </w:p>
        </w:tc>
        <w:tc>
          <w:tcPr>
            <w:tcW w:w="7478" w:type="dxa"/>
            <w:tcBorders/>
            <w:vAlign w:val="center"/>
          </w:tcPr>
          <w:p>
            <w:pPr>
              <w:pStyle w:val="TableContents"/>
              <w:bidi w:val="0"/>
              <w:spacing w:before="0" w:after="0"/>
              <w:jc w:val="left"/>
              <w:rPr/>
            </w:pPr>
            <w:r>
              <w:rPr/>
              <w:t>/s/ Lorna A. Knick, Attorney-in-Fact for Daryl Raiford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3591</Characters>
  <CharactersWithSpaces>4238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