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August 16, 2017. This draft registration statement has not been filed publicly with the Securities and Exchange Commission and all information herein remains strictly confidential.</w:t>
      </w:r>
    </w:p>
    <w:p>
      <w:pPr>
        <w:spacing w:after="0" w:line="1" w:lineRule="exact"/>
        <w:rPr>
          <w:sz w:val="24"/>
          <w:szCs w:val="24"/>
          <w:color w:val="auto"/>
        </w:rPr>
      </w:pPr>
    </w:p>
    <w:p>
      <w:pPr>
        <w:ind w:left="954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i w:val="1"/>
          <w:i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i w:val="1"/>
          <w:i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i w:val="1"/>
          <w:i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i w:val="1"/>
          <w:iCs w:val="1"/>
          <w:color w:val="auto"/>
        </w:rPr>
        <w:t>FORM 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i w:val="1"/>
          <w:iCs w:val="1"/>
          <w:color w:val="auto"/>
        </w:rPr>
        <w:t>REGISTRATION STATEMENT</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i w:val="1"/>
          <w:iCs w:val="1"/>
          <w:color w:val="auto"/>
        </w:rPr>
        <w:t>Bandwidth.com,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-287655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198"/>
        </w:trPr>
        <w:tc>
          <w:tcPr>
            <w:tcW w:w="278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2420" w:type="dxa"/>
            <w:vAlign w:val="bottom"/>
          </w:tcPr>
          <w:p>
            <w:pPr>
              <w:jc w:val="center"/>
              <w:ind w:left="1091"/>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35"/>
        </w:trPr>
        <w:tc>
          <w:tcPr>
            <w:tcW w:w="2780" w:type="dxa"/>
            <w:vAlign w:val="bottom"/>
          </w:tcPr>
          <w:p>
            <w:pPr>
              <w:jc w:val="center"/>
              <w:ind w:right="10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420" w:type="dxa"/>
            <w:vAlign w:val="bottom"/>
          </w:tcPr>
          <w:p>
            <w:pPr>
              <w:jc w:val="center"/>
              <w:ind w:left="111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07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420" w:type="dxa"/>
            <w:vAlign w:val="bottom"/>
          </w:tcPr>
          <w:p>
            <w:pPr>
              <w:jc w:val="center"/>
              <w:ind w:left="1111"/>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900 Main Campus Drive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David A. Morken</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Bandwidth.com,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900 Main Campus Drive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tbl>
      <w:tblPr>
        <w:tblLayout w:type="fixed"/>
        <w:tblInd w:w="110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37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980" w:type="dxa"/>
            <w:vAlign w:val="bottom"/>
          </w:tcPr>
          <w:p>
            <w:pPr>
              <w:spacing w:after="0"/>
              <w:rPr>
                <w:sz w:val="16"/>
                <w:szCs w:val="16"/>
                <w:color w:val="auto"/>
              </w:rPr>
            </w:pPr>
          </w:p>
        </w:tc>
      </w:tr>
      <w:tr>
        <w:trPr>
          <w:trHeight w:val="210"/>
        </w:trPr>
        <w:tc>
          <w:tcPr>
            <w:tcW w:w="280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Michael Benjamin, Esq.</w:t>
            </w:r>
          </w:p>
        </w:tc>
        <w:tc>
          <w:tcPr>
            <w:tcW w:w="37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Chris Matton, Esq.</w:t>
            </w:r>
          </w:p>
        </w:tc>
        <w:tc>
          <w:tcPr>
            <w:tcW w:w="298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Sophia Hudson, Esq.</w:t>
            </w:r>
          </w:p>
        </w:tc>
      </w:tr>
      <w:tr>
        <w:trPr>
          <w:trHeight w:val="203"/>
        </w:trPr>
        <w:tc>
          <w:tcPr>
            <w:tcW w:w="280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John Chory, Esq.</w:t>
            </w:r>
          </w:p>
        </w:tc>
        <w:tc>
          <w:tcPr>
            <w:tcW w:w="37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General Counsel</w:t>
            </w:r>
          </w:p>
        </w:tc>
        <w:tc>
          <w:tcPr>
            <w:tcW w:w="298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Richard D. Truesdell Jr., Esq.</w:t>
            </w:r>
          </w:p>
        </w:tc>
      </w:tr>
      <w:tr>
        <w:trPr>
          <w:trHeight w:val="203"/>
        </w:trPr>
        <w:tc>
          <w:tcPr>
            <w:tcW w:w="280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Shagufa Hossain, Esq.</w:t>
            </w:r>
          </w:p>
        </w:tc>
        <w:tc>
          <w:tcPr>
            <w:tcW w:w="37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Bandwidth.com, Inc.</w:t>
            </w:r>
          </w:p>
        </w:tc>
        <w:tc>
          <w:tcPr>
            <w:tcW w:w="298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Davis Polk &amp; Wardwell LLP</w:t>
            </w:r>
          </w:p>
        </w:tc>
      </w:tr>
      <w:tr>
        <w:trPr>
          <w:trHeight w:val="203"/>
        </w:trPr>
        <w:tc>
          <w:tcPr>
            <w:tcW w:w="280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Latham &amp; Watkins LLP</w:t>
            </w:r>
          </w:p>
        </w:tc>
        <w:tc>
          <w:tcPr>
            <w:tcW w:w="37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900 Main Campus Drive</w:t>
            </w:r>
          </w:p>
        </w:tc>
        <w:tc>
          <w:tcPr>
            <w:tcW w:w="2980" w:type="dxa"/>
            <w:vAlign w:val="bottom"/>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450 Lexington Avenue</w:t>
            </w:r>
          </w:p>
        </w:tc>
      </w:tr>
      <w:tr>
        <w:trPr>
          <w:trHeight w:val="203"/>
        </w:trPr>
        <w:tc>
          <w:tcPr>
            <w:tcW w:w="280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885 Third Avenue</w:t>
            </w:r>
          </w:p>
        </w:tc>
        <w:tc>
          <w:tcPr>
            <w:tcW w:w="37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rPr>
              <w:t>Raleigh, NC 27606</w:t>
            </w:r>
          </w:p>
        </w:tc>
        <w:tc>
          <w:tcPr>
            <w:tcW w:w="298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New York, NY 10017</w:t>
            </w:r>
          </w:p>
        </w:tc>
      </w:tr>
      <w:tr>
        <w:trPr>
          <w:trHeight w:val="203"/>
        </w:trPr>
        <w:tc>
          <w:tcPr>
            <w:tcW w:w="280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New York, NY 10022</w:t>
            </w:r>
          </w:p>
        </w:tc>
        <w:tc>
          <w:tcPr>
            <w:tcW w:w="37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(800) 808-5150</w:t>
            </w:r>
          </w:p>
        </w:tc>
        <w:tc>
          <w:tcPr>
            <w:tcW w:w="298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w w:val="99"/>
              </w:rPr>
              <w:t>(212) 450-4000</w:t>
            </w:r>
          </w:p>
        </w:tc>
      </w:tr>
      <w:tr>
        <w:trPr>
          <w:trHeight w:val="212"/>
        </w:trPr>
        <w:tc>
          <w:tcPr>
            <w:tcW w:w="2800" w:type="dxa"/>
            <w:vAlign w:val="bottom"/>
          </w:tcPr>
          <w:p>
            <w:pPr>
              <w:jc w:val="center"/>
              <w:ind w:right="1019"/>
              <w:spacing w:after="0"/>
              <w:rPr>
                <w:sz w:val="20"/>
                <w:szCs w:val="20"/>
                <w:color w:val="auto"/>
              </w:rPr>
            </w:pPr>
            <w:r>
              <w:rPr>
                <w:rFonts w:ascii="Times New Roman" w:cs="Times New Roman" w:eastAsia="Times New Roman" w:hAnsi="Times New Roman"/>
                <w:sz w:val="16"/>
                <w:szCs w:val="16"/>
                <w:b w:val="1"/>
                <w:bCs w:val="1"/>
                <w:color w:val="auto"/>
              </w:rPr>
              <w:t>(212) 906-1200</w:t>
            </w:r>
          </w:p>
        </w:tc>
        <w:tc>
          <w:tcPr>
            <w:tcW w:w="3740" w:type="dxa"/>
            <w:vAlign w:val="bottom"/>
          </w:tcPr>
          <w:p>
            <w:pPr>
              <w:spacing w:after="0"/>
              <w:rPr>
                <w:sz w:val="18"/>
                <w:szCs w:val="18"/>
                <w:color w:val="auto"/>
              </w:rPr>
            </w:pPr>
          </w:p>
        </w:tc>
        <w:tc>
          <w:tcPr>
            <w:tcW w:w="29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public: </w:t>
      </w:r>
      <w:r>
        <w:rPr>
          <w:rFonts w:ascii="Times New Roman" w:cs="Times New Roman" w:eastAsia="Times New Roman" w:hAnsi="Times New Roman"/>
          <w:sz w:val="16"/>
          <w:szCs w:val="16"/>
          <w:color w:val="auto"/>
        </w:rPr>
        <w:t>As soon as practicable after this Registration Statement is declared effective.</w:t>
      </w:r>
    </w:p>
    <w:p>
      <w:pPr>
        <w:spacing w:after="0" w:line="48" w:lineRule="exact"/>
        <w:rPr>
          <w:sz w:val="24"/>
          <w:szCs w:val="24"/>
          <w:color w:val="auto"/>
        </w:rPr>
      </w:pPr>
    </w:p>
    <w:p>
      <w:pPr>
        <w:ind w:right="18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5" w:lineRule="exact"/>
        <w:rPr>
          <w:sz w:val="24"/>
          <w:szCs w:val="24"/>
          <w:color w:val="auto"/>
        </w:rPr>
      </w:pPr>
    </w:p>
    <w:p>
      <w:pPr>
        <w:ind w:right="2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right="66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right="6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 w:lineRule="exact"/>
        <w:rPr>
          <w:sz w:val="24"/>
          <w:szCs w:val="24"/>
          <w:color w:val="auto"/>
        </w:rPr>
      </w:pPr>
    </w:p>
    <w:p>
      <w:pPr>
        <w:ind w:firstLine="342"/>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44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40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64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400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 w:lineRule="exact"/>
        <w:rPr>
          <w:sz w:val="24"/>
          <w:szCs w:val="24"/>
          <w:color w:val="auto"/>
        </w:rPr>
      </w:pPr>
    </w:p>
    <w:p>
      <w:pPr>
        <w:ind w:right="42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 of</w:t>
            </w:r>
          </w:p>
        </w:tc>
        <w:tc>
          <w:tcPr>
            <w:tcW w:w="1600" w:type="dxa"/>
            <w:vAlign w:val="bottom"/>
            <w:tcBorders>
              <w:right w:val="single" w:sz="8" w:color="auto"/>
            </w:tcBorders>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4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jc w:val="center"/>
              <w:ind w:left="15"/>
              <w:spacing w:after="0" w:line="128"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Securities to be Registered</w:t>
            </w:r>
          </w:p>
        </w:tc>
        <w:tc>
          <w:tcPr>
            <w:tcW w:w="1600" w:type="dxa"/>
            <w:vAlign w:val="bottom"/>
            <w:tcBorders>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8"/>
              </w:rPr>
              <w:t>Offering Price(1)(2)</w:t>
            </w:r>
          </w:p>
        </w:tc>
        <w:tc>
          <w:tcPr>
            <w:tcW w:w="1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Registration Fee(2)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600" w:type="dxa"/>
            <w:vAlign w:val="bottom"/>
            <w:tcBorders>
              <w:bottom w:val="single" w:sz="8" w:color="auto"/>
              <w:right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computing the amount of the registration fee pursuant to Rule 457(o) under the Securities Act of 1933, as amended.</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additional shares that the underwriters have the option to purchase from the Registrant,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p>
      <w:pPr>
        <w:ind w:right="20" w:firstLine="342"/>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DE1A1E"/>
        </w:rPr>
        <w:t>PROSPECTUS (Subject to Completion)</w:t>
      </w:r>
    </w:p>
    <w:p>
      <w:pPr>
        <w:spacing w:after="0" w:line="1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i w:val="1"/>
          <w:iCs w:val="1"/>
          <w:color w:val="DE1A1E"/>
        </w:rPr>
        <w:t>Issued</w:t>
      </w:r>
      <w:r>
        <w:rPr>
          <w:sz w:val="20"/>
          <w:szCs w:val="20"/>
          <w:color w:val="auto"/>
        </w:rPr>
        <w:tab/>
      </w:r>
      <w:r>
        <w:rPr>
          <w:rFonts w:ascii="Times New Roman" w:cs="Times New Roman" w:eastAsia="Times New Roman" w:hAnsi="Times New Roman"/>
          <w:sz w:val="22"/>
          <w:szCs w:val="22"/>
          <w:i w:val="1"/>
          <w:iCs w:val="1"/>
          <w:color w:val="DE1A1E"/>
        </w:rPr>
        <w:t>, 2017</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auto"/>
        </w:rPr>
        <w:t>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104775</wp:posOffset>
            </wp:positionV>
            <wp:extent cx="60896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6"/>
          <w:szCs w:val="16"/>
          <w:b w:val="1"/>
          <w:bCs w:val="1"/>
          <w:i w:val="1"/>
          <w:iCs w:val="1"/>
          <w:color w:val="auto"/>
        </w:rPr>
        <w:t>Bandwidth.com, Inc. is offering</w:t>
      </w:r>
      <w:r>
        <w:rPr>
          <w:sz w:val="20"/>
          <w:szCs w:val="20"/>
          <w:color w:val="auto"/>
        </w:rPr>
        <w:tab/>
      </w:r>
      <w:r>
        <w:rPr>
          <w:rFonts w:ascii="Times New Roman" w:cs="Times New Roman" w:eastAsia="Times New Roman" w:hAnsi="Times New Roman"/>
          <w:sz w:val="16"/>
          <w:szCs w:val="16"/>
          <w:b w:val="1"/>
          <w:bCs w:val="1"/>
          <w:i w:val="1"/>
          <w:iCs w:val="1"/>
          <w:color w:val="auto"/>
        </w:rPr>
        <w:t>shares of its Class A common stock. This is our initial public offering and no public market currently exists for our shares of</w:t>
      </w:r>
    </w:p>
    <w:p>
      <w:pPr>
        <w:spacing w:after="0" w:line="30" w:lineRule="exact"/>
        <w:rPr>
          <w:sz w:val="20"/>
          <w:szCs w:val="20"/>
          <w:color w:val="auto"/>
        </w:rPr>
      </w:pPr>
    </w:p>
    <w:p>
      <w:pPr>
        <w:spacing w:after="0"/>
        <w:tabs>
          <w:tab w:leader="none" w:pos="6740" w:val="left"/>
          <w:tab w:leader="none" w:pos="7800" w:val="left"/>
        </w:tabs>
        <w:rPr>
          <w:sz w:val="20"/>
          <w:szCs w:val="20"/>
          <w:color w:val="auto"/>
        </w:rPr>
      </w:pPr>
      <w:r>
        <w:rPr>
          <w:rFonts w:ascii="Times New Roman" w:cs="Times New Roman" w:eastAsia="Times New Roman" w:hAnsi="Times New Roman"/>
          <w:sz w:val="16"/>
          <w:szCs w:val="16"/>
          <w:b w:val="1"/>
          <w:bCs w:val="1"/>
          <w:i w:val="1"/>
          <w:iCs w:val="1"/>
          <w:color w:val="auto"/>
        </w:rPr>
        <w:t>Class A common stock. We anticipate that the initial public offering price will be between $</w:t>
      </w:r>
      <w:r>
        <w:rPr>
          <w:sz w:val="20"/>
          <w:szCs w:val="20"/>
          <w:color w:val="auto"/>
        </w:rPr>
        <w:tab/>
      </w: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6"/>
          <w:szCs w:val="16"/>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authorized common stock, Class A common stock and Class B common stock. The rights of the holders of Class A common stock and Class B common stock will be identical, except with respect to voting and conversion rights. Each share of Class A common stock will be entitled to one vote per share. Each share of Class B common stock is entitled to ten votes per share and is convertible into one share of Class A common stock. Outstanding shares of Class B common stock will represent approximately % of the voting power of our outstanding capital stock immediately following the completion of this offering, with our directors, executive officers and 5% stockholders, and their respective affiliates, holding approximately % of the voting power of our capital stock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273050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4400" w:val="left"/>
          <w:tab w:leader="none" w:pos="6320" w:val="left"/>
        </w:tabs>
        <w:rPr>
          <w:sz w:val="20"/>
          <w:szCs w:val="20"/>
          <w:color w:val="auto"/>
        </w:rPr>
      </w:pPr>
      <w:r>
        <w:rPr>
          <w:rFonts w:ascii="Times New Roman" w:cs="Times New Roman" w:eastAsia="Times New Roman" w:hAnsi="Times New Roman"/>
          <w:sz w:val="16"/>
          <w:szCs w:val="16"/>
          <w:b w:val="1"/>
          <w:bCs w:val="1"/>
          <w:i w:val="1"/>
          <w:iCs w:val="1"/>
          <w:color w:val="auto"/>
        </w:rPr>
        <w:t>We intend to apply to list our Class A common stock on</w:t>
      </w:r>
      <w:r>
        <w:rPr>
          <w:sz w:val="20"/>
          <w:szCs w:val="20"/>
          <w:color w:val="auto"/>
        </w:rPr>
        <w:tab/>
      </w:r>
      <w:r>
        <w:rPr>
          <w:rFonts w:ascii="Times New Roman" w:cs="Times New Roman" w:eastAsia="Times New Roman" w:hAnsi="Times New Roman"/>
          <w:sz w:val="16"/>
          <w:szCs w:val="16"/>
          <w:b w:val="1"/>
          <w:bCs w:val="1"/>
          <w:i w:val="1"/>
          <w:iCs w:val="1"/>
          <w:color w:val="auto"/>
        </w:rPr>
        <w:t>under the symbol “</w:t>
      </w:r>
      <w:r>
        <w:rPr>
          <w:sz w:val="20"/>
          <w:szCs w:val="20"/>
          <w:color w:val="auto"/>
        </w:rPr>
        <w:tab/>
      </w:r>
      <w:r>
        <w:rPr>
          <w:rFonts w:ascii="Times New Roman" w:cs="Times New Roman" w:eastAsia="Times New Roman" w:hAnsi="Times New Roman"/>
          <w:sz w:val="16"/>
          <w:szCs w:val="16"/>
          <w:b w:val="1"/>
          <w:bCs w:val="1"/>
          <w:i w:val="1"/>
          <w:iCs w:val="1"/>
          <w:color w:val="auto"/>
        </w:rPr>
        <w:t>.”</w:t>
      </w:r>
    </w:p>
    <w:p>
      <w:pPr>
        <w:spacing w:after="0" w:line="1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6"/>
          <w:szCs w:val="16"/>
          <w:b w:val="1"/>
          <w:bCs w:val="1"/>
          <w:i w:val="1"/>
          <w:iCs w:val="1"/>
          <w:color w:val="auto"/>
        </w:rPr>
        <w:t>We are a “controlled company” under the corporate governance rules for</w:t>
      </w:r>
      <w:r>
        <w:rPr>
          <w:sz w:val="20"/>
          <w:szCs w:val="20"/>
          <w:color w:val="auto"/>
        </w:rPr>
        <w:tab/>
      </w:r>
      <w:r>
        <w:rPr>
          <w:rFonts w:ascii="Times New Roman" w:cs="Times New Roman" w:eastAsia="Times New Roman" w:hAnsi="Times New Roman"/>
          <w:sz w:val="15"/>
          <w:szCs w:val="15"/>
          <w:b w:val="1"/>
          <w:bCs w:val="1"/>
          <w:i w:val="1"/>
          <w:iCs w:val="1"/>
          <w:color w:val="auto"/>
        </w:rPr>
        <w:t>-listed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168910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right="200"/>
        <w:spacing w:after="0" w:line="30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have elected to comply with certain reduced public company reporting requirements for this prospectus and future filings. Investing in our Class A common stock involves risks. See “</w:t>
      </w:r>
      <w:hyperlink w:anchor="page24">
        <w:r>
          <w:rPr>
            <w:rFonts w:ascii="Times New Roman" w:cs="Times New Roman" w:eastAsia="Times New Roman" w:hAnsi="Times New Roman"/>
            <w:sz w:val="16"/>
            <w:szCs w:val="16"/>
            <w:b w:val="1"/>
            <w:bCs w:val="1"/>
            <w:i w:val="1"/>
            <w:iCs w:val="1"/>
            <w:u w:val="single" w:color="auto"/>
            <w:color w:val="0000EE"/>
          </w:rPr>
          <w:t>Risk Factors</w:t>
        </w:r>
      </w:hyperlink>
      <w:r>
        <w:rPr>
          <w:rFonts w:ascii="Times New Roman" w:cs="Times New Roman" w:eastAsia="Times New Roman" w:hAnsi="Times New Roman"/>
          <w:sz w:val="16"/>
          <w:szCs w:val="16"/>
          <w:b w:val="1"/>
          <w:bCs w:val="1"/>
          <w:i w:val="1"/>
          <w:iCs w:val="1"/>
          <w:color w:val="auto"/>
        </w:rPr>
        <w:t>”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9" w:lineRule="exact"/>
        <w:rPr>
          <w:sz w:val="20"/>
          <w:szCs w:val="20"/>
          <w:color w:val="auto"/>
        </w:rPr>
      </w:pPr>
    </w:p>
    <w:p>
      <w:pPr>
        <w:ind w:left="4840"/>
        <w:spacing w:after="0"/>
        <w:tabs>
          <w:tab w:leader="none" w:pos="5860" w:val="left"/>
        </w:tabs>
        <w:rPr>
          <w:sz w:val="20"/>
          <w:szCs w:val="20"/>
          <w:color w:val="auto"/>
        </w:rPr>
      </w:pPr>
      <w:r>
        <w:rPr>
          <w:rFonts w:ascii="Times New Roman" w:cs="Times New Roman" w:eastAsia="Times New Roman" w:hAnsi="Times New Roman"/>
          <w:sz w:val="18"/>
          <w:szCs w:val="18"/>
          <w:i w:val="1"/>
          <w:iCs w:val="1"/>
          <w:color w:val="auto"/>
        </w:rPr>
        <w:t>PRICE $</w:t>
      </w:r>
      <w:r>
        <w:rPr>
          <w:sz w:val="20"/>
          <w:szCs w:val="20"/>
          <w:color w:val="auto"/>
        </w:rPr>
        <w:tab/>
      </w:r>
      <w:r>
        <w:rPr>
          <w:rFonts w:ascii="Times New Roman" w:cs="Times New Roman" w:eastAsia="Times New Roman" w:hAnsi="Times New Roman"/>
          <w:sz w:val="18"/>
          <w:szCs w:val="18"/>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tbl>
      <w:tblPr>
        <w:tblLayout w:type="fixed"/>
        <w:tblInd w:w="63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Underwriting</w:t>
            </w:r>
          </w:p>
        </w:tc>
        <w:tc>
          <w:tcPr>
            <w:tcW w:w="800" w:type="dxa"/>
            <w:vAlign w:val="bottom"/>
          </w:tcPr>
          <w:p>
            <w:pPr>
              <w:spacing w:after="0"/>
              <w:rPr>
                <w:sz w:val="13"/>
                <w:szCs w:val="13"/>
                <w:color w:val="auto"/>
              </w:rPr>
            </w:pPr>
          </w:p>
        </w:tc>
      </w:tr>
      <w:tr>
        <w:trPr>
          <w:trHeight w:val="162"/>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Price to</w:t>
            </w:r>
          </w:p>
        </w:tc>
        <w:tc>
          <w:tcPr>
            <w:tcW w:w="27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i w:val="1"/>
                <w:iCs w:val="1"/>
                <w:color w:val="auto"/>
              </w:rPr>
              <w:t>Discounts and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Proceeds to</w:t>
            </w:r>
          </w:p>
        </w:tc>
      </w:tr>
      <w:tr>
        <w:trPr>
          <w:trHeight w:val="169"/>
        </w:trPr>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Public</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Commissions</w:t>
            </w: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Company(1)</w:t>
            </w: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tabs>
          <w:tab w:leader="none" w:pos="6220" w:val="left"/>
        </w:tabs>
        <w:rPr>
          <w:sz w:val="20"/>
          <w:szCs w:val="20"/>
          <w:color w:val="auto"/>
        </w:rPr>
      </w:pPr>
      <w:r>
        <w:rPr>
          <w:rFonts w:ascii="Times New Roman" w:cs="Times New Roman" w:eastAsia="Times New Roman" w:hAnsi="Times New Roman"/>
          <w:sz w:val="18"/>
          <w:szCs w:val="18"/>
          <w:i w:val="1"/>
          <w:iCs w:val="1"/>
          <w:color w:val="auto"/>
        </w:rPr>
        <w:t>Per share</w:t>
      </w:r>
      <w:r>
        <w:rPr>
          <w:sz w:val="20"/>
          <w:szCs w:val="20"/>
          <w:color w:val="auto"/>
        </w:rPr>
        <w:tab/>
      </w:r>
      <w:r>
        <w:rPr>
          <w:rFonts w:ascii="Times New Roman" w:cs="Times New Roman" w:eastAsia="Times New Roman" w:hAnsi="Times New Roman"/>
          <w:sz w:val="16"/>
          <w:szCs w:val="16"/>
          <w:i w:val="1"/>
          <w:iCs w:val="1"/>
          <w:color w:val="auto"/>
        </w:rPr>
        <w:t>$</w:t>
      </w:r>
    </w:p>
    <w:p>
      <w:pPr>
        <w:spacing w:after="0" w:line="9"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18"/>
          <w:szCs w:val="18"/>
          <w:i w:val="1"/>
          <w:iCs w:val="1"/>
          <w:color w:val="auto"/>
        </w:rPr>
        <w:t>Total</w:t>
      </w:r>
      <w:r>
        <w:rPr>
          <w:sz w:val="20"/>
          <w:szCs w:val="20"/>
          <w:color w:val="auto"/>
        </w:rPr>
        <w:tab/>
      </w:r>
      <w:r>
        <w:rPr>
          <w:rFonts w:ascii="Times New Roman" w:cs="Times New Roman" w:eastAsia="Times New Roman" w:hAnsi="Times New Roman"/>
          <w:sz w:val="18"/>
          <w:szCs w:val="18"/>
          <w:i w:val="1"/>
          <w:iCs w:val="1"/>
          <w:color w:val="auto"/>
        </w:rPr>
        <w:t>$</w:t>
      </w:r>
    </w:p>
    <w:p>
      <w:pPr>
        <w:spacing w:after="0" w:line="10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the section titled “Underwriters” for additional information regarding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20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w:t>
      </w:r>
    </w:p>
    <w:p>
      <w:pPr>
        <w:spacing w:after="0" w:line="370" w:lineRule="exact"/>
        <w:rPr>
          <w:sz w:val="20"/>
          <w:szCs w:val="20"/>
          <w:color w:val="auto"/>
        </w:rPr>
      </w:pPr>
    </w:p>
    <w:p>
      <w:pPr>
        <w:sectPr>
          <w:pgSz w:w="11900" w:h="16838" w:orient="portrait"/>
          <w:cols w:equalWidth="0" w:num="2">
            <w:col w:w="7560" w:space="720"/>
            <w:col w:w="3140"/>
          </w:cols>
          <w:pgMar w:left="240" w:top="455" w:right="239" w:bottom="1440" w:gutter="0" w:footer="0" w:header="0"/>
          <w:type w:val="continuous"/>
        </w:sectPr>
      </w:pPr>
    </w:p>
    <w:p>
      <w:pPr>
        <w:spacing w:after="0"/>
        <w:tabs>
          <w:tab w:leader="none" w:pos="5420" w:val="left"/>
        </w:tabs>
        <w:rPr>
          <w:sz w:val="20"/>
          <w:szCs w:val="20"/>
          <w:color w:val="auto"/>
        </w:rPr>
      </w:pPr>
      <w:r>
        <w:rPr>
          <w:rFonts w:ascii="Times New Roman" w:cs="Times New Roman" w:eastAsia="Times New Roman" w:hAnsi="Times New Roman"/>
          <w:sz w:val="16"/>
          <w:szCs w:val="16"/>
          <w:i w:val="1"/>
          <w:iCs w:val="1"/>
          <w:color w:val="auto"/>
        </w:rPr>
        <w:t>We have granted the underwriters the right to purchase up to an additional</w:t>
      </w:r>
      <w:r>
        <w:rPr>
          <w:sz w:val="20"/>
          <w:szCs w:val="20"/>
          <w:color w:val="auto"/>
        </w:rPr>
        <w:tab/>
      </w:r>
      <w:r>
        <w:rPr>
          <w:rFonts w:ascii="Times New Roman" w:cs="Times New Roman" w:eastAsia="Times New Roman" w:hAnsi="Times New Roman"/>
          <w:sz w:val="16"/>
          <w:szCs w:val="16"/>
          <w:i w:val="1"/>
          <w:iCs w:val="1"/>
          <w:color w:val="auto"/>
        </w:rPr>
        <w:t>shares of Class A common stock to cover over-allotments at the initial public offering price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less the underwriting discount.</w:t>
      </w:r>
    </w:p>
    <w:p>
      <w:pPr>
        <w:spacing w:after="0" w:line="117"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tabs>
          <w:tab w:leader="none" w:pos="5360" w:val="left"/>
          <w:tab w:leader="none" w:pos="10780" w:val="left"/>
        </w:tabs>
        <w:rPr>
          <w:sz w:val="20"/>
          <w:szCs w:val="20"/>
          <w:color w:val="auto"/>
        </w:rPr>
      </w:pPr>
      <w:r>
        <w:rPr>
          <w:rFonts w:ascii="Times New Roman" w:cs="Times New Roman" w:eastAsia="Times New Roman" w:hAnsi="Times New Roman"/>
          <w:sz w:val="22"/>
          <w:szCs w:val="22"/>
          <w:i w:val="1"/>
          <w:iCs w:val="1"/>
          <w:color w:val="auto"/>
        </w:rPr>
        <w:t>MORGAN STANLEY</w:t>
      </w:r>
      <w:r>
        <w:rPr>
          <w:sz w:val="20"/>
          <w:szCs w:val="20"/>
          <w:color w:val="auto"/>
        </w:rPr>
        <w:tab/>
      </w:r>
      <w:r>
        <w:rPr>
          <w:rFonts w:ascii="Times New Roman" w:cs="Times New Roman" w:eastAsia="Times New Roman" w:hAnsi="Times New Roman"/>
          <w:sz w:val="22"/>
          <w:szCs w:val="22"/>
          <w:i w:val="1"/>
          <w:iCs w:val="1"/>
          <w:color w:val="auto"/>
        </w:rPr>
        <w:t>KEYBANC CAPITAL MARKETS</w:t>
      </w:r>
      <w:r>
        <w:rPr>
          <w:sz w:val="20"/>
          <w:szCs w:val="20"/>
          <w:color w:val="auto"/>
        </w:rPr>
        <w:tab/>
      </w:r>
      <w:r>
        <w:rPr>
          <w:rFonts w:ascii="Times New Roman" w:cs="Times New Roman" w:eastAsia="Times New Roman" w:hAnsi="Times New Roman"/>
          <w:sz w:val="21"/>
          <w:szCs w:val="21"/>
          <w:i w:val="1"/>
          <w:iCs w:val="1"/>
          <w:color w:val="auto"/>
        </w:rPr>
        <w:t>BAIRD</w:t>
      </w:r>
    </w:p>
    <w:p>
      <w:pPr>
        <w:spacing w:after="0" w:line="233" w:lineRule="exact"/>
        <w:rPr>
          <w:sz w:val="20"/>
          <w:szCs w:val="20"/>
          <w:color w:val="auto"/>
        </w:rPr>
      </w:pPr>
    </w:p>
    <w:p>
      <w:pPr>
        <w:jc w:val="right"/>
        <w:spacing w:after="0"/>
        <w:tabs>
          <w:tab w:leader="none" w:pos="1620" w:val="left"/>
        </w:tabs>
        <w:rPr>
          <w:sz w:val="20"/>
          <w:szCs w:val="20"/>
          <w:color w:val="auto"/>
        </w:rPr>
      </w:pPr>
      <w:r>
        <w:rPr>
          <w:rFonts w:ascii="Times New Roman" w:cs="Times New Roman" w:eastAsia="Times New Roman" w:hAnsi="Times New Roman"/>
          <w:sz w:val="22"/>
          <w:szCs w:val="22"/>
          <w:i w:val="1"/>
          <w:iCs w:val="1"/>
          <w:color w:val="auto"/>
        </w:rPr>
        <w:t>CANACCORD GENUITY</w:t>
      </w:r>
      <w:r>
        <w:rPr>
          <w:sz w:val="20"/>
          <w:szCs w:val="20"/>
          <w:color w:val="auto"/>
        </w:rPr>
        <w:tab/>
      </w:r>
      <w:r>
        <w:rPr>
          <w:rFonts w:ascii="Times New Roman" w:cs="Times New Roman" w:eastAsia="Times New Roman" w:hAnsi="Times New Roman"/>
          <w:sz w:val="21"/>
          <w:szCs w:val="21"/>
          <w:i w:val="1"/>
          <w:i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 2017.</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208280</wp:posOffset>
            </wp:positionV>
            <wp:extent cx="5659755" cy="7323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80" w:lineRule="auto"/>
        <w:rPr>
          <w:sz w:val="20"/>
          <w:szCs w:val="20"/>
          <w:color w:val="auto"/>
        </w:rPr>
      </w:pPr>
      <w:r>
        <w:rPr>
          <w:rFonts w:ascii="Times New Roman" w:cs="Times New Roman" w:eastAsia="Times New Roman" w:hAnsi="Times New Roman"/>
          <w:sz w:val="11"/>
          <w:szCs w:val="11"/>
          <w:color w:val="FFFFFF"/>
        </w:rPr>
        <w:t>52 Million PHONE NUMBERS* 99 . Billion MESSAGES** 338 EMPLOYEES* 18 Years OF BUILDING UP 26.5 Billion MINUTES** HQ RALEIGH, NC 8 Million 911-ENABLED PHONE NUMBERS* BANDWIDTH</w:t>
      </w:r>
    </w:p>
    <w:p>
      <w:pPr>
        <w:spacing w:after="0"/>
        <w:rPr>
          <w:sz w:val="20"/>
          <w:szCs w:val="20"/>
          <w:color w:val="auto"/>
        </w:rPr>
      </w:pPr>
      <w:r>
        <w:rPr>
          <w:rFonts w:ascii="Times New Roman" w:cs="Times New Roman" w:eastAsia="Times New Roman" w:hAnsi="Times New Roman"/>
          <w:sz w:val="14"/>
          <w:szCs w:val="14"/>
          <w:color w:val="FFFFFF"/>
        </w:rPr>
        <w:t>We develop &amp; deliver the power to communicate *As of June 30, 2017, **For the twelve months ending on June 30, 2017.</w:t>
      </w:r>
    </w:p>
    <w:p>
      <w:pPr>
        <w:sectPr>
          <w:pgSz w:w="11900" w:h="16838" w:orient="portrait"/>
          <w:cols w:equalWidth="0" w:num="1">
            <w:col w:w="10760"/>
          </w:cols>
          <w:pgMar w:left="240" w:top="455" w:right="8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208280</wp:posOffset>
            </wp:positionV>
            <wp:extent cx="5659755" cy="7323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POWERED BY bandwidth</w:t>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208280</wp:posOffset>
            </wp:positionV>
            <wp:extent cx="5659755" cy="7315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755"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FFFFFF"/>
              </w:rPr>
              <w:t>“Choosing</w:t>
            </w:r>
          </w:p>
        </w:tc>
        <w:tc>
          <w:tcPr>
            <w:tcW w:w="10100" w:type="dxa"/>
            <w:vAlign w:val="bottom"/>
            <w:gridSpan w:val="5"/>
          </w:tcPr>
          <w:p>
            <w:pPr>
              <w:jc w:val="right"/>
              <w:ind w:right="163"/>
              <w:spacing w:after="0"/>
              <w:rPr>
                <w:sz w:val="20"/>
                <w:szCs w:val="20"/>
                <w:color w:val="auto"/>
              </w:rPr>
            </w:pPr>
            <w:r>
              <w:rPr>
                <w:rFonts w:ascii="Times New Roman" w:cs="Times New Roman" w:eastAsia="Times New Roman" w:hAnsi="Times New Roman"/>
                <w:sz w:val="14"/>
                <w:szCs w:val="14"/>
                <w:color w:val="FFFFFF"/>
                <w:w w:val="96"/>
              </w:rPr>
              <w:t>APIs bu lt atop their own network meant we could cut out an unnecessary layer of complexity and grow adoption at an even faster rate. With our original provider, we knew scalability</w:t>
            </w:r>
          </w:p>
        </w:tc>
      </w:tr>
      <w:tr>
        <w:trPr>
          <w:trHeight w:val="41"/>
        </w:trPr>
        <w:tc>
          <w:tcPr>
            <w:tcW w:w="1320" w:type="dxa"/>
            <w:vAlign w:val="bottom"/>
          </w:tcPr>
          <w:p>
            <w:pPr>
              <w:spacing w:after="0"/>
              <w:rPr>
                <w:sz w:val="20"/>
                <w:szCs w:val="20"/>
                <w:color w:val="auto"/>
              </w:rPr>
            </w:pPr>
            <w:r>
              <w:rPr>
                <w:rFonts w:ascii="Times New Roman" w:cs="Times New Roman" w:eastAsia="Times New Roman" w:hAnsi="Times New Roman"/>
                <w:sz w:val="3"/>
                <w:szCs w:val="3"/>
                <w:color w:val="FFFFFF"/>
              </w:rPr>
              <w:t>was going toBandwidth’issuebe</w:t>
            </w:r>
          </w:p>
        </w:tc>
        <w:tc>
          <w:tcPr>
            <w:tcW w:w="10100" w:type="dxa"/>
            <w:vAlign w:val="bottom"/>
            <w:gridSpan w:val="5"/>
          </w:tcPr>
          <w:p>
            <w:pPr>
              <w:jc w:val="right"/>
              <w:ind w:right="183"/>
              <w:spacing w:after="0"/>
              <w:rPr>
                <w:sz w:val="20"/>
                <w:szCs w:val="20"/>
                <w:color w:val="auto"/>
              </w:rPr>
            </w:pPr>
            <w:r>
              <w:rPr>
                <w:rFonts w:ascii="Times New Roman" w:cs="Times New Roman" w:eastAsia="Times New Roman" w:hAnsi="Times New Roman"/>
                <w:sz w:val="3"/>
                <w:szCs w:val="3"/>
                <w:color w:val="FFFFFF"/>
              </w:rPr>
              <w:t>. Bandwidth was able to support our high volume of users, without impacting deliverability or our bottom line.” Jeff Zwelling Chief Operating Officer ZipRecruiter “Bandwidth shares</w:t>
            </w:r>
          </w:p>
        </w:tc>
      </w:tr>
      <w:tr>
        <w:trPr>
          <w:trHeight w:val="41"/>
        </w:trPr>
        <w:tc>
          <w:tcPr>
            <w:tcW w:w="6900" w:type="dxa"/>
            <w:vAlign w:val="bottom"/>
            <w:gridSpan w:val="4"/>
          </w:tcPr>
          <w:p>
            <w:pPr>
              <w:ind w:left="220"/>
              <w:spacing w:after="0"/>
              <w:rPr>
                <w:sz w:val="20"/>
                <w:szCs w:val="20"/>
                <w:color w:val="auto"/>
              </w:rPr>
            </w:pPr>
            <w:r>
              <w:rPr>
                <w:rFonts w:ascii="Times New Roman" w:cs="Times New Roman" w:eastAsia="Times New Roman" w:hAnsi="Times New Roman"/>
                <w:sz w:val="3"/>
                <w:szCs w:val="3"/>
                <w:color w:val="FFFFFF"/>
              </w:rPr>
              <w:t>dedication   providing WebEx clients with the most reliable service in the conferencing industry. Their customer-centric</w:t>
            </w:r>
          </w:p>
        </w:tc>
        <w:tc>
          <w:tcPr>
            <w:tcW w:w="4520" w:type="dxa"/>
            <w:vAlign w:val="bottom"/>
            <w:gridSpan w:val="2"/>
          </w:tcPr>
          <w:p>
            <w:pPr>
              <w:jc w:val="right"/>
              <w:ind w:right="183"/>
              <w:spacing w:after="0"/>
              <w:rPr>
                <w:sz w:val="20"/>
                <w:szCs w:val="20"/>
                <w:color w:val="auto"/>
              </w:rPr>
            </w:pPr>
            <w:r>
              <w:rPr>
                <w:rFonts w:ascii="Times New Roman" w:cs="Times New Roman" w:eastAsia="Times New Roman" w:hAnsi="Times New Roman"/>
                <w:sz w:val="3"/>
                <w:szCs w:val="3"/>
                <w:color w:val="FFFFFF"/>
              </w:rPr>
              <w:t>to service gives us the confidence we can deliver world class services to</w:t>
            </w:r>
          </w:p>
        </w:tc>
      </w:tr>
      <w:tr>
        <w:trPr>
          <w:trHeight w:val="41"/>
        </w:trPr>
        <w:tc>
          <w:tcPr>
            <w:tcW w:w="9920" w:type="dxa"/>
            <w:vAlign w:val="bottom"/>
            <w:gridSpan w:val="5"/>
          </w:tcPr>
          <w:p>
            <w:pPr>
              <w:spacing w:after="0"/>
              <w:rPr>
                <w:sz w:val="20"/>
                <w:szCs w:val="20"/>
                <w:color w:val="auto"/>
              </w:rPr>
            </w:pPr>
            <w:r>
              <w:rPr>
                <w:rFonts w:ascii="Times New Roman" w:cs="Times New Roman" w:eastAsia="Times New Roman" w:hAnsi="Times New Roman"/>
                <w:sz w:val="3"/>
                <w:szCs w:val="3"/>
                <w:color w:val="FFFFFF"/>
              </w:rPr>
              <w:t>o r global customer base.” Gagan Pabla Director of Service Operations Cisco-WebEx “We’ve worked with Bandwidth for overapproachdecade. The Bandwidth software platform and</w:t>
            </w:r>
          </w:p>
        </w:tc>
        <w:tc>
          <w:tcPr>
            <w:tcW w:w="1500" w:type="dxa"/>
            <w:vAlign w:val="bottom"/>
          </w:tcPr>
          <w:p>
            <w:pPr>
              <w:jc w:val="right"/>
              <w:ind w:right="183"/>
              <w:spacing w:after="0"/>
              <w:rPr>
                <w:sz w:val="20"/>
                <w:szCs w:val="20"/>
                <w:color w:val="auto"/>
              </w:rPr>
            </w:pPr>
            <w:r>
              <w:rPr>
                <w:rFonts w:ascii="Times New Roman" w:cs="Times New Roman" w:eastAsia="Times New Roman" w:hAnsi="Times New Roman"/>
                <w:sz w:val="3"/>
                <w:szCs w:val="3"/>
                <w:color w:val="FFFFFF"/>
              </w:rPr>
              <w:t>give us the flexibility,</w:t>
            </w:r>
          </w:p>
        </w:tc>
      </w:tr>
      <w:tr>
        <w:trPr>
          <w:trHeight w:val="41"/>
        </w:trPr>
        <w:tc>
          <w:tcPr>
            <w:tcW w:w="11420" w:type="dxa"/>
            <w:vAlign w:val="bottom"/>
            <w:gridSpan w:val="6"/>
          </w:tcPr>
          <w:p>
            <w:pPr>
              <w:spacing w:after="0"/>
              <w:rPr>
                <w:sz w:val="20"/>
                <w:szCs w:val="20"/>
                <w:color w:val="auto"/>
              </w:rPr>
            </w:pPr>
            <w:r>
              <w:rPr>
                <w:rFonts w:ascii="Times New Roman" w:cs="Times New Roman" w:eastAsia="Times New Roman" w:hAnsi="Times New Roman"/>
                <w:sz w:val="3"/>
                <w:szCs w:val="3"/>
                <w:color w:val="FFFFFF"/>
              </w:rPr>
              <w:t>quality and economics essential for our success. Call quality is the backbone of Dialpad. Without it, the freedom to connect everyone, be everywhere, and create anything doesn’networkstanda chance. With the help of</w:t>
            </w:r>
          </w:p>
        </w:tc>
      </w:tr>
      <w:tr>
        <w:trPr>
          <w:trHeight w:val="41"/>
        </w:trPr>
        <w:tc>
          <w:tcPr>
            <w:tcW w:w="11420" w:type="dxa"/>
            <w:vAlign w:val="bottom"/>
            <w:gridSpan w:val="6"/>
          </w:tcPr>
          <w:p>
            <w:pPr>
              <w:spacing w:after="0"/>
              <w:rPr>
                <w:sz w:val="20"/>
                <w:szCs w:val="20"/>
                <w:color w:val="auto"/>
              </w:rPr>
            </w:pPr>
            <w:r>
              <w:rPr>
                <w:rFonts w:ascii="Times New Roman" w:cs="Times New Roman" w:eastAsia="Times New Roman" w:hAnsi="Times New Roman"/>
                <w:sz w:val="3"/>
                <w:szCs w:val="3"/>
                <w:color w:val="FFFFFF"/>
              </w:rPr>
              <w:t>Bandwidth, we deliver the most reliable, highest quality voice system out there.” Craig Walker Founder &amp; Chief Executive Officer Dialpad “Bandwidth and team are true partners. They began with us at the</w:t>
            </w:r>
          </w:p>
        </w:tc>
      </w:tr>
      <w:tr>
        <w:trPr>
          <w:trHeight w:val="41"/>
        </w:trPr>
        <w:tc>
          <w:tcPr>
            <w:tcW w:w="4900" w:type="dxa"/>
            <w:vAlign w:val="bottom"/>
            <w:gridSpan w:val="3"/>
          </w:tcPr>
          <w:p>
            <w:pPr>
              <w:spacing w:after="0"/>
              <w:rPr>
                <w:sz w:val="20"/>
                <w:szCs w:val="20"/>
                <w:color w:val="auto"/>
              </w:rPr>
            </w:pPr>
            <w:r>
              <w:rPr>
                <w:rFonts w:ascii="Times New Roman" w:cs="Times New Roman" w:eastAsia="Times New Roman" w:hAnsi="Times New Roman"/>
                <w:sz w:val="3"/>
                <w:szCs w:val="3"/>
                <w:color w:val="FFFFFF"/>
              </w:rPr>
              <w:t>concept stage and delivered for us all the way through launch and beyond. These are</w:t>
            </w:r>
          </w:p>
        </w:tc>
        <w:tc>
          <w:tcPr>
            <w:tcW w:w="6520" w:type="dxa"/>
            <w:vAlign w:val="bottom"/>
            <w:gridSpan w:val="3"/>
          </w:tcPr>
          <w:p>
            <w:pPr>
              <w:jc w:val="right"/>
              <w:ind w:right="123"/>
              <w:spacing w:after="0"/>
              <w:rPr>
                <w:sz w:val="20"/>
                <w:szCs w:val="20"/>
                <w:color w:val="auto"/>
              </w:rPr>
            </w:pPr>
            <w:r>
              <w:rPr>
                <w:rFonts w:ascii="Times New Roman" w:cs="Times New Roman" w:eastAsia="Times New Roman" w:hAnsi="Times New Roman"/>
                <w:sz w:val="3"/>
                <w:szCs w:val="3"/>
                <w:color w:val="FFFFFF"/>
              </w:rPr>
              <w:t>guys who are more flexible, transparent, and more agile than any network provider I’veever worked with.” Greg</w:t>
            </w:r>
          </w:p>
        </w:tc>
      </w:tr>
      <w:tr>
        <w:trPr>
          <w:trHeight w:val="41"/>
        </w:trPr>
        <w:tc>
          <w:tcPr>
            <w:tcW w:w="6900" w:type="dxa"/>
            <w:vAlign w:val="bottom"/>
            <w:gridSpan w:val="4"/>
          </w:tcPr>
          <w:p>
            <w:pPr>
              <w:spacing w:after="0"/>
              <w:rPr>
                <w:sz w:val="20"/>
                <w:szCs w:val="20"/>
                <w:color w:val="auto"/>
              </w:rPr>
            </w:pPr>
            <w:r>
              <w:rPr>
                <w:rFonts w:ascii="Times New Roman" w:cs="Times New Roman" w:eastAsia="Times New Roman" w:hAnsi="Times New Roman"/>
                <w:sz w:val="3"/>
                <w:szCs w:val="3"/>
                <w:color w:val="FFFFFF"/>
              </w:rPr>
              <w:t>Woock Founder &amp; Chief Executive Officer Pinger/Sideline “One of our highest prioritiesinnovativeRover is to deliver superior</w:t>
            </w:r>
          </w:p>
        </w:tc>
        <w:tc>
          <w:tcPr>
            <w:tcW w:w="3020" w:type="dxa"/>
            <w:vAlign w:val="bottom"/>
          </w:tcPr>
          <w:p>
            <w:pPr>
              <w:ind w:left="140"/>
              <w:spacing w:after="0"/>
              <w:rPr>
                <w:sz w:val="20"/>
                <w:szCs w:val="20"/>
                <w:color w:val="auto"/>
              </w:rPr>
            </w:pPr>
            <w:r>
              <w:rPr>
                <w:rFonts w:ascii="Times New Roman" w:cs="Times New Roman" w:eastAsia="Times New Roman" w:hAnsi="Times New Roman"/>
                <w:sz w:val="3"/>
                <w:szCs w:val="3"/>
                <w:color w:val="FFFFFF"/>
              </w:rPr>
              <w:t>service; Bandwidth’s telecom tools allow us provide</w:t>
            </w:r>
          </w:p>
        </w:tc>
        <w:tc>
          <w:tcPr>
            <w:tcW w:w="1500" w:type="dxa"/>
            <w:vAlign w:val="bottom"/>
          </w:tcPr>
          <w:p>
            <w:pPr>
              <w:jc w:val="right"/>
              <w:ind w:right="403"/>
              <w:spacing w:after="0"/>
              <w:rPr>
                <w:sz w:val="20"/>
                <w:szCs w:val="20"/>
                <w:color w:val="auto"/>
              </w:rPr>
            </w:pPr>
            <w:r>
              <w:rPr>
                <w:rFonts w:ascii="Times New Roman" w:cs="Times New Roman" w:eastAsia="Times New Roman" w:hAnsi="Times New Roman"/>
                <w:sz w:val="3"/>
                <w:szCs w:val="3"/>
                <w:color w:val="FFFFFF"/>
              </w:rPr>
              <w:t>convenient mobile</w:t>
            </w:r>
          </w:p>
        </w:tc>
      </w:tr>
      <w:tr>
        <w:trPr>
          <w:trHeight w:val="41"/>
        </w:trPr>
        <w:tc>
          <w:tcPr>
            <w:tcW w:w="3460" w:type="dxa"/>
            <w:vAlign w:val="bottom"/>
            <w:gridSpan w:val="2"/>
          </w:tcPr>
          <w:p>
            <w:pPr>
              <w:spacing w:after="0"/>
              <w:rPr>
                <w:sz w:val="20"/>
                <w:szCs w:val="20"/>
                <w:color w:val="auto"/>
              </w:rPr>
            </w:pPr>
            <w:r>
              <w:rPr>
                <w:rFonts w:ascii="Times New Roman" w:cs="Times New Roman" w:eastAsia="Times New Roman" w:hAnsi="Times New Roman"/>
                <w:sz w:val="3"/>
                <w:szCs w:val="3"/>
                <w:color w:val="FFFFFF"/>
              </w:rPr>
              <w:t>experience. SMS enables sitters and pet owners to easily</w:t>
            </w:r>
          </w:p>
        </w:tc>
        <w:tc>
          <w:tcPr>
            <w:tcW w:w="7960" w:type="dxa"/>
            <w:vAlign w:val="bottom"/>
            <w:gridSpan w:val="4"/>
          </w:tcPr>
          <w:p>
            <w:pPr>
              <w:jc w:val="right"/>
              <w:spacing w:after="0"/>
              <w:rPr>
                <w:sz w:val="20"/>
                <w:szCs w:val="20"/>
                <w:color w:val="auto"/>
              </w:rPr>
            </w:pPr>
            <w:r>
              <w:rPr>
                <w:rFonts w:ascii="Times New Roman" w:cs="Times New Roman" w:eastAsia="Times New Roman" w:hAnsi="Times New Roman"/>
                <w:sz w:val="3"/>
                <w:szCs w:val="3"/>
                <w:color w:val="FFFFFF"/>
              </w:rPr>
              <w:t>through channels they’re used to. Bandwidth allowedcustomerto scale and meet our growing need with minimal transition costs.” Philip Kimmey</w:t>
            </w:r>
          </w:p>
        </w:tc>
      </w:tr>
      <w:tr>
        <w:trPr>
          <w:trHeight w:val="215"/>
        </w:trPr>
        <w:tc>
          <w:tcPr>
            <w:tcW w:w="9920" w:type="dxa"/>
            <w:vAlign w:val="bottom"/>
            <w:gridSpan w:val="5"/>
          </w:tcPr>
          <w:p>
            <w:pPr>
              <w:spacing w:after="0"/>
              <w:rPr>
                <w:sz w:val="20"/>
                <w:szCs w:val="20"/>
                <w:color w:val="auto"/>
              </w:rPr>
            </w:pPr>
            <w:r>
              <w:rPr>
                <w:rFonts w:ascii="Times New Roman" w:cs="Times New Roman" w:eastAsia="Times New Roman" w:hAnsi="Times New Roman"/>
                <w:sz w:val="14"/>
                <w:szCs w:val="14"/>
                <w:color w:val="FFFFFF"/>
                <w:w w:val="98"/>
              </w:rPr>
              <w:t>Co-Founder &amp; Director of Software Development Rover.communicateWebExTHE POWER TO COMMUNICATE DEVELOP &amp; DELIVER THE POWER TO COMMUNICATE</w:t>
            </w:r>
          </w:p>
        </w:tc>
        <w:tc>
          <w:tcPr>
            <w:tcW w:w="1500" w:type="dxa"/>
            <w:vAlign w:val="bottom"/>
          </w:tcPr>
          <w:p>
            <w:pPr>
              <w:spacing w:after="0"/>
              <w:rPr>
                <w:sz w:val="18"/>
                <w:szCs w:val="18"/>
                <w:color w:val="auto"/>
              </w:rPr>
            </w:pPr>
          </w:p>
        </w:tc>
      </w:tr>
    </w:tbl>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520" w:type="dxa"/>
            <w:vAlign w:val="bottom"/>
            <w:gridSpan w:val="7"/>
            <w:vMerge w:val="restart"/>
          </w:tcPr>
          <w:p>
            <w:pPr>
              <w:spacing w:after="0"/>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Prospectus Summary</w:t>
              </w:r>
            </w:hyperlink>
          </w:p>
        </w:tc>
        <w:tc>
          <w:tcPr>
            <w:tcW w:w="1080" w:type="dxa"/>
            <w:vAlign w:val="bottom"/>
            <w:gridSpan w:val="3"/>
            <w:vMerge w:val="restart"/>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940" w:type="dxa"/>
            <w:vAlign w:val="bottom"/>
            <w:gridSpan w:val="3"/>
            <w:vMerge w:val="restart"/>
          </w:tcPr>
          <w:p>
            <w:pPr>
              <w:spacing w:after="0"/>
              <w:rPr>
                <w:rFonts w:ascii="Times New Roman" w:cs="Times New Roman" w:eastAsia="Times New Roman" w:hAnsi="Times New Roman"/>
                <w:sz w:val="18"/>
                <w:szCs w:val="18"/>
                <w:color w:val="0000EE"/>
                <w:w w:val="97"/>
              </w:rPr>
            </w:pPr>
            <w:hyperlink w:anchor="page100">
              <w:r>
                <w:rPr>
                  <w:rFonts w:ascii="Times New Roman" w:cs="Times New Roman" w:eastAsia="Times New Roman" w:hAnsi="Times New Roman"/>
                  <w:sz w:val="18"/>
                  <w:szCs w:val="18"/>
                  <w:color w:val="0000EE"/>
                  <w:w w:val="97"/>
                </w:rPr>
                <w:t>Management</w:t>
              </w:r>
            </w:hyperlink>
          </w:p>
        </w:tc>
        <w:tc>
          <w:tcPr>
            <w:tcW w:w="4140" w:type="dxa"/>
            <w:vAlign w:val="bottom"/>
            <w:gridSpan w:val="12"/>
            <w:vMerge w:val="restart"/>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4"/>
                <w:szCs w:val="14"/>
                <w:color w:val="auto"/>
              </w:rPr>
            </w:pPr>
          </w:p>
        </w:tc>
        <w:tc>
          <w:tcPr>
            <w:tcW w:w="940" w:type="dxa"/>
            <w:vAlign w:val="bottom"/>
            <w:tcBorders>
              <w:bottom w:val="single" w:sz="8" w:color="0000EE"/>
            </w:tcBorders>
            <w:gridSpan w:val="3"/>
            <w:vMerge w:val="continue"/>
          </w:tcPr>
          <w:p>
            <w:pPr>
              <w:spacing w:after="0"/>
              <w:rPr>
                <w:sz w:val="14"/>
                <w:szCs w:val="14"/>
                <w:color w:val="auto"/>
              </w:rPr>
            </w:pPr>
          </w:p>
        </w:tc>
        <w:tc>
          <w:tcPr>
            <w:tcW w:w="4140" w:type="dxa"/>
            <w:vAlign w:val="bottom"/>
            <w:gridSpan w:val="12"/>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Risk Factors</w:t>
              </w:r>
            </w:hyperlink>
          </w:p>
        </w:tc>
        <w:tc>
          <w:tcPr>
            <w:tcW w:w="17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105">
              <w:r>
                <w:rPr>
                  <w:rFonts w:ascii="Times New Roman" w:cs="Times New Roman" w:eastAsia="Times New Roman" w:hAnsi="Times New Roman"/>
                  <w:sz w:val="18"/>
                  <w:szCs w:val="18"/>
                  <w:color w:val="0000EE"/>
                  <w:w w:val="98"/>
                </w:rPr>
                <w:t>Executive Compensation</w:t>
              </w:r>
            </w:hyperlink>
          </w:p>
        </w:tc>
        <w:tc>
          <w:tcPr>
            <w:tcW w:w="32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3880" w:type="dxa"/>
            <w:vAlign w:val="bottom"/>
            <w:gridSpan w:val="12"/>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Special Note Regarding Forward-Looking Statements</w:t>
              </w:r>
            </w:hyperlink>
          </w:p>
        </w:tc>
        <w:tc>
          <w:tcPr>
            <w:tcW w:w="1220" w:type="dxa"/>
            <w:vAlign w:val="bottom"/>
            <w:gridSpan w:val="2"/>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Use of Proceeds</w:t>
              </w:r>
            </w:hyperlink>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8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19">
              <w:r>
                <w:rPr>
                  <w:rFonts w:ascii="Times New Roman" w:cs="Times New Roman" w:eastAsia="Times New Roman" w:hAnsi="Times New Roman"/>
                  <w:sz w:val="18"/>
                  <w:szCs w:val="18"/>
                  <w:color w:val="0000EE"/>
                </w:rPr>
                <w:t>Principal Stockholders</w:t>
              </w:r>
            </w:hyperlink>
          </w:p>
        </w:tc>
        <w:tc>
          <w:tcPr>
            <w:tcW w:w="12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gridSpan w:val="1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Dividend Policy</w:t>
              </w:r>
            </w:hyperlink>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22">
              <w:r>
                <w:rPr>
                  <w:rFonts w:ascii="Times New Roman" w:cs="Times New Roman" w:eastAsia="Times New Roman" w:hAnsi="Times New Roman"/>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Capitalization</w:t>
              </w:r>
            </w:hyperlink>
          </w:p>
        </w:tc>
        <w:tc>
          <w:tcPr>
            <w:tcW w:w="144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Times New Roman" w:cs="Times New Roman" w:eastAsia="Times New Roman" w:hAnsi="Times New Roman"/>
                <w:sz w:val="18"/>
                <w:szCs w:val="18"/>
                <w:color w:val="0000EE"/>
                <w:w w:val="96"/>
              </w:rPr>
            </w:pPr>
            <w:hyperlink w:anchor="page57">
              <w:r>
                <w:rPr>
                  <w:rFonts w:ascii="Times New Roman" w:cs="Times New Roman" w:eastAsia="Times New Roman" w:hAnsi="Times New Roman"/>
                  <w:sz w:val="18"/>
                  <w:szCs w:val="18"/>
                  <w:color w:val="0000EE"/>
                  <w:w w:val="96"/>
                </w:rPr>
                <w:t>Dilution</w:t>
              </w:r>
            </w:hyperlink>
          </w:p>
        </w:tc>
        <w:tc>
          <w:tcPr>
            <w:tcW w:w="400" w:type="dxa"/>
            <w:vAlign w:val="bottom"/>
            <w:gridSpan w:val="3"/>
          </w:tcPr>
          <w:p>
            <w:pPr>
              <w:spacing w:after="0"/>
              <w:rPr>
                <w:sz w:val="17"/>
                <w:szCs w:val="17"/>
                <w:color w:val="auto"/>
              </w:rPr>
            </w:pPr>
          </w:p>
        </w:tc>
        <w:tc>
          <w:tcPr>
            <w:tcW w:w="16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Selected Consolidated Financial and Other Data</w:t>
              </w:r>
            </w:hyperlink>
          </w:p>
        </w:tc>
        <w:tc>
          <w:tcPr>
            <w:tcW w:w="164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7"/>
                <w:szCs w:val="17"/>
                <w:color w:val="auto"/>
              </w:rPr>
            </w:pPr>
          </w:p>
        </w:tc>
        <w:tc>
          <w:tcPr>
            <w:tcW w:w="2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29">
              <w:r>
                <w:rPr>
                  <w:rFonts w:ascii="Times New Roman" w:cs="Times New Roman" w:eastAsia="Times New Roman" w:hAnsi="Times New Roman"/>
                  <w:sz w:val="18"/>
                  <w:szCs w:val="18"/>
                  <w:color w:val="0000EE"/>
                  <w:w w:val="98"/>
                </w:rPr>
                <w:t>Holders of Our Class A Common Stock</w:t>
              </w:r>
            </w:hyperlink>
          </w:p>
        </w:tc>
        <w:tc>
          <w:tcPr>
            <w:tcW w:w="204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5100" w:type="dxa"/>
            <w:vAlign w:val="bottom"/>
            <w:gridSpan w:val="14"/>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Underwriters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and Results of Operations</w:t>
              </w:r>
            </w:hyperlink>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42">
              <w:r>
                <w:rPr>
                  <w:rFonts w:ascii="Times New Roman" w:cs="Times New Roman" w:eastAsia="Times New Roman" w:hAnsi="Times New Roman"/>
                  <w:sz w:val="18"/>
                  <w:szCs w:val="18"/>
                  <w:color w:val="0000EE"/>
                  <w:w w:val="97"/>
                </w:rPr>
                <w:t>Legal Matters</w:t>
              </w:r>
            </w:hyperlink>
          </w:p>
        </w:tc>
        <w:tc>
          <w:tcPr>
            <w:tcW w:w="408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900" w:type="dxa"/>
            <w:vAlign w:val="bottom"/>
            <w:gridSpan w:val="8"/>
          </w:tcPr>
          <w:p>
            <w:pPr>
              <w:spacing w:after="0" w:line="196" w:lineRule="exact"/>
              <w:rPr>
                <w:rFonts w:ascii="Times New Roman" w:cs="Times New Roman" w:eastAsia="Times New Roman" w:hAnsi="Times New Roman"/>
                <w:sz w:val="18"/>
                <w:szCs w:val="18"/>
                <w:color w:val="0000EE"/>
                <w:w w:val="98"/>
              </w:rPr>
            </w:pPr>
            <w:hyperlink w:anchor="page84">
              <w:r>
                <w:rPr>
                  <w:rFonts w:ascii="Times New Roman" w:cs="Times New Roman" w:eastAsia="Times New Roman" w:hAnsi="Times New Roman"/>
                  <w:sz w:val="18"/>
                  <w:szCs w:val="18"/>
                  <w:color w:val="0000EE"/>
                  <w:w w:val="98"/>
                </w:rPr>
                <w:t>Letter from the Cofounder</w:t>
              </w:r>
            </w:hyperlink>
          </w:p>
        </w:tc>
        <w:tc>
          <w:tcPr>
            <w:tcW w:w="7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86">
              <w:r>
                <w:rPr>
                  <w:rFonts w:ascii="Times New Roman" w:cs="Times New Roman" w:eastAsia="Times New Roman" w:hAnsi="Times New Roman"/>
                  <w:sz w:val="18"/>
                  <w:szCs w:val="18"/>
                  <w:color w:val="0000EE"/>
                  <w:w w:val="96"/>
                </w:rPr>
                <w:t>Business</w:t>
              </w:r>
            </w:hyperlink>
          </w:p>
        </w:tc>
        <w:tc>
          <w:tcPr>
            <w:tcW w:w="1260" w:type="dxa"/>
            <w:vAlign w:val="bottom"/>
            <w:gridSpan w:val="5"/>
          </w:tcPr>
          <w:p>
            <w:pPr>
              <w:spacing w:after="0"/>
              <w:rPr>
                <w:sz w:val="17"/>
                <w:szCs w:val="17"/>
                <w:color w:val="auto"/>
              </w:rPr>
            </w:pPr>
          </w:p>
        </w:tc>
        <w:tc>
          <w:tcPr>
            <w:tcW w:w="70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2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142">
              <w:r>
                <w:rPr>
                  <w:rFonts w:ascii="Times New Roman" w:cs="Times New Roman" w:eastAsia="Times New Roman" w:hAnsi="Times New Roman"/>
                  <w:sz w:val="18"/>
                  <w:szCs w:val="18"/>
                  <w:color w:val="0000EE"/>
                  <w:w w:val="98"/>
                </w:rPr>
                <w:t>Where You Can Find More Information</w:t>
              </w:r>
            </w:hyperlink>
          </w:p>
        </w:tc>
        <w:tc>
          <w:tcPr>
            <w:tcW w:w="22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5"/>
          </w:tcPr>
          <w:p>
            <w:pPr>
              <w:spacing w:after="0" w:line="196" w:lineRule="exact"/>
              <w:rPr>
                <w:rFonts w:ascii="Times New Roman" w:cs="Times New Roman" w:eastAsia="Times New Roman" w:hAnsi="Times New Roman"/>
                <w:sz w:val="18"/>
                <w:szCs w:val="18"/>
                <w:color w:val="0000EE"/>
              </w:rPr>
            </w:pPr>
            <w:hyperlink w:anchor="page143">
              <w:r>
                <w:rPr>
                  <w:rFonts w:ascii="Times New Roman" w:cs="Times New Roman" w:eastAsia="Times New Roman" w:hAnsi="Times New Roman"/>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520"/>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242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Through and including</w:t>
            </w:r>
          </w:p>
        </w:tc>
        <w:tc>
          <w:tcPr>
            <w:tcW w:w="8640" w:type="dxa"/>
            <w:vAlign w:val="bottom"/>
            <w:gridSpan w:val="2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(the 25th day after the date of this prospectus), all dealers effecting transactions in these securities, whether</w:t>
            </w:r>
          </w:p>
        </w:tc>
        <w:tc>
          <w:tcPr>
            <w:tcW w:w="0" w:type="dxa"/>
            <w:vAlign w:val="bottom"/>
          </w:tcPr>
          <w:p>
            <w:pPr>
              <w:spacing w:after="0"/>
              <w:rPr>
                <w:sz w:val="1"/>
                <w:szCs w:val="1"/>
                <w:color w:val="auto"/>
              </w:rPr>
            </w:pPr>
          </w:p>
        </w:tc>
      </w:tr>
    </w:tbl>
    <w:p>
      <w:pPr>
        <w:ind w:right="60"/>
        <w:spacing w:after="0" w:line="261" w:lineRule="auto"/>
        <w:rPr>
          <w:sz w:val="20"/>
          <w:szCs w:val="20"/>
          <w:color w:val="auto"/>
        </w:rPr>
      </w:pPr>
      <w:r>
        <w:rPr>
          <w:rFonts w:ascii="Times New Roman" w:cs="Times New Roman" w:eastAsia="Times New Roman" w:hAnsi="Times New Roman"/>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this prospectus or in any free writing prospectuses we have prepared or have been prepared on our behalf or to which we have referred you. We and the underwriters take no responsibility for, and can provide no assurance as to the reliability of, any other information that others may give you. We are offering to sell, and seeking offers to buy, shares of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40" w:top="455" w:right="2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market data and other statistical information used throughout this prospectus are based on independent industry publications, reports by market research firms or other published independent sources. Some market data and statistical information are also based on our good faith estimates, which are derived from management’s knowledge of our industry and such independent sources referred to above. Certain market, ranking and industry data included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References herein to our being a leader in a market or service offering refer to our belief that we have a leading market share position in each specified market, unless the context otherwise requires. In addition, the discussion herein regarding our various markets is based on how we define the markets for our services, which services may be either part of larger overall markets or markets that include other types of services.</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believe the industry, market and competitive position data included in this prospectus is reliable and is based on reasonable assumptions, such data involves risks and uncertainties and are subject to change based on various factors, including those discussed in “Risk Factors.” These and other factors could cause results to differ materially from those expressed in the estimates made by the independent parties and by us. Information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data is derived.</w:t>
      </w:r>
    </w:p>
    <w:p>
      <w:pPr>
        <w:spacing w:after="0" w:line="18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76"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Certain information in this prospectus is contained in independent industry publications. The source of these independent industry publications is provided below:</w:t>
      </w:r>
    </w:p>
    <w:p>
      <w:pPr>
        <w:spacing w:after="0" w:line="65" w:lineRule="exact"/>
        <w:rPr>
          <w:sz w:val="20"/>
          <w:szCs w:val="20"/>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comScore, Inc., </w:t>
      </w:r>
      <w:r>
        <w:rPr>
          <w:rFonts w:ascii="Times New Roman" w:cs="Times New Roman" w:eastAsia="Times New Roman" w:hAnsi="Times New Roman"/>
          <w:sz w:val="18"/>
          <w:szCs w:val="18"/>
          <w:i w:val="1"/>
          <w:iCs w:val="1"/>
          <w:color w:val="auto"/>
        </w:rPr>
        <w:t>Looking Ahead to the Voice Era</w:t>
      </w:r>
      <w:r>
        <w:rPr>
          <w:rFonts w:ascii="Times New Roman" w:cs="Times New Roman" w:eastAsia="Times New Roman" w:hAnsi="Times New Roman"/>
          <w:sz w:val="18"/>
          <w:szCs w:val="18"/>
          <w:color w:val="auto"/>
        </w:rPr>
        <w:t>, July 2017.</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Gartner, Inc., </w:t>
      </w:r>
      <w:r>
        <w:rPr>
          <w:rFonts w:ascii="Times New Roman" w:cs="Times New Roman" w:eastAsia="Times New Roman" w:hAnsi="Times New Roman"/>
          <w:sz w:val="18"/>
          <w:szCs w:val="18"/>
          <w:i w:val="1"/>
          <w:iCs w:val="1"/>
          <w:color w:val="auto"/>
        </w:rPr>
        <w:t>Forecast Snapshot: VPA-Enabled Wireless Speakers, Worldwide, 2016-2021</w:t>
      </w:r>
      <w:r>
        <w:rPr>
          <w:rFonts w:ascii="Times New Roman" w:cs="Times New Roman" w:eastAsia="Times New Roman" w:hAnsi="Times New Roman"/>
          <w:sz w:val="18"/>
          <w:szCs w:val="18"/>
          <w:color w:val="auto"/>
        </w:rPr>
        <w:t>, Werner Goertz and Ranjit Atwal, August 2017.</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International Data Corporation, </w:t>
      </w:r>
      <w:r>
        <w:rPr>
          <w:rFonts w:ascii="Times New Roman" w:cs="Times New Roman" w:eastAsia="Times New Roman" w:hAnsi="Times New Roman"/>
          <w:sz w:val="18"/>
          <w:szCs w:val="18"/>
          <w:i w:val="1"/>
          <w:iCs w:val="1"/>
          <w:color w:val="auto"/>
        </w:rPr>
        <w:t>Worldwide Telecommunications Spending</w:t>
      </w:r>
      <w:r>
        <w:rPr>
          <w:rFonts w:ascii="Times New Roman" w:cs="Times New Roman" w:eastAsia="Times New Roman" w:hAnsi="Times New Roman"/>
          <w:sz w:val="18"/>
          <w:szCs w:val="18"/>
          <w:color w:val="auto"/>
        </w:rPr>
        <w:t>, August 2017.</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International Data Corporation, </w:t>
      </w:r>
      <w:r>
        <w:rPr>
          <w:rFonts w:ascii="Times New Roman" w:cs="Times New Roman" w:eastAsia="Times New Roman" w:hAnsi="Times New Roman"/>
          <w:sz w:val="17"/>
          <w:szCs w:val="17"/>
          <w:i w:val="1"/>
          <w:iCs w:val="1"/>
          <w:color w:val="auto"/>
        </w:rPr>
        <w:t>Worldwide Voice and Text Messaging Communications Platform-as-a-Service Forecast, 2017-2021</w:t>
      </w:r>
      <w:r>
        <w:rPr>
          <w:rFonts w:ascii="Times New Roman" w:cs="Times New Roman" w:eastAsia="Times New Roman" w:hAnsi="Times New Roman"/>
          <w:sz w:val="17"/>
          <w:szCs w:val="17"/>
          <w:color w:val="auto"/>
        </w:rPr>
        <w:t>, March 2017.</w:t>
      </w:r>
    </w:p>
    <w:p>
      <w:pPr>
        <w:spacing w:after="0" w:line="142"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Ovum, </w:t>
      </w:r>
      <w:r>
        <w:rPr>
          <w:rFonts w:ascii="Times New Roman" w:cs="Times New Roman" w:eastAsia="Times New Roman" w:hAnsi="Times New Roman"/>
          <w:sz w:val="18"/>
          <w:szCs w:val="18"/>
          <w:i w:val="1"/>
          <w:iCs w:val="1"/>
          <w:color w:val="auto"/>
        </w:rPr>
        <w:t>Mobile Messaging Traffic and Revenue Forecast: 2016-21</w:t>
      </w:r>
      <w:r>
        <w:rPr>
          <w:rFonts w:ascii="Times New Roman" w:cs="Times New Roman" w:eastAsia="Times New Roman" w:hAnsi="Times New Roman"/>
          <w:sz w:val="18"/>
          <w:szCs w:val="18"/>
          <w:color w:val="auto"/>
        </w:rPr>
        <w:t>, November 2016.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Ovum, </w:t>
      </w:r>
      <w:r>
        <w:rPr>
          <w:rFonts w:ascii="Times New Roman" w:cs="Times New Roman" w:eastAsia="Times New Roman" w:hAnsi="Times New Roman"/>
          <w:sz w:val="18"/>
          <w:szCs w:val="18"/>
          <w:i w:val="1"/>
          <w:iCs w:val="1"/>
          <w:color w:val="auto"/>
        </w:rPr>
        <w:t>OTT VoIP Forecast: 2016-21</w:t>
      </w:r>
      <w:r>
        <w:rPr>
          <w:rFonts w:ascii="Times New Roman" w:cs="Times New Roman" w:eastAsia="Times New Roman" w:hAnsi="Times New Roman"/>
          <w:sz w:val="18"/>
          <w:szCs w:val="18"/>
          <w:color w:val="auto"/>
        </w:rPr>
        <w:t>, January 2017.</w:t>
      </w:r>
    </w:p>
    <w:p>
      <w:pPr>
        <w:spacing w:after="0" w:line="227"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Gartner Report described herein, (the “Gartner Report”) represents research opinions or viewpoints published, as part of a syndicated subscription service, by Gartner, Inc. (“Gartner”), and are not representations of fact. The Gartner Report speaks as of its original publication date (and not as of the date of this prospectus) and the opinions expressed in the Gartner Report are subject to change without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“Bandwidth” and our other registered or common law trade names, trademarks or service marks appearing in this prospectus are our property. We own or otherwise have rights to the trademarks, service marks, copyrights and trade names, including those mentioned in this prospectus, used in conjunction with the marketing and sale of our services. This prospectus includes trademarks, which are protected under applicable intellectual property laws and are our property and the property of our subsidiaries. This prospectus also contains trademarks, service marks, copyrights and trade names of other companies, which are the property of their respective owners. Unless the context otherwise indicates, we do not intend our use or display of other companies’ trademarks, service marks, copyrights or trade names to imply a relationship with, or endorsement or sponsorship of us by, any other companies. Solely for convenience, our trademarks, service marks, trade names and copyrights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service marks, trade names and copyrights.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60"/>
          </w:cols>
          <w:pgMar w:left="240" w:top="455" w:right="2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221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may not contain all of the information that may be important to you. You should read the entire prospectus carefully together with our consolidated financial statements and the related notes appearing elsewhere in this prospectus before you decide to invest in our Class A common stock. This prospectus contains forward-looking statements, which involve risks and uncertainties. Our actual results could differ materially from those anticipated in such forward-looking statements as a result of certain factors, including those discussed in the “Risk Factors” and other sections of this prospectus. Unless the context otherwise requires, the terms “Bandwidth,” “the company,” “we,” “us” and “our” in this prospectus refer to Bandwidth.com, Inc. and its consolidated subsidiaries.</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200" w:right="20" w:firstLine="441"/>
        <w:spacing w:after="0" w:line="254" w:lineRule="auto"/>
        <w:rPr>
          <w:sz w:val="20"/>
          <w:szCs w:val="20"/>
          <w:color w:val="auto"/>
        </w:rPr>
      </w:pPr>
      <w:r>
        <w:rPr>
          <w:rFonts w:ascii="Times New Roman" w:cs="Times New Roman" w:eastAsia="Times New Roman" w:hAnsi="Times New Roman"/>
          <w:sz w:val="18"/>
          <w:szCs w:val="18"/>
          <w:color w:val="auto"/>
        </w:rPr>
        <w:t>We are the leading cloud-based communications platform for enterprises.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89" w:lineRule="exact"/>
        <w:rPr>
          <w:sz w:val="20"/>
          <w:szCs w:val="20"/>
          <w:color w:val="auto"/>
        </w:rPr>
      </w:pPr>
    </w:p>
    <w:p>
      <w:pPr>
        <w:ind w:left="200" w:right="60" w:firstLine="441"/>
        <w:spacing w:after="0" w:line="255" w:lineRule="auto"/>
        <w:rPr>
          <w:sz w:val="20"/>
          <w:szCs w:val="20"/>
          <w:color w:val="auto"/>
        </w:rPr>
      </w:pPr>
      <w:r>
        <w:rPr>
          <w:rFonts w:ascii="Times New Roman" w:cs="Times New Roman" w:eastAsia="Times New Roman" w:hAnsi="Times New Roman"/>
          <w:sz w:val="18"/>
          <w:szCs w:val="18"/>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85"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24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084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40" w:firstLine="441"/>
        <w:spacing w:after="0" w:line="258" w:lineRule="auto"/>
        <w:rPr>
          <w:sz w:val="20"/>
          <w:szCs w:val="20"/>
          <w:color w:val="auto"/>
        </w:rPr>
      </w:pPr>
      <w:r>
        <w:rPr>
          <w:rFonts w:ascii="Times New Roman" w:cs="Times New Roman" w:eastAsia="Times New Roman" w:hAnsi="Times New Roman"/>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4"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Our customers include large enterprises, as well as small and medium-sized businesses,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w:t>
      </w:r>
    </w:p>
    <w:p>
      <w:pPr>
        <w:spacing w:after="0" w:line="180"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117%, 113% and 107% for the year ended December 31, 2015 and 2016 and the six months ended June 30, 2017, respectively.</w:t>
      </w:r>
    </w:p>
    <w:p>
      <w:pPr>
        <w:spacing w:after="0" w:line="180" w:lineRule="exact"/>
        <w:rPr>
          <w:sz w:val="20"/>
          <w:szCs w:val="20"/>
          <w:color w:val="auto"/>
        </w:rPr>
      </w:pPr>
    </w:p>
    <w:p>
      <w:pPr>
        <w:jc w:val="both"/>
        <w:ind w:left="200" w:right="180" w:firstLine="441"/>
        <w:spacing w:after="0" w:line="266" w:lineRule="auto"/>
        <w:rPr>
          <w:sz w:val="20"/>
          <w:szCs w:val="20"/>
          <w:color w:val="auto"/>
        </w:rPr>
      </w:pPr>
      <w:r>
        <w:rPr>
          <w:rFonts w:ascii="Times New Roman" w:cs="Times New Roman" w:eastAsia="Times New Roman" w:hAnsi="Times New Roman"/>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are the Heartbeat of How Enterprises Operate, Drive Growth and Innovate</w:t>
      </w:r>
    </w:p>
    <w:p>
      <w:pPr>
        <w:spacing w:after="0" w:line="121"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w:t>
      </w:r>
    </w:p>
    <w:p>
      <w:pPr>
        <w:spacing w:after="0" w:line="180"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Additionally, voice-first user interfaces built on artificial intelligence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virtual personal assistants (“VPAs”), virtual customer assistants and other AI-enabled smartphones and connected devices on a regular basis. By 2020, more than 50% of cloud interactions in homes with VPA speakers will be conversational.</w:t>
      </w:r>
    </w:p>
    <w:p>
      <w:pPr>
        <w:spacing w:after="0" w:line="2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Enterprises Today Operate in Real-Time with Distributed Architectures</w:t>
      </w:r>
    </w:p>
    <w:p>
      <w:pPr>
        <w:spacing w:after="0" w:line="121"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033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66" w:lineRule="auto"/>
        <w:rPr>
          <w:sz w:val="20"/>
          <w:szCs w:val="20"/>
          <w:color w:val="auto"/>
        </w:rPr>
      </w:pPr>
      <w:r>
        <w:rPr>
          <w:rFonts w:ascii="Times New Roman" w:cs="Times New Roman" w:eastAsia="Times New Roman" w:hAnsi="Times New Roman"/>
          <w:sz w:val="18"/>
          <w:szCs w:val="18"/>
          <w:color w:val="auto"/>
        </w:rPr>
        <w:t>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Solutions are Still a Challenge for Enterprises</w:t>
      </w:r>
    </w:p>
    <w:p>
      <w:pPr>
        <w:spacing w:after="0" w:line="121"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80" w:lineRule="exact"/>
        <w:rPr>
          <w:sz w:val="20"/>
          <w:szCs w:val="20"/>
          <w:color w:val="auto"/>
        </w:rPr>
      </w:pPr>
    </w:p>
    <w:p>
      <w:pPr>
        <w:jc w:val="both"/>
        <w:ind w:left="200" w:right="160" w:firstLine="441"/>
        <w:spacing w:after="0" w:line="266" w:lineRule="auto"/>
        <w:rPr>
          <w:sz w:val="20"/>
          <w:szCs w:val="20"/>
          <w:color w:val="auto"/>
        </w:rPr>
      </w:pPr>
      <w:r>
        <w:rPr>
          <w:rFonts w:ascii="Times New Roman" w:cs="Times New Roman" w:eastAsia="Times New Roman" w:hAnsi="Times New Roman"/>
          <w:sz w:val="18"/>
          <w:szCs w:val="18"/>
          <w:color w:val="auto"/>
        </w:rPr>
        <w:t>Enterprises seeking to embed end-to-end communications solutions can turn to other software-powered communications providers or traditional large-scale network providers. Neither fully addresses the complex needs of the enterprise. Enterprises require the versatility of a cloud-based software platform coupled with the reliability of a network provider to address their end-to-end communications requirements.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ind w:left="200" w:right="420" w:firstLine="441"/>
        <w:spacing w:after="0" w:line="261" w:lineRule="auto"/>
        <w:rPr>
          <w:sz w:val="20"/>
          <w:szCs w:val="20"/>
          <w:color w:val="auto"/>
        </w:rPr>
      </w:pPr>
      <w:r>
        <w:rPr>
          <w:rFonts w:ascii="Times New Roman" w:cs="Times New Roman" w:eastAsia="Times New Roman" w:hAnsi="Times New Roman"/>
          <w:sz w:val="18"/>
          <w:szCs w:val="18"/>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CPaaS market is large and rapidly growing. According to International Data Corporation (“IDC”), the global CPaaS market will be</w:t>
      </w:r>
    </w:p>
    <w:p>
      <w:pPr>
        <w:spacing w:after="0" w:line="27"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18"/>
          <w:szCs w:val="18"/>
          <w:color w:val="auto"/>
        </w:rPr>
        <w:t>$8.2 billion in 2021. We focus on the CPaaS market in the United States, which comprises the majority of the market opportunity in the near term. Ovum estimates that there will be 348 billion minutes of over-the-top Voice-over Internet Protocol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90"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65" w:lineRule="exact"/>
        <w:rPr>
          <w:sz w:val="20"/>
          <w:szCs w:val="20"/>
          <w:color w:val="auto"/>
        </w:rPr>
      </w:pPr>
    </w:p>
    <w:p>
      <w:pPr>
        <w:ind w:left="1060" w:right="80" w:hanging="431"/>
        <w:spacing w:after="0" w:line="267"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Rise of Voice as an Interface. </w:t>
      </w:r>
      <w:r>
        <w:rPr>
          <w:rFonts w:ascii="Times New Roman" w:cs="Times New Roman" w:eastAsia="Times New Roman" w:hAnsi="Times New Roman"/>
          <w:sz w:val="18"/>
          <w:szCs w:val="18"/>
          <w:color w:val="auto"/>
        </w:rPr>
        <w:t>We believe that the shift from a text-driven interface to an increasingly voice-driven interface will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our total addressable market. VPAs such as Amazon’s Alexa, Google’s Assistant, Microsoft’s Cortana, Apple’s Siri, and Facebook’s M are examples of the first widely adopted user interface since the keyboard, mouse and touchscreen.</w:t>
      </w:r>
    </w:p>
    <w:p>
      <w:pPr>
        <w:spacing w:after="0" w:line="78" w:lineRule="exact"/>
        <w:rPr>
          <w:rFonts w:ascii="Times New Roman" w:cs="Times New Roman" w:eastAsia="Times New Roman" w:hAnsi="Times New Roman"/>
          <w:sz w:val="18"/>
          <w:szCs w:val="18"/>
          <w:color w:val="auto"/>
        </w:rPr>
      </w:pPr>
    </w:p>
    <w:p>
      <w:pPr>
        <w:ind w:left="1060" w:right="60" w:hanging="431"/>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Integration of Voice Within Applications. </w:t>
      </w:r>
      <w:r>
        <w:rPr>
          <w:rFonts w:ascii="Times New Roman" w:cs="Times New Roman" w:eastAsia="Times New Roman" w:hAnsi="Times New Roman"/>
          <w:sz w:val="18"/>
          <w:szCs w:val="18"/>
          <w:color w:val="auto"/>
        </w:rPr>
        <w:t>Over the last decade, voice calling has migrated away from single-purpose devices such as a desk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phone 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930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ind w:left="200" w:right="100" w:firstLine="441"/>
        <w:spacing w:after="0" w:line="277" w:lineRule="auto"/>
        <w:rPr>
          <w:sz w:val="20"/>
          <w:szCs w:val="20"/>
          <w:color w:val="auto"/>
        </w:rPr>
      </w:pPr>
      <w:r>
        <w:rPr>
          <w:rFonts w:ascii="Times New Roman" w:cs="Times New Roman" w:eastAsia="Times New Roman" w:hAnsi="Times New Roman"/>
          <w:sz w:val="17"/>
          <w:szCs w:val="17"/>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cloud-based platform is a proprietary CPaaS offering consisting of voice and messaging solutions:</w:t>
      </w:r>
    </w:p>
    <w:p>
      <w:pPr>
        <w:spacing w:after="0" w:line="129" w:lineRule="exact"/>
        <w:rPr>
          <w:sz w:val="20"/>
          <w:szCs w:val="20"/>
          <w:color w:val="auto"/>
        </w:rPr>
      </w:pPr>
    </w:p>
    <w:p>
      <w:pPr>
        <w:ind w:left="1060" w:hanging="431"/>
        <w:spacing w:after="0" w:line="261"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Voice Software API. </w:t>
      </w:r>
      <w:r>
        <w:rPr>
          <w:rFonts w:ascii="Times New Roman" w:cs="Times New Roman" w:eastAsia="Times New Roman" w:hAnsi="Times New Roman"/>
          <w:sz w:val="18"/>
          <w:szCs w:val="18"/>
          <w:color w:val="auto"/>
        </w:rPr>
        <w:t>We provide flexible software APIs that are used to build voice calling within applications, innovative call flows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users or 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w:t>
      </w:r>
    </w:p>
    <w:p>
      <w:pPr>
        <w:spacing w:after="0" w:line="85" w:lineRule="exact"/>
        <w:rPr>
          <w:rFonts w:ascii="Times New Roman" w:cs="Times New Roman" w:eastAsia="Times New Roman" w:hAnsi="Times New Roman"/>
          <w:sz w:val="18"/>
          <w:szCs w:val="18"/>
          <w:color w:val="auto"/>
        </w:rPr>
      </w:pPr>
    </w:p>
    <w:p>
      <w:pPr>
        <w:ind w:left="1060" w:right="300" w:hanging="431"/>
        <w:spacing w:after="0" w:line="284"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Messaging API. </w:t>
      </w:r>
      <w:r>
        <w:rPr>
          <w:rFonts w:ascii="Times New Roman" w:cs="Times New Roman" w:eastAsia="Times New Roman" w:hAnsi="Times New Roman"/>
          <w:sz w:val="18"/>
          <w:szCs w:val="18"/>
          <w:color w:val="auto"/>
        </w:rPr>
        <w:t>Our software APIs for messaging deliver a complete wireless experience, including: delivery receipts, SMS, MMS,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support, emoji support and bi-directional unicode (international characters) and short codes interoperability.</w:t>
      </w:r>
    </w:p>
    <w:p>
      <w:pPr>
        <w:spacing w:after="0" w:line="63" w:lineRule="exact"/>
        <w:rPr>
          <w:rFonts w:ascii="Times New Roman" w:cs="Times New Roman" w:eastAsia="Times New Roman" w:hAnsi="Times New Roman"/>
          <w:sz w:val="18"/>
          <w:szCs w:val="18"/>
          <w:color w:val="auto"/>
        </w:rPr>
      </w:pPr>
    </w:p>
    <w:p>
      <w:pPr>
        <w:ind w:left="1060" w:right="60" w:hanging="431"/>
        <w:spacing w:after="0" w:line="282" w:lineRule="auto"/>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911 Software API. </w:t>
      </w:r>
      <w:r>
        <w:rPr>
          <w:rFonts w:ascii="Times New Roman" w:cs="Times New Roman" w:eastAsia="Times New Roman" w:hAnsi="Times New Roman"/>
          <w:sz w:val="17"/>
          <w:szCs w:val="17"/>
          <w:color w:val="auto"/>
        </w:rPr>
        <w:t>We are the only software platform that provides complete communications solutions with integrated 911 services. We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3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84" w:lineRule="exact"/>
        <w:rPr>
          <w:sz w:val="20"/>
          <w:szCs w:val="20"/>
          <w:color w:val="auto"/>
        </w:rPr>
      </w:pPr>
    </w:p>
    <w:p>
      <w:pPr>
        <w:ind w:left="1060" w:right="160" w:hanging="431"/>
        <w:spacing w:after="0" w:line="259"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Highly Scalable Platform Built for the Enterprise</w:t>
      </w:r>
      <w:r>
        <w:rPr>
          <w:rFonts w:ascii="Times New Roman" w:cs="Times New Roman" w:eastAsia="Times New Roman" w:hAnsi="Times New Roman"/>
          <w:sz w:val="18"/>
          <w:szCs w:val="18"/>
          <w:color w:val="auto"/>
        </w:rPr>
        <w:t>. We built our Bandwidth Communications Platform from the ground up as an 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85" w:lineRule="exact"/>
        <w:rPr>
          <w:rFonts w:ascii="Times New Roman" w:cs="Times New Roman" w:eastAsia="Times New Roman" w:hAnsi="Times New Roman"/>
          <w:sz w:val="18"/>
          <w:szCs w:val="18"/>
          <w:color w:val="auto"/>
        </w:rPr>
      </w:pPr>
    </w:p>
    <w:p>
      <w:pPr>
        <w:ind w:left="1060" w:right="160" w:hanging="431"/>
        <w:spacing w:after="0" w:line="267"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Broadest, Most Complete Solutions in the Industry. </w:t>
      </w:r>
      <w:r>
        <w:rPr>
          <w:rFonts w:ascii="Times New Roman" w:cs="Times New Roman" w:eastAsia="Times New Roman" w:hAnsi="Times New Roman"/>
          <w:sz w:val="18"/>
          <w:szCs w:val="18"/>
          <w:color w:val="auto"/>
        </w:rPr>
        <w:t>We provide enterprises the broadest, most complete communications services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industry through our integrated software and IP voice network. Our large library of voice and text APIs enables our customers to incorporate into their products and services a broad range of capabilities not otherwise attainable.</w:t>
      </w:r>
    </w:p>
    <w:p>
      <w:pPr>
        <w:spacing w:after="0" w:line="78" w:lineRule="exact"/>
        <w:rPr>
          <w:rFonts w:ascii="Times New Roman" w:cs="Times New Roman" w:eastAsia="Times New Roman" w:hAnsi="Times New Roman"/>
          <w:sz w:val="18"/>
          <w:szCs w:val="18"/>
          <w:color w:val="auto"/>
        </w:rPr>
      </w:pPr>
    </w:p>
    <w:p>
      <w:pPr>
        <w:ind w:left="1060" w:right="380" w:hanging="431"/>
        <w:spacing w:after="0" w:line="284"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Purpose-Built IP Voice Network. </w:t>
      </w:r>
      <w:r>
        <w:rPr>
          <w:rFonts w:ascii="Times New Roman" w:cs="Times New Roman" w:eastAsia="Times New Roman" w:hAnsi="Times New Roman"/>
          <w:sz w:val="18"/>
          <w:szCs w:val="18"/>
          <w:color w:val="auto"/>
        </w:rPr>
        <w:t>Our Bandwidth Communications Platform’s IP voice network, which we own and operate nationwide,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supports our ability to scale at a reliable and consistent quality for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221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221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40"/>
        <w:spacing w:after="0" w:line="258" w:lineRule="auto"/>
        <w:rPr>
          <w:sz w:val="20"/>
          <w:szCs w:val="20"/>
          <w:color w:val="auto"/>
        </w:rPr>
      </w:pPr>
      <w:r>
        <w:rPr>
          <w:rFonts w:ascii="Times New Roman" w:cs="Times New Roman" w:eastAsia="Times New Roman" w:hAnsi="Times New Roman"/>
          <w:sz w:val="18"/>
          <w:szCs w:val="18"/>
          <w:color w:val="auto"/>
        </w:rPr>
        <w:t>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87" w:lineRule="exact"/>
        <w:rPr>
          <w:sz w:val="20"/>
          <w:szCs w:val="20"/>
          <w:color w:val="auto"/>
        </w:rPr>
      </w:pPr>
    </w:p>
    <w:p>
      <w:pPr>
        <w:ind w:left="1060" w:right="20" w:hanging="431"/>
        <w:spacing w:after="0" w:line="259"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Deep Experience and Expertise in Voice and Messaging. </w:t>
      </w:r>
      <w:r>
        <w:rPr>
          <w:rFonts w:ascii="Times New Roman" w:cs="Times New Roman" w:eastAsia="Times New Roman" w:hAnsi="Times New Roman"/>
          <w:sz w:val="18"/>
          <w:szCs w:val="18"/>
          <w:color w:val="auto"/>
        </w:rPr>
        <w:t>The combination of our versatile software API platform and our IP voice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85" w:lineRule="exact"/>
        <w:rPr>
          <w:rFonts w:ascii="Times New Roman" w:cs="Times New Roman" w:eastAsia="Times New Roman" w:hAnsi="Times New Roman"/>
          <w:sz w:val="18"/>
          <w:szCs w:val="18"/>
          <w:color w:val="auto"/>
        </w:rPr>
      </w:pPr>
    </w:p>
    <w:p>
      <w:pPr>
        <w:ind w:left="1060" w:hanging="431"/>
        <w:spacing w:after="0" w:line="25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Growing, Long-Term Relationships with Low Customer Churn. </w:t>
      </w:r>
      <w:r>
        <w:rPr>
          <w:rFonts w:ascii="Times New Roman" w:cs="Times New Roman" w:eastAsia="Times New Roman" w:hAnsi="Times New Roman"/>
          <w:sz w:val="18"/>
          <w:szCs w:val="18"/>
          <w:color w:val="auto"/>
        </w:rPr>
        <w:t>We deliver comprehensive solutions that address the unique and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88" w:lineRule="exact"/>
        <w:rPr>
          <w:rFonts w:ascii="Times New Roman" w:cs="Times New Roman" w:eastAsia="Times New Roman" w:hAnsi="Times New Roman"/>
          <w:sz w:val="18"/>
          <w:szCs w:val="18"/>
          <w:color w:val="auto"/>
        </w:rPr>
      </w:pPr>
    </w:p>
    <w:p>
      <w:pPr>
        <w:ind w:left="1060" w:right="40" w:hanging="431"/>
        <w:spacing w:after="0" w:line="261"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CPaaS-Based 911 Network Capabilities. </w:t>
      </w:r>
      <w:r>
        <w:rPr>
          <w:rFonts w:ascii="Times New Roman" w:cs="Times New Roman" w:eastAsia="Times New Roman" w:hAnsi="Times New Roman"/>
          <w:sz w:val="18"/>
          <w:szCs w:val="18"/>
          <w:color w:val="auto"/>
        </w:rPr>
        <w:t>We believe we are the only CPaaS software provider with 911 capabilities. We believe our 911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54" w:lineRule="exact"/>
        <w:rPr>
          <w:sz w:val="20"/>
          <w:szCs w:val="20"/>
          <w:color w:val="auto"/>
        </w:rPr>
      </w:pPr>
    </w:p>
    <w:p>
      <w:pPr>
        <w:ind w:left="1060" w:right="520" w:hanging="431"/>
        <w:spacing w:after="0" w:line="267"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Our Enterprise Customer Base. </w:t>
      </w:r>
      <w:r>
        <w:rPr>
          <w:rFonts w:ascii="Times New Roman" w:cs="Times New Roman" w:eastAsia="Times New Roman" w:hAnsi="Times New Roman"/>
          <w:sz w:val="18"/>
          <w:szCs w:val="18"/>
          <w:color w:val="auto"/>
        </w:rPr>
        <w:t>Building on our strong sales and marketing efficiency foundation of 181% in 2016, we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grow and invest in our direct sales force and marketing to increase our enterprise customer base. We believe that there is a substantial opportunity to increase our enterprise customer base across a broad range of industries and companies.</w:t>
      </w:r>
    </w:p>
    <w:p>
      <w:pPr>
        <w:spacing w:after="0" w:line="78" w:lineRule="exact"/>
        <w:rPr>
          <w:rFonts w:ascii="Times New Roman" w:cs="Times New Roman" w:eastAsia="Times New Roman" w:hAnsi="Times New Roman"/>
          <w:sz w:val="18"/>
          <w:szCs w:val="18"/>
          <w:color w:val="auto"/>
        </w:rPr>
      </w:pPr>
    </w:p>
    <w:p>
      <w:pPr>
        <w:ind w:left="1060" w:hanging="431"/>
        <w:spacing w:after="0" w:line="267"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Existing Enterprise Relationships. </w:t>
      </w:r>
      <w:r>
        <w:rPr>
          <w:rFonts w:ascii="Times New Roman" w:cs="Times New Roman" w:eastAsia="Times New Roman" w:hAnsi="Times New Roman"/>
          <w:sz w:val="18"/>
          <w:szCs w:val="18"/>
          <w:color w:val="auto"/>
        </w:rPr>
        <w:t>We will continue to expand our relationships with our existing enterprise customers.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8" w:lineRule="exact"/>
        <w:rPr>
          <w:rFonts w:ascii="Times New Roman" w:cs="Times New Roman" w:eastAsia="Times New Roman" w:hAnsi="Times New Roman"/>
          <w:sz w:val="18"/>
          <w:szCs w:val="18"/>
          <w:color w:val="auto"/>
        </w:rPr>
      </w:pPr>
    </w:p>
    <w:p>
      <w:pPr>
        <w:ind w:left="1060" w:right="200" w:hanging="431"/>
        <w:spacing w:after="0" w:line="257"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Innovate Our Platform. </w:t>
      </w:r>
      <w:r>
        <w:rPr>
          <w:rFonts w:ascii="Times New Roman" w:cs="Times New Roman" w:eastAsia="Times New Roman" w:hAnsi="Times New Roman"/>
          <w:sz w:val="18"/>
          <w:szCs w:val="18"/>
          <w:color w:val="auto"/>
        </w:rPr>
        <w:t>We are committed to building on our track record of leveraging our innovative product capabilities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88" w:lineRule="exact"/>
        <w:rPr>
          <w:rFonts w:ascii="Times New Roman" w:cs="Times New Roman" w:eastAsia="Times New Roman" w:hAnsi="Times New Roman"/>
          <w:sz w:val="18"/>
          <w:szCs w:val="18"/>
          <w:color w:val="auto"/>
        </w:rPr>
      </w:pPr>
    </w:p>
    <w:p>
      <w:pPr>
        <w:ind w:left="1060" w:right="100" w:hanging="431"/>
        <w:spacing w:after="0" w:line="284"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Our Focus on Enterprise Customer Satisfaction. </w:t>
      </w:r>
      <w:r>
        <w:rPr>
          <w:rFonts w:ascii="Times New Roman" w:cs="Times New Roman" w:eastAsia="Times New Roman" w:hAnsi="Times New Roman"/>
          <w:sz w:val="18"/>
          <w:szCs w:val="18"/>
          <w:color w:val="auto"/>
        </w:rPr>
        <w:t>We intend to continue focusing on delivering world-class services and support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enterprises we serve to ensure a high level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710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710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100"/>
        <w:spacing w:after="0" w:line="282" w:lineRule="auto"/>
        <w:rPr>
          <w:sz w:val="20"/>
          <w:szCs w:val="20"/>
          <w:color w:val="auto"/>
        </w:rPr>
      </w:pPr>
      <w:r>
        <w:rPr>
          <w:rFonts w:ascii="Times New Roman" w:cs="Times New Roman" w:eastAsia="Times New Roman" w:hAnsi="Times New Roman"/>
          <w:sz w:val="18"/>
          <w:szCs w:val="18"/>
          <w:color w:val="auto"/>
        </w:rPr>
        <w:t>satisfaction. We believe that satisfied customers provide vital product feedback, purchase additional services, renew contracts at a high rate and provide broad advocacy and new customer referrals for our business.</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200" w:right="40" w:firstLine="441"/>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Some of these risks are:</w:t>
      </w:r>
    </w:p>
    <w:p>
      <w:pPr>
        <w:spacing w:after="0" w:line="67" w:lineRule="exact"/>
        <w:rPr>
          <w:sz w:val="20"/>
          <w:szCs w:val="20"/>
          <w:color w:val="auto"/>
        </w:rPr>
      </w:pPr>
    </w:p>
    <w:p>
      <w:pPr>
        <w:ind w:left="1060" w:right="4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participate is highly competitive, and if we do not compete effectively, our business, results of operations and financial condition could be harmed.</w:t>
      </w:r>
    </w:p>
    <w:p>
      <w:pPr>
        <w:spacing w:after="0" w:line="67" w:lineRule="exact"/>
        <w:rPr>
          <w:rFonts w:ascii="Times New Roman" w:cs="Times New Roman" w:eastAsia="Times New Roman" w:hAnsi="Times New Roman"/>
          <w:sz w:val="18"/>
          <w:szCs w:val="18"/>
          <w:color w:val="auto"/>
        </w:rPr>
      </w:pPr>
    </w:p>
    <w:p>
      <w:pPr>
        <w:ind w:left="10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in a cost-effective manner then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060" w:right="1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some of our services and platform is new and unproven, may decline or experience limited growth and is dependent in part on developers continuing to adopt our platform and use our services.</w:t>
      </w:r>
    </w:p>
    <w:p>
      <w:pPr>
        <w:spacing w:after="0" w:line="67" w:lineRule="exact"/>
        <w:rPr>
          <w:rFonts w:ascii="Times New Roman" w:cs="Times New Roman" w:eastAsia="Times New Roman" w:hAnsi="Times New Roman"/>
          <w:sz w:val="18"/>
          <w:szCs w:val="18"/>
          <w:color w:val="auto"/>
        </w:rPr>
      </w:pPr>
    </w:p>
    <w:p>
      <w:pPr>
        <w:ind w:left="1060" w:right="4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ind w:left="1060" w:right="2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ind w:left="1060" w:right="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67" w:lineRule="exact"/>
        <w:rPr>
          <w:rFonts w:ascii="Times New Roman" w:cs="Times New Roman" w:eastAsia="Times New Roman" w:hAnsi="Times New Roman"/>
          <w:sz w:val="18"/>
          <w:szCs w:val="18"/>
          <w:color w:val="auto"/>
        </w:rPr>
      </w:pPr>
    </w:p>
    <w:p>
      <w:pPr>
        <w:ind w:left="1060" w:right="260" w:hanging="431"/>
        <w:spacing w:after="0" w:line="282"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industry faces significant regulatory uncertainties and the resolution of these uncertainties could harm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130" w:lineRule="exact"/>
        <w:rPr>
          <w:rFonts w:ascii="Times New Roman" w:cs="Times New Roman" w:eastAsia="Times New Roman" w:hAnsi="Times New Roman"/>
          <w:sz w:val="18"/>
          <w:szCs w:val="18"/>
          <w:color w:val="auto"/>
        </w:rPr>
      </w:pPr>
    </w:p>
    <w:p>
      <w:pPr>
        <w:ind w:left="1060" w:right="20" w:hanging="431"/>
        <w:spacing w:after="0" w:line="276"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w:t>
      </w:r>
    </w:p>
    <w:p>
      <w:pPr>
        <w:spacing w:after="0" w:line="1" w:lineRule="exact"/>
        <w:rPr>
          <w:sz w:val="20"/>
          <w:szCs w:val="20"/>
          <w:color w:val="auto"/>
        </w:rPr>
      </w:pPr>
    </w:p>
    <w:p>
      <w:pPr>
        <w:ind w:left="1060" w:right="60"/>
        <w:spacing w:after="0" w:line="255" w:lineRule="auto"/>
        <w:rPr>
          <w:sz w:val="20"/>
          <w:szCs w:val="20"/>
          <w:color w:val="auto"/>
        </w:rPr>
      </w:pPr>
      <w:r>
        <w:rPr>
          <w:rFonts w:ascii="Times New Roman" w:cs="Times New Roman" w:eastAsia="Times New Roman" w:hAnsi="Times New Roman"/>
          <w:sz w:val="18"/>
          <w:szCs w:val="18"/>
          <w:color w:val="auto"/>
        </w:rPr>
        <w:t>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200"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We are incorporated under the laws of the State of Delaware. Our principal executive offices are located at 900 Main Campus Drive, Suite 500, Raleigh, North Carolina 27606, and our telephone number is (800) 808-5150. Our website address is </w:t>
      </w:r>
      <w:r>
        <w:rPr>
          <w:rFonts w:ascii="Times New Roman" w:cs="Times New Roman" w:eastAsia="Times New Roman" w:hAnsi="Times New Roman"/>
          <w:sz w:val="18"/>
          <w:szCs w:val="18"/>
          <w:i w:val="1"/>
          <w:iCs w:val="1"/>
          <w:color w:val="auto"/>
        </w:rPr>
        <w:t>www.bandwidth.com.</w:t>
      </w:r>
      <w:r>
        <w:rPr>
          <w:rFonts w:ascii="Times New Roman" w:cs="Times New Roman" w:eastAsia="Times New Roman" w:hAnsi="Times New Roman"/>
          <w:sz w:val="18"/>
          <w:szCs w:val="18"/>
          <w:color w:val="auto"/>
        </w:rPr>
        <w:t xml:space="preserve"> Our website and the information contained on, or that can be accessed through, our website are not part of this prospectus.</w:t>
      </w:r>
    </w:p>
    <w:p>
      <w:pPr>
        <w:spacing w:after="0" w:line="3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200" w:right="420" w:firstLine="44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earlier of (1) December 31, 2022 (the last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129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129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81" w:lineRule="auto"/>
        <w:rPr>
          <w:sz w:val="20"/>
          <w:szCs w:val="20"/>
          <w:color w:val="auto"/>
        </w:rPr>
      </w:pPr>
      <w:r>
        <w:rPr>
          <w:rFonts w:ascii="Times New Roman" w:cs="Times New Roman" w:eastAsia="Times New Roman" w:hAnsi="Times New Roman"/>
          <w:sz w:val="17"/>
          <w:szCs w:val="17"/>
          <w:color w:val="auto"/>
        </w:rPr>
        <w:t>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Securities Exchange Act of 1934, as amended (the “Exchange Act”), and (4) the date on which we have issued more than $1.0 billion in non-convertible debt during the prior three-year period. Any reference herein to “emerging growth company” has the meaning ascribed to it in the JOBS Act.</w:t>
      </w:r>
    </w:p>
    <w:p>
      <w:pPr>
        <w:spacing w:after="0" w:line="165" w:lineRule="exact"/>
        <w:rPr>
          <w:sz w:val="20"/>
          <w:szCs w:val="20"/>
          <w:color w:val="auto"/>
        </w:rPr>
      </w:pPr>
    </w:p>
    <w:p>
      <w:pPr>
        <w:ind w:left="200" w:right="180" w:firstLine="441"/>
        <w:spacing w:after="0" w:line="282" w:lineRule="auto"/>
        <w:rPr>
          <w:sz w:val="20"/>
          <w:szCs w:val="20"/>
          <w:color w:val="auto"/>
        </w:rPr>
      </w:pPr>
      <w:r>
        <w:rPr>
          <w:rFonts w:ascii="Times New Roman" w:cs="Times New Roman" w:eastAsia="Times New Roman" w:hAnsi="Times New Roman"/>
          <w:sz w:val="18"/>
          <w:szCs w:val="18"/>
          <w:color w:val="auto"/>
        </w:rPr>
        <w:t>An emerging growth company may take advantage of reduced reporting requirements that are otherwise applicable to public companies. These provisions include, but are not limited to:</w:t>
      </w:r>
    </w:p>
    <w:p>
      <w:pPr>
        <w:spacing w:after="0" w:line="67" w:lineRule="exact"/>
        <w:rPr>
          <w:sz w:val="20"/>
          <w:szCs w:val="20"/>
          <w:color w:val="auto"/>
        </w:rPr>
      </w:pPr>
    </w:p>
    <w:p>
      <w:pPr>
        <w:ind w:left="1620" w:right="100" w:hanging="546"/>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67" w:lineRule="exact"/>
        <w:rPr>
          <w:rFonts w:ascii="Times New Roman" w:cs="Times New Roman" w:eastAsia="Times New Roman" w:hAnsi="Times New Roman"/>
          <w:sz w:val="18"/>
          <w:szCs w:val="18"/>
          <w:color w:val="auto"/>
        </w:rPr>
      </w:pPr>
    </w:p>
    <w:p>
      <w:pPr>
        <w:ind w:left="1620" w:right="560" w:hanging="546"/>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w:t>
      </w:r>
    </w:p>
    <w:p>
      <w:pPr>
        <w:spacing w:after="0" w:line="67" w:lineRule="exact"/>
        <w:rPr>
          <w:rFonts w:ascii="Times New Roman" w:cs="Times New Roman" w:eastAsia="Times New Roman" w:hAnsi="Times New Roman"/>
          <w:sz w:val="18"/>
          <w:szCs w:val="18"/>
          <w:color w:val="auto"/>
        </w:rPr>
      </w:pPr>
    </w:p>
    <w:p>
      <w:pPr>
        <w:ind w:left="1620" w:right="660" w:hanging="546"/>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including in this prospectus; and</w:t>
      </w:r>
    </w:p>
    <w:p>
      <w:pPr>
        <w:spacing w:after="0" w:line="67" w:lineRule="exact"/>
        <w:rPr>
          <w:rFonts w:ascii="Times New Roman" w:cs="Times New Roman" w:eastAsia="Times New Roman" w:hAnsi="Times New Roman"/>
          <w:sz w:val="18"/>
          <w:szCs w:val="18"/>
          <w:color w:val="auto"/>
        </w:rPr>
      </w:pPr>
    </w:p>
    <w:p>
      <w:pPr>
        <w:ind w:left="1620" w:right="160" w:hanging="546"/>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prospectus and may elect to take advantage of other reduced reporting requirements in our future filings with Securities and Exchange Commission (“SEC”). As a result, the information that we provide to our stockholders may be different than you might receive from other public reporting companies in which you hold equity interests.</w:t>
      </w:r>
    </w:p>
    <w:p>
      <w:pPr>
        <w:spacing w:after="0" w:line="176" w:lineRule="exact"/>
        <w:rPr>
          <w:sz w:val="20"/>
          <w:szCs w:val="20"/>
          <w:color w:val="auto"/>
        </w:rPr>
      </w:pPr>
    </w:p>
    <w:p>
      <w:pPr>
        <w:jc w:val="both"/>
        <w:ind w:left="200" w:right="120" w:firstLine="441"/>
        <w:spacing w:after="0" w:line="272" w:lineRule="auto"/>
        <w:rPr>
          <w:sz w:val="20"/>
          <w:szCs w:val="20"/>
          <w:color w:val="auto"/>
        </w:rPr>
      </w:pPr>
      <w:r>
        <w:rPr>
          <w:rFonts w:ascii="Times New Roman" w:cs="Times New Roman" w:eastAsia="Times New Roman" w:hAnsi="Times New Roman"/>
          <w:sz w:val="17"/>
          <w:szCs w:val="17"/>
          <w:color w:val="auto"/>
        </w:rPr>
        <w:t>The JOBS Act also provides that an emerging growth company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2" w:lineRule="exact"/>
        <w:rPr>
          <w:sz w:val="20"/>
          <w:szCs w:val="20"/>
          <w:color w:val="auto"/>
        </w:rPr>
      </w:pPr>
    </w:p>
    <w:p>
      <w:pPr>
        <w:ind w:left="200" w:right="200" w:hanging="4"/>
        <w:spacing w:after="0" w:line="261" w:lineRule="auto"/>
        <w:tabs>
          <w:tab w:leader="none" w:pos="4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240" w:top="455" w:right="5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084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offered by us</w:t>
            </w:r>
          </w:p>
        </w:tc>
        <w:tc>
          <w:tcPr>
            <w:tcW w:w="2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to be outstanding after this offering</w:t>
            </w:r>
          </w:p>
        </w:tc>
        <w:tc>
          <w:tcPr>
            <w:tcW w:w="2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to be outstanding after this offering</w:t>
            </w:r>
          </w:p>
        </w:tc>
        <w:tc>
          <w:tcPr>
            <w:tcW w:w="2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shares</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to purchase additional shares of Class A common stock from us</w:t>
            </w:r>
          </w:p>
        </w:tc>
        <w:tc>
          <w:tcPr>
            <w:tcW w:w="2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9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shares</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Voting power of our Class A common stock</w:t>
            </w: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Outstanding shares of our Class A common stock will represent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approximately   % of the voting power of our capital stock after this</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2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offering.</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We estimate that the net proceeds from the sale of shares of our Class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common stock in this offering will be approximately $</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2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(or approximately $</w:t>
            </w:r>
          </w:p>
        </w:tc>
        <w:tc>
          <w:tcPr>
            <w:tcW w:w="3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million if the underwriters’ option to purchase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additional shares of our Class A common stock from us is exercised in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5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full), based upon the initial public offering price of $</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which is the midpoint of the price range set forth on the cover page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this prospectus, and after deducting underwriting discounts and</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0" w:type="dxa"/>
            <w:vAlign w:val="bottom"/>
          </w:tcPr>
          <w:p>
            <w:pPr>
              <w:spacing w:after="0"/>
              <w:rPr>
                <w:sz w:val="1"/>
                <w:szCs w:val="1"/>
                <w:color w:val="auto"/>
              </w:rPr>
            </w:pPr>
          </w:p>
        </w:tc>
      </w:tr>
      <w:tr>
        <w:trPr>
          <w:trHeight w:val="319"/>
        </w:trPr>
        <w:tc>
          <w:tcPr>
            <w:tcW w:w="4540" w:type="dxa"/>
            <w:vAlign w:val="bottom"/>
          </w:tcPr>
          <w:p>
            <w:pPr>
              <w:spacing w:after="0"/>
              <w:rPr>
                <w:sz w:val="24"/>
                <w:szCs w:val="24"/>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w w:val="99"/>
              </w:rPr>
              <w:t>We intend to use the net proceeds from this offering for working capital</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and general corporate purposes, including further expansion of our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sales and marketing and research and development (“R&amp;D”), to repay</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indebtedness and for capital expenditures. In addition, we may use 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portion of the proceeds from this offering for strategic acquisitions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or investments in, complementary businesses, technologies or other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assets, although we currently have no agreements, commitments or</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5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understandings with respect to any such transaction.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540" w:type="dxa"/>
            <w:vAlign w:val="bottom"/>
          </w:tcPr>
          <w:p>
            <w:pPr>
              <w:spacing w:after="0"/>
              <w:rPr>
                <w:sz w:val="24"/>
                <w:szCs w:val="24"/>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KeyBanc Capital Markets Inc. and certain of its affiliates are lenders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and/or agents under our Credit and Security Agreement, dated as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November 4, 2016 (our “credit facility”), and, to the extent proceeds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from this offering are used to repay amounts outstanding thereunder,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will receive a portion of the net proceeds from this offering in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connection with the repayment of our credit facility. See “Use of</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5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Proceeds” for additional information.</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w:t>
            </w: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Immediately prior to this offering, we will have two classes of</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6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authorized common stock, Class A common stock and Class B</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54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common stock. The rights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689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of the holders of Class A common stock and Class B common stock</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will be identical, except with respect to voting and conversion rights.</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Each share of Class A common stock will be entitled to one vote per</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share. Each share of Class B common stock is entitled to ten votes per</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share and is convertible into one share of Class A common stock.</w:t>
            </w:r>
          </w:p>
        </w:tc>
      </w:tr>
      <w:tr>
        <w:trPr>
          <w:trHeight w:val="216"/>
        </w:trPr>
        <w:tc>
          <w:tcPr>
            <w:tcW w:w="3780" w:type="dxa"/>
            <w:vAlign w:val="bottom"/>
          </w:tcPr>
          <w:p>
            <w:pPr>
              <w:spacing w:after="0"/>
              <w:rPr>
                <w:sz w:val="18"/>
                <w:szCs w:val="18"/>
                <w:color w:val="auto"/>
              </w:rPr>
            </w:pPr>
          </w:p>
        </w:tc>
        <w:tc>
          <w:tcPr>
            <w:tcW w:w="6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w w:val="99"/>
              </w:rPr>
              <w:t>Outstanding shares of Class B common stock will represent</w:t>
            </w:r>
          </w:p>
        </w:tc>
        <w:tc>
          <w:tcPr>
            <w:tcW w:w="8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approximately   % of the voting power of our outstanding capital</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stock immediately following the completion of this offering, with our</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directors, executive officers, and 5% stockholders, and their respective</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affiliates, holding approximately   % of the voting power of our</w:t>
            </w:r>
          </w:p>
        </w:tc>
      </w:tr>
      <w:tr>
        <w:trPr>
          <w:trHeight w:val="234"/>
        </w:trPr>
        <w:tc>
          <w:tcPr>
            <w:tcW w:w="3780" w:type="dxa"/>
            <w:vAlign w:val="bottom"/>
          </w:tcPr>
          <w:p>
            <w:pPr>
              <w:spacing w:after="0"/>
              <w:rPr>
                <w:sz w:val="20"/>
                <w:szCs w:val="20"/>
                <w:color w:val="auto"/>
              </w:rPr>
            </w:pPr>
          </w:p>
        </w:tc>
        <w:tc>
          <w:tcPr>
            <w:tcW w:w="6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capital stock following this offering.</w:t>
            </w:r>
          </w:p>
        </w:tc>
        <w:tc>
          <w:tcPr>
            <w:tcW w:w="820" w:type="dxa"/>
            <w:vAlign w:val="bottom"/>
          </w:tcPr>
          <w:p>
            <w:pPr>
              <w:spacing w:after="0"/>
              <w:rPr>
                <w:sz w:val="20"/>
                <w:szCs w:val="20"/>
                <w:color w:val="auto"/>
              </w:rPr>
            </w:pP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Directed share program</w:t>
            </w:r>
          </w:p>
        </w:tc>
        <w:tc>
          <w:tcPr>
            <w:tcW w:w="6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At our request, the underwriters have reserved up to</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shares of</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our Class A common stock, or approximately   % of the shares of</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w w:val="99"/>
              </w:rPr>
              <w:t>Class A common stock being offered by us pursuant to this prospectus,</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for sale at the initial public offering price to our directors, officers and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employees and certain other persons associated with us, as designated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us. The number of shares of Class A common stock available for</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sale to the general public will be reduced to the extent that these</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individuals purchase all or a portion of the reserved shares of Class A</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common stock. Any reserved shares of Class A common stock not so</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purchased will be offered by the underwriters to the general public on</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the same basis as the other shares of Class A common stock offered by</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this prospectus. For further information regarding our directed share</w:t>
            </w:r>
          </w:p>
        </w:tc>
      </w:tr>
      <w:tr>
        <w:trPr>
          <w:trHeight w:val="234"/>
        </w:trPr>
        <w:tc>
          <w:tcPr>
            <w:tcW w:w="3780" w:type="dxa"/>
            <w:vAlign w:val="bottom"/>
          </w:tcPr>
          <w:p>
            <w:pPr>
              <w:spacing w:after="0"/>
              <w:rPr>
                <w:sz w:val="20"/>
                <w:szCs w:val="20"/>
                <w:color w:val="auto"/>
              </w:rPr>
            </w:pPr>
          </w:p>
        </w:tc>
        <w:tc>
          <w:tcPr>
            <w:tcW w:w="64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program, please see “Underwriters.”</w:t>
            </w:r>
          </w:p>
        </w:tc>
        <w:tc>
          <w:tcPr>
            <w:tcW w:w="820" w:type="dxa"/>
            <w:vAlign w:val="bottom"/>
          </w:tcPr>
          <w:p>
            <w:pPr>
              <w:spacing w:after="0"/>
              <w:rPr>
                <w:sz w:val="20"/>
                <w:szCs w:val="20"/>
                <w:color w:val="auto"/>
              </w:rPr>
            </w:pP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w w:val="99"/>
              </w:rPr>
              <w:t>See the section titled “Risk Factors” and the other information included</w:t>
            </w:r>
          </w:p>
        </w:tc>
      </w:tr>
      <w:tr>
        <w:trPr>
          <w:trHeight w:val="216"/>
        </w:trPr>
        <w:tc>
          <w:tcPr>
            <w:tcW w:w="3780" w:type="dxa"/>
            <w:vAlign w:val="bottom"/>
          </w:tcPr>
          <w:p>
            <w:pPr>
              <w:spacing w:after="0"/>
              <w:rPr>
                <w:sz w:val="18"/>
                <w:szCs w:val="18"/>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in this prospectus for a discussion of factors you should carefully</w:t>
            </w:r>
          </w:p>
        </w:tc>
      </w:tr>
      <w:tr>
        <w:trPr>
          <w:trHeight w:val="234"/>
        </w:trPr>
        <w:tc>
          <w:tcPr>
            <w:tcW w:w="3780" w:type="dxa"/>
            <w:vAlign w:val="bottom"/>
          </w:tcPr>
          <w:p>
            <w:pPr>
              <w:spacing w:after="0"/>
              <w:rPr>
                <w:sz w:val="20"/>
                <w:szCs w:val="20"/>
                <w:color w:val="auto"/>
              </w:rPr>
            </w:pPr>
          </w:p>
        </w:tc>
        <w:tc>
          <w:tcPr>
            <w:tcW w:w="722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consider before deciding to invest in our Class A common stock.</w:t>
            </w:r>
          </w:p>
        </w:tc>
      </w:tr>
      <w:tr>
        <w:trPr>
          <w:trHeight w:val="28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Proposed symbol</w:t>
            </w:r>
          </w:p>
        </w:tc>
        <w:tc>
          <w:tcPr>
            <w:tcW w:w="26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r>
    </w:tbl>
    <w:p>
      <w:pPr>
        <w:spacing w:after="0" w:line="200" w:lineRule="exact"/>
        <w:rPr>
          <w:sz w:val="20"/>
          <w:szCs w:val="20"/>
          <w:color w:val="auto"/>
        </w:rPr>
      </w:pPr>
    </w:p>
    <w:p>
      <w:pPr>
        <w:spacing w:after="0" w:line="376" w:lineRule="exact"/>
        <w:rPr>
          <w:sz w:val="20"/>
          <w:szCs w:val="20"/>
          <w:color w:val="auto"/>
        </w:rPr>
      </w:pPr>
    </w:p>
    <w:p>
      <w:pPr>
        <w:ind w:left="200" w:right="80" w:firstLine="441"/>
        <w:spacing w:after="0" w:line="255" w:lineRule="auto"/>
        <w:rPr>
          <w:sz w:val="20"/>
          <w:szCs w:val="20"/>
          <w:color w:val="auto"/>
        </w:rPr>
      </w:pPr>
      <w:r>
        <w:rPr>
          <w:rFonts w:ascii="Times New Roman" w:cs="Times New Roman" w:eastAsia="Times New Roman" w:hAnsi="Times New Roman"/>
          <w:sz w:val="18"/>
          <w:szCs w:val="18"/>
          <w:color w:val="auto"/>
        </w:rPr>
        <w:t>Prior to this offering, we had three classes of shares: (1) Series A Redeemable Convertible Preferred Stock (“Series A preferred stock”), (2) Class A voting common stock (“Old Class A common stock”) and (3) Class B non-voting common stock (“Old Class B common stock”). Both our Series A preferred stock and our Old Class A common stock had one vote per share. Upon the effectiveness of our amended and restated certificate of incorporation and the effectiveness of our amended and restated bylaws, each of which will occur immediately prior to the completion of this offering,</w:t>
      </w:r>
    </w:p>
    <w:p>
      <w:pPr>
        <w:spacing w:after="0" w:line="3" w:lineRule="exact"/>
        <w:rPr>
          <w:sz w:val="20"/>
          <w:szCs w:val="20"/>
          <w:color w:val="auto"/>
        </w:rPr>
      </w:pPr>
    </w:p>
    <w:p>
      <w:pPr>
        <w:ind w:left="200" w:right="200" w:hanging="4"/>
        <w:spacing w:after="0" w:line="255" w:lineRule="auto"/>
        <w:tabs>
          <w:tab w:leader="none" w:pos="4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Series A preferred stock will automatically convert into shares of Class B common stock and will have ten votes per share, (ii) our Old Class A common stock will be redesignated as Class B common stock and will have ten votes per share and (iii) our Old Class B common stock will be redesignated as Class A common stock with one vote per share (collectively, the “Pre-IPO Reorganization”).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24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3262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262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66" w:lineRule="auto"/>
        <w:rPr>
          <w:sz w:val="20"/>
          <w:szCs w:val="20"/>
          <w:color w:val="auto"/>
        </w:rPr>
      </w:pPr>
      <w:r>
        <w:rPr>
          <w:rFonts w:ascii="Times New Roman" w:cs="Times New Roman" w:eastAsia="Times New Roman" w:hAnsi="Times New Roman"/>
          <w:sz w:val="18"/>
          <w:szCs w:val="18"/>
          <w:color w:val="auto"/>
        </w:rPr>
        <w:t>After giving effect to the Pre-IPO Reorganization, the total number of shares of our Class A and Class B common stock outstanding after this offering is based on 13,936 shares of our Class A common stock and 5,426,568 shares of our Class B common stock outstanding, as of June 30, 2017, and excludes:</w:t>
      </w:r>
    </w:p>
    <w:p>
      <w:pPr>
        <w:spacing w:after="0" w:line="82" w:lineRule="exact"/>
        <w:rPr>
          <w:sz w:val="20"/>
          <w:szCs w:val="20"/>
          <w:color w:val="auto"/>
        </w:rPr>
      </w:pPr>
    </w:p>
    <w:p>
      <w:pPr>
        <w:ind w:left="1060" w:hanging="431"/>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1,294,969 shares of our Class A common stock issuable upon the exercise of outstanding options as of June 30, 2017 at a weighted-average exercise price of $16.75 per share;</w:t>
      </w:r>
    </w:p>
    <w:p>
      <w:pPr>
        <w:spacing w:after="0" w:line="67" w:lineRule="exact"/>
        <w:rPr>
          <w:rFonts w:ascii="Times New Roman" w:cs="Times New Roman" w:eastAsia="Times New Roman" w:hAnsi="Times New Roman"/>
          <w:sz w:val="18"/>
          <w:szCs w:val="18"/>
          <w:color w:val="auto"/>
        </w:rPr>
      </w:pPr>
    </w:p>
    <w:p>
      <w:pPr>
        <w:ind w:left="1060" w:right="140" w:hanging="431"/>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146,985 shares of our Class B common stock issuable upon the exercise of outstanding options as of June 30, 2017 at a weighted-average exercise price of $14.36 per share;</w:t>
      </w:r>
    </w:p>
    <w:p>
      <w:pPr>
        <w:spacing w:after="0" w:line="67"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Class B common stock reserved for future issuance under our 2001 Stock Option Plan, 27,605 shares of our Class A</w:t>
      </w:r>
    </w:p>
    <w:p>
      <w:pPr>
        <w:sectPr>
          <w:pgSz w:w="11900" w:h="16838" w:orient="portrait"/>
          <w:cols w:equalWidth="0" w:num="1">
            <w:col w:w="11100"/>
          </w:cols>
          <w:pgMar w:left="240" w:top="455" w:right="559" w:bottom="1440" w:gutter="0" w:footer="0" w:header="0"/>
        </w:sectPr>
      </w:pPr>
    </w:p>
    <w:p>
      <w:pPr>
        <w:spacing w:after="0" w:line="27" w:lineRule="exact"/>
        <w:rPr>
          <w:sz w:val="20"/>
          <w:szCs w:val="20"/>
          <w:color w:val="auto"/>
        </w:rPr>
      </w:pPr>
    </w:p>
    <w:p>
      <w:pPr>
        <w:ind w:left="1060" w:right="120"/>
        <w:spacing w:after="0" w:line="261" w:lineRule="auto"/>
        <w:rPr>
          <w:sz w:val="20"/>
          <w:szCs w:val="20"/>
          <w:color w:val="auto"/>
        </w:rPr>
      </w:pPr>
      <w:r>
        <w:rPr>
          <w:rFonts w:ascii="Times New Roman" w:cs="Times New Roman" w:eastAsia="Times New Roman" w:hAnsi="Times New Roman"/>
          <w:sz w:val="18"/>
          <w:szCs w:val="18"/>
          <w:color w:val="auto"/>
        </w:rPr>
        <w:t>common stock reserved for future grant or issuance under our 2010 Equity Compensation Plan and shares of our Class A common stock reserved for future grant or issuance under our 2017 Equity Compensation Plan; and</w:t>
      </w:r>
    </w:p>
    <w:p>
      <w:pPr>
        <w:sectPr>
          <w:pgSz w:w="11900" w:h="16838" w:orient="portrait"/>
          <w:cols w:equalWidth="0" w:num="1">
            <w:col w:w="11100"/>
          </w:cols>
          <w:pgMar w:left="240" w:top="455" w:right="559" w:bottom="1440" w:gutter="0" w:footer="0" w:header="0"/>
          <w:type w:val="continuous"/>
        </w:sectPr>
      </w:pPr>
    </w:p>
    <w:p>
      <w:pPr>
        <w:spacing w:after="0" w:line="85" w:lineRule="exact"/>
        <w:rPr>
          <w:sz w:val="20"/>
          <w:szCs w:val="20"/>
          <w:color w:val="auto"/>
        </w:rPr>
      </w:pPr>
    </w:p>
    <w:p>
      <w:pPr>
        <w:ind w:left="1060" w:right="140" w:hanging="431"/>
        <w:spacing w:after="0" w:line="282" w:lineRule="auto"/>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25,877 shares of our Class B common stock issuable upon the exercise of outstanding warrants as of June 30, 2017 at a weighted-average exercise price of $5.76 per share.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stated, information in this prospectus (except for the historical financial statements) assumes:</w:t>
      </w:r>
    </w:p>
    <w:p>
      <w:pPr>
        <w:spacing w:after="0" w:line="131" w:lineRule="exact"/>
        <w:rPr>
          <w:sz w:val="20"/>
          <w:szCs w:val="20"/>
          <w:color w:val="auto"/>
        </w:rPr>
      </w:pPr>
    </w:p>
    <w:p>
      <w:pPr>
        <w:ind w:left="1060" w:hanging="431"/>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Pre-IPO Reorganization;</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exercises of options or warrants outstanding as of June 30, 2017; and</w:t>
      </w:r>
    </w:p>
    <w:p>
      <w:pPr>
        <w:spacing w:after="0" w:line="131" w:lineRule="exact"/>
        <w:rPr>
          <w:sz w:val="20"/>
          <w:szCs w:val="20"/>
          <w:color w:val="auto"/>
        </w:rPr>
      </w:pPr>
    </w:p>
    <w:p>
      <w:pPr>
        <w:ind w:left="620"/>
        <w:spacing w:after="0"/>
        <w:tabs>
          <w:tab w:leader="none" w:pos="1040" w:val="left"/>
          <w:tab w:leader="none" w:pos="7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 exercise by the underwriters of their option to purchase up to an additional</w:t>
      </w:r>
      <w:r>
        <w:rPr>
          <w:sz w:val="20"/>
          <w:szCs w:val="20"/>
          <w:color w:val="auto"/>
        </w:rPr>
        <w:tab/>
      </w:r>
      <w:r>
        <w:rPr>
          <w:rFonts w:ascii="Times New Roman" w:cs="Times New Roman" w:eastAsia="Times New Roman" w:hAnsi="Times New Roman"/>
          <w:sz w:val="17"/>
          <w:szCs w:val="17"/>
          <w:color w:val="auto"/>
        </w:rPr>
        <w:t>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240" w:top="455" w:right="5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310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310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SUMMARY CONSOLIDATED FINANCIAL INFORMATION</w:t>
      </w:r>
    </w:p>
    <w:p>
      <w:pPr>
        <w:spacing w:after="0" w:line="229" w:lineRule="exact"/>
        <w:rPr>
          <w:sz w:val="20"/>
          <w:szCs w:val="20"/>
          <w:color w:val="auto"/>
        </w:rPr>
      </w:pPr>
    </w:p>
    <w:p>
      <w:pPr>
        <w:ind w:left="200" w:firstLine="441"/>
        <w:spacing w:after="0" w:line="253" w:lineRule="auto"/>
        <w:rPr>
          <w:sz w:val="20"/>
          <w:szCs w:val="20"/>
          <w:color w:val="auto"/>
        </w:rPr>
      </w:pPr>
      <w:r>
        <w:rPr>
          <w:rFonts w:ascii="Times New Roman" w:cs="Times New Roman" w:eastAsia="Times New Roman" w:hAnsi="Times New Roman"/>
          <w:sz w:val="18"/>
          <w:szCs w:val="18"/>
          <w:color w:val="auto"/>
        </w:rPr>
        <w:t>The following tables set forth a summary of our historical consolidated financial data as of, and for the periods ended on, the dates indicated.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You should read this data together with our consolidated financial statements and related notes appearing elsewhere in this prospectus and the information in “Selected Consolidated Financial and Other Data” and “Management’s Discussion and Analysis of Financial Condition and Results of Operations.” Our historical results are not necessarily indicative of our future results, and the results of operations for the six months ended June 30, 2017, are not necessarily indicative of the results to be expected for the full year or any other period. The summary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240" w:top="455" w:right="5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200" w:type="dxa"/>
            <w:vAlign w:val="bottom"/>
            <w:tcBorders>
              <w:top w:val="single" w:sz="8" w:color="auto"/>
              <w:left w:val="single" w:sz="8" w:color="auto"/>
            </w:tcBorders>
          </w:tcPr>
          <w:p>
            <w:pPr>
              <w:spacing w:after="0"/>
              <w:rPr>
                <w:sz w:val="24"/>
                <w:szCs w:val="24"/>
                <w:color w:val="auto"/>
              </w:rPr>
            </w:pPr>
          </w:p>
        </w:tc>
        <w:tc>
          <w:tcPr>
            <w:tcW w:w="5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0" w:type="dxa"/>
            <w:vAlign w:val="bottom"/>
            <w:tcBorders>
              <w:left w:val="single" w:sz="8" w:color="auto"/>
            </w:tcBorders>
          </w:tcPr>
          <w:p>
            <w:pPr>
              <w:spacing w:after="0"/>
              <w:rPr>
                <w:sz w:val="15"/>
                <w:szCs w:val="15"/>
                <w:color w:val="auto"/>
              </w:rPr>
            </w:pPr>
          </w:p>
        </w:tc>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5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980" w:type="dxa"/>
            <w:vAlign w:val="bottom"/>
            <w:gridSpan w:val="1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CPaaS revenue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63,194</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79,151</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CPaaS cost of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37,147</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 of revenue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35,291</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left w:val="single" w:sz="8" w:color="auto"/>
            </w:tcBorders>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Borders>
              <w:left w:val="single" w:sz="8" w:color="auto"/>
            </w:tcBorders>
            <w:vMerge w:val="restart"/>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Borders>
              <w:left w:val="single" w:sz="8" w:color="auto"/>
            </w:tcBorders>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lef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20" w:type="dxa"/>
            <w:vAlign w:val="bottom"/>
            <w:tcBorders>
              <w:lef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shareholders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attributable to participating securities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Borders>
              <w:lef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 per share attributable to common</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20" w:type="dxa"/>
            <w:vAlign w:val="bottom"/>
            <w:tcBorders>
              <w:left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left w:val="single" w:sz="8" w:color="auto"/>
            </w:tcBorders>
          </w:tcPr>
          <w:p>
            <w:pPr>
              <w:spacing w:after="0"/>
              <w:rPr>
                <w:sz w:val="16"/>
                <w:szCs w:val="16"/>
                <w:color w:val="auto"/>
              </w:rPr>
            </w:pPr>
          </w:p>
        </w:tc>
        <w:tc>
          <w:tcPr>
            <w:tcW w:w="5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 from continuing per</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basic</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4,599,518</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4,671,427</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4,632,313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4,722,647</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tcBorders>
              <w:lef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 per share attributable to common</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20" w:type="dxa"/>
            <w:vAlign w:val="bottom"/>
            <w:tcBorders>
              <w:left w:val="single" w:sz="8" w:color="auto"/>
            </w:tcBorders>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left w:val="single" w:sz="8" w:color="auto"/>
            </w:tcBorders>
          </w:tcPr>
          <w:p>
            <w:pPr>
              <w:spacing w:after="0"/>
              <w:rPr>
                <w:sz w:val="16"/>
                <w:szCs w:val="16"/>
                <w:color w:val="auto"/>
              </w:rPr>
            </w:pPr>
          </w:p>
        </w:tc>
        <w:tc>
          <w:tcPr>
            <w:tcW w:w="5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 from continuing per</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 w:type="dxa"/>
            <w:vAlign w:val="bottom"/>
            <w:tcBorders>
              <w:left w:val="single" w:sz="8" w:color="auto"/>
            </w:tcBorders>
          </w:tcPr>
          <w:p>
            <w:pPr>
              <w:spacing w:after="0"/>
              <w:rPr>
                <w:sz w:val="20"/>
                <w:szCs w:val="20"/>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attributable to common stockholders, diluted</w:t>
            </w:r>
          </w:p>
        </w:tc>
        <w:tc>
          <w:tcPr>
            <w:tcW w:w="3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4,983,138</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5,144,553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5,127,814</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5,190,879</w:t>
            </w:r>
          </w:p>
        </w:tc>
        <w:tc>
          <w:tcPr>
            <w:tcW w:w="120" w:type="dxa"/>
            <w:vAlign w:val="bottom"/>
            <w:shd w:val="clear" w:color="auto" w:fill="CCEEFF"/>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auto"/>
            </w:tcBorders>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0" w:type="dxa"/>
            <w:vAlign w:val="bottom"/>
            <w:tcBorders>
              <w:left w:val="single" w:sz="8" w:color="auto"/>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670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57670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gridSpan w:val="2"/>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vMerge w:val="restart"/>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84"/>
        </w:trPr>
        <w:tc>
          <w:tcPr>
            <w:tcW w:w="5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Borders>
              <w:bottom w:val="single" w:sz="8" w:color="auto"/>
            </w:tcBorders>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9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50"/>
        </w:trPr>
        <w:tc>
          <w:tcPr>
            <w:tcW w:w="5280" w:type="dxa"/>
            <w:vAlign w:val="bottom"/>
          </w:tcPr>
          <w:p>
            <w:pPr>
              <w:spacing w:after="0"/>
              <w:rPr>
                <w:sz w:val="4"/>
                <w:szCs w:val="4"/>
                <w:color w:val="auto"/>
              </w:rPr>
            </w:pPr>
          </w:p>
        </w:tc>
        <w:tc>
          <w:tcPr>
            <w:tcW w:w="350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9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2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$ 10,059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6,788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5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(26,972)</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10,257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63,146</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69,973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(19,074)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(22,374)</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hanging="324"/>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anti-dilutive arrangements with certain of our shareholders. See Note 2 to our consolidated financial statements included elsewhere in this prospectus.</w:t>
      </w: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ind w:left="200" w:right="160" w:firstLine="441"/>
        <w:spacing w:after="0" w:line="282" w:lineRule="auto"/>
        <w:rPr>
          <w:sz w:val="20"/>
          <w:szCs w:val="20"/>
          <w:color w:val="auto"/>
        </w:rPr>
      </w:pPr>
      <w:r>
        <w:rPr>
          <w:rFonts w:ascii="Times New Roman" w:cs="Times New Roman" w:eastAsia="Times New Roman" w:hAnsi="Times New Roman"/>
          <w:sz w:val="18"/>
          <w:szCs w:val="18"/>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gridSpan w:val="2"/>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40" w:type="dxa"/>
            <w:vAlign w:val="bottom"/>
            <w:gridSpan w:val="2"/>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41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000" w:type="dxa"/>
            <w:vAlign w:val="bottom"/>
          </w:tcPr>
          <w:p>
            <w:pPr>
              <w:jc w:val="center"/>
              <w:ind w:right="418"/>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18"/>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3"/>
          </w:tcPr>
          <w:p>
            <w:pPr>
              <w:jc w:val="right"/>
              <w:ind w:right="81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CPaaS customer accounts (as of balance sheet date)</w:t>
            </w:r>
            <w:r>
              <w:rPr>
                <w:rFonts w:ascii="Times New Roman" w:cs="Times New Roman" w:eastAsia="Times New Roman" w:hAnsi="Times New Roman"/>
                <w:sz w:val="15"/>
                <w:szCs w:val="15"/>
                <w:color w:val="auto"/>
              </w:rPr>
              <w:t>(a)</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704</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798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756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Dollar-based net retention rate</w:t>
            </w:r>
            <w:r>
              <w:rPr>
                <w:rFonts w:ascii="Times New Roman" w:cs="Times New Roman" w:eastAsia="Times New Roman" w:hAnsi="Times New Roman"/>
                <w:sz w:val="15"/>
                <w:szCs w:val="15"/>
                <w:color w:val="auto"/>
              </w:rPr>
              <w:t>(b)</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18"/>
                <w:szCs w:val="18"/>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(c)</w:t>
            </w: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18,912</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23,470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12,269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15"/>
                <w:szCs w:val="15"/>
                <w:color w:val="auto"/>
              </w:rPr>
              <w:t>(c)</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13,549</w:t>
            </w: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10,881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7,185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100" w:hanging="324"/>
        <w:spacing w:after="0" w:line="224"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2" w:lineRule="exact"/>
        <w:rPr>
          <w:rFonts w:ascii="Times New Roman" w:cs="Times New Roman" w:eastAsia="Times New Roman" w:hAnsi="Times New Roman"/>
          <w:sz w:val="14"/>
          <w:szCs w:val="14"/>
          <w:color w:val="auto"/>
        </w:rPr>
      </w:pPr>
    </w:p>
    <w:p>
      <w:pPr>
        <w:ind w:left="520" w:right="20" w:hanging="324"/>
        <w:spacing w:after="0" w:line="22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29" w:lineRule="exact"/>
        <w:rPr>
          <w:rFonts w:ascii="Times New Roman" w:cs="Times New Roman" w:eastAsia="Times New Roman" w:hAnsi="Times New Roman"/>
          <w:sz w:val="14"/>
          <w:szCs w:val="14"/>
          <w:color w:val="auto"/>
        </w:rPr>
      </w:pPr>
    </w:p>
    <w:p>
      <w:pPr>
        <w:ind w:left="520" w:right="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4070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20" w:right="140"/>
        <w:spacing w:after="0" w:line="227" w:lineRule="auto"/>
        <w:rPr>
          <w:sz w:val="20"/>
          <w:szCs w:val="20"/>
          <w:color w:val="auto"/>
        </w:rPr>
      </w:pPr>
      <w:r>
        <w:rPr>
          <w:rFonts w:ascii="Times New Roman" w:cs="Times New Roman" w:eastAsia="Times New Roman" w:hAnsi="Times New Roman"/>
          <w:sz w:val="14"/>
          <w:szCs w:val="14"/>
          <w:color w:val="auto"/>
        </w:rPr>
        <w:t>original CPaaS customer for the purposes of calculating this metric. For the six months ended June 30, 2017, our dollar-based net retention rate was 107%, compared to 112% in the same period in 2016. The largest driver of this decrease was a strategic decision by our company to no longer service a particular customer. For the year ended December 31, 2016, our dollar-based net retention rate was 113%, compared to 117% for the year ended December 31, 2015. This decrease was driven by the decision to lower pricing in exchange for longer term contracts with certain of our key customers.</w:t>
      </w:r>
    </w:p>
    <w:p>
      <w:pPr>
        <w:spacing w:after="0" w:line="1" w:lineRule="exact"/>
        <w:rPr>
          <w:sz w:val="20"/>
          <w:szCs w:val="20"/>
          <w:color w:val="auto"/>
        </w:rPr>
      </w:pPr>
    </w:p>
    <w:p>
      <w:pPr>
        <w:ind w:left="520" w:hanging="324"/>
        <w:spacing w:after="0" w:line="22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and free cash flow for financial and operational decision making and as a means to evaluate period-to-period differences in our performance. Adjusted EBITDA and free cash flow are not calculated in accordance with U.S. generally accepted accounting principles (“GAAP”) but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69" w:lineRule="exact"/>
        <w:rPr>
          <w:rFonts w:ascii="Times New Roman" w:cs="Times New Roman" w:eastAsia="Times New Roman" w:hAnsi="Times New Roman"/>
          <w:sz w:val="14"/>
          <w:szCs w:val="14"/>
          <w:color w:val="auto"/>
        </w:rPr>
      </w:pPr>
    </w:p>
    <w:p>
      <w:pPr>
        <w:ind w:left="520" w:right="30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as net earnings or losses from continuing operations, adjusted to reflect the addition or elimination of certain income statement items including, but not limited to:</w:t>
      </w:r>
    </w:p>
    <w:p>
      <w:pPr>
        <w:spacing w:after="0" w:line="67"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(benefit);</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intangible assets;</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(gain) from disposal of property and equipment; and</w:t>
      </w:r>
    </w:p>
    <w:p>
      <w:pPr>
        <w:spacing w:after="0" w:line="109" w:lineRule="exact"/>
        <w:rPr>
          <w:rFonts w:ascii="Times New Roman" w:cs="Times New Roman" w:eastAsia="Times New Roman" w:hAnsi="Times New Roman"/>
          <w:sz w:val="14"/>
          <w:szCs w:val="14"/>
          <w:color w:val="auto"/>
        </w:rPr>
      </w:pPr>
    </w:p>
    <w:p>
      <w:pPr>
        <w:ind w:left="1300" w:hanging="334"/>
        <w:spacing w:after="0"/>
        <w:tabs>
          <w:tab w:leader="none" w:pos="130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instruments including any shareholder anti-dilutive arrangement.</w:t>
      </w:r>
    </w:p>
    <w:p>
      <w:pPr>
        <w:spacing w:after="0" w:line="340"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Pr>
          <w:p>
            <w:pPr>
              <w:spacing w:after="0"/>
              <w:rPr>
                <w:sz w:val="12"/>
                <w:szCs w:val="12"/>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55"/>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6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50"/>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0"/>
              <w:spacing w:after="0" w:line="129" w:lineRule="exact"/>
              <w:rPr>
                <w:sz w:val="20"/>
                <w:szCs w:val="20"/>
                <w:color w:val="auto"/>
              </w:rPr>
            </w:pPr>
            <w:r>
              <w:rPr>
                <w:rFonts w:ascii="Times New Roman" w:cs="Times New Roman" w:eastAsia="Times New Roman" w:hAnsi="Times New Roman"/>
                <w:sz w:val="13"/>
                <w:szCs w:val="13"/>
                <w:b w:val="1"/>
                <w:bCs w:val="1"/>
                <w:color w:val="auto"/>
              </w:rPr>
              <w:t>2016</w:t>
            </w:r>
          </w:p>
        </w:tc>
        <w:tc>
          <w:tcPr>
            <w:tcW w:w="3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rPr>
              <w:t>2016</w:t>
            </w:r>
          </w:p>
        </w:tc>
        <w:tc>
          <w:tcPr>
            <w:tcW w:w="3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40" w:type="dxa"/>
            <w:vAlign w:val="bottom"/>
          </w:tcPr>
          <w:p>
            <w:pPr>
              <w:spacing w:after="0"/>
              <w:rPr>
                <w:sz w:val="11"/>
                <w:szCs w:val="11"/>
                <w:color w:val="auto"/>
              </w:rPr>
            </w:pPr>
          </w:p>
        </w:tc>
      </w:tr>
      <w:tr>
        <w:trPr>
          <w:trHeight w:val="129"/>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5"/>
          </w:tcPr>
          <w:p>
            <w:pPr>
              <w:jc w:val="right"/>
              <w:ind w:right="660"/>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6,965</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$ 25,430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7,572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4,936</w:t>
            </w:r>
          </w:p>
        </w:tc>
      </w:tr>
      <w:tr>
        <w:trPr>
          <w:trHeight w:val="149"/>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36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(11,094)</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2,987</w:t>
            </w: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859</w:t>
            </w:r>
          </w:p>
        </w:tc>
      </w:tr>
      <w:tr>
        <w:trPr>
          <w:trHeight w:val="149"/>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6,167</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5,251</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2,401</w:t>
            </w: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420</w:t>
            </w:r>
          </w:p>
        </w:tc>
      </w:tr>
      <w:tr>
        <w:trPr>
          <w:trHeight w:val="149"/>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490</w:t>
            </w: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3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shareholders’ anti-dilutive arrangement</w:t>
            </w: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553</w:t>
            </w:r>
          </w:p>
        </w:tc>
      </w:tr>
      <w:tr>
        <w:trPr>
          <w:trHeight w:val="156"/>
        </w:trPr>
        <w:tc>
          <w:tcPr>
            <w:tcW w:w="6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18,912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$ 23,470</w:t>
            </w: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12,269</w:t>
            </w: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12,655</w:t>
            </w:r>
          </w:p>
        </w:tc>
        <w:tc>
          <w:tcPr>
            <w:tcW w:w="4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0" w:lineRule="exact"/>
        <w:rPr>
          <w:sz w:val="20"/>
          <w:szCs w:val="20"/>
          <w:color w:val="auto"/>
        </w:rPr>
      </w:pPr>
    </w:p>
    <w:p>
      <w:pPr>
        <w:ind w:left="960" w:right="340" w:hanging="439"/>
        <w:spacing w:after="0" w:line="233"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benefit was $11,094 for the year ended December 31, 2016. This benefit was primarily the result of $14,138 of benefit being recognized due to the release of the deferred tax asset valuation allowance subsequent to the spin-off of Republic Wireless.</w:t>
      </w:r>
    </w:p>
    <w:p>
      <w:pPr>
        <w:ind w:left="960" w:right="440" w:hanging="439"/>
        <w:spacing w:after="0" w:line="221"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impairment of intangible assets was $695 for the year ended December 31, 2016 and was due to the Company’s evaluation that a trade name acquired during the Dash acquisition provided no further benefit.</w:t>
      </w:r>
    </w:p>
    <w:p>
      <w:pPr>
        <w:ind w:left="960" w:right="180" w:hanging="439"/>
        <w:spacing w:after="0" w:line="233" w:lineRule="auto"/>
        <w:tabs>
          <w:tab w:leader="none" w:pos="9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Times New Roman" w:cs="Times New Roman" w:eastAsia="Times New Roman" w:hAnsi="Times New Roman"/>
          <w:sz w:val="14"/>
          <w:szCs w:val="14"/>
          <w:i w:val="1"/>
          <w:iCs w:val="1"/>
          <w:color w:val="auto"/>
        </w:rPr>
        <w:t>Summary of Significant Accounting Policies, 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w:t>
      </w:r>
      <w:r>
        <w:rPr>
          <w:rFonts w:ascii="Times New Roman" w:cs="Times New Roman" w:eastAsia="Times New Roman" w:hAnsi="Times New Roman"/>
          <w:sz w:val="14"/>
          <w:szCs w:val="14"/>
          <w:color w:val="auto"/>
        </w:rPr>
        <w:t>, for further explanation.</w:t>
      </w:r>
    </w:p>
    <w:p>
      <w:pPr>
        <w:spacing w:after="0" w:line="69" w:lineRule="exact"/>
        <w:rPr>
          <w:sz w:val="20"/>
          <w:szCs w:val="20"/>
          <w:color w:val="auto"/>
        </w:rPr>
      </w:pPr>
    </w:p>
    <w:p>
      <w:pPr>
        <w:ind w:left="520" w:right="140"/>
        <w:spacing w:after="0" w:line="262" w:lineRule="auto"/>
        <w:rPr>
          <w:sz w:val="20"/>
          <w:szCs w:val="20"/>
          <w:color w:val="auto"/>
        </w:rPr>
      </w:pPr>
      <w:r>
        <w:rPr>
          <w:rFonts w:ascii="Times New Roman" w:cs="Times New Roman" w:eastAsia="Times New Roman" w:hAnsi="Times New Roman"/>
          <w:sz w:val="14"/>
          <w:szCs w:val="14"/>
          <w:color w:val="auto"/>
        </w:rPr>
        <w:t>Free cash flow represents net cash provided by (used in) operating activities from continuing operations less capital expenditures. We believe that free cash flow is a useful indicator of liquidity and provides information to management and investors about the amount of cash generated from our core operations that can be used for investing in our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24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1020" w:type="dxa"/>
            <w:vAlign w:val="bottom"/>
            <w:tcBorders>
              <w:top w:val="single" w:sz="8" w:color="auto"/>
              <w:left w:val="single" w:sz="8" w:color="auto"/>
            </w:tcBorders>
          </w:tcPr>
          <w:p>
            <w:pPr>
              <w:spacing w:after="0"/>
              <w:rPr>
                <w:sz w:val="24"/>
                <w:szCs w:val="24"/>
                <w:color w:val="auto"/>
              </w:rPr>
            </w:pPr>
          </w:p>
        </w:tc>
        <w:tc>
          <w:tcPr>
            <w:tcW w:w="63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020" w:type="dxa"/>
            <w:vAlign w:val="bottom"/>
            <w:tcBorders>
              <w:top w:val="single" w:sz="8" w:color="auto"/>
              <w:right w:val="single" w:sz="8" w:color="auto"/>
            </w:tcBorders>
          </w:tcPr>
          <w:p>
            <w:pPr>
              <w:spacing w:after="0"/>
              <w:rPr>
                <w:sz w:val="24"/>
                <w:szCs w:val="24"/>
                <w:color w:val="auto"/>
              </w:rPr>
            </w:pPr>
          </w:p>
        </w:tc>
      </w:tr>
      <w:tr>
        <w:trPr>
          <w:trHeight w:val="155"/>
        </w:trPr>
        <w:tc>
          <w:tcPr>
            <w:tcW w:w="1020" w:type="dxa"/>
            <w:vAlign w:val="bottom"/>
            <w:tcBorders>
              <w:left w:val="single" w:sz="8" w:color="auto"/>
            </w:tcBorders>
          </w:tcPr>
          <w:p>
            <w:pPr>
              <w:spacing w:after="0"/>
              <w:rPr>
                <w:sz w:val="13"/>
                <w:szCs w:val="13"/>
                <w:color w:val="auto"/>
              </w:rPr>
            </w:pPr>
          </w:p>
        </w:tc>
        <w:tc>
          <w:tcPr>
            <w:tcW w:w="6300" w:type="dxa"/>
            <w:vAlign w:val="bottom"/>
          </w:tcPr>
          <w:p>
            <w:pPr>
              <w:spacing w:after="0"/>
              <w:rPr>
                <w:sz w:val="13"/>
                <w:szCs w:val="13"/>
                <w:color w:val="auto"/>
              </w:rPr>
            </w:pPr>
          </w:p>
        </w:tc>
        <w:tc>
          <w:tcPr>
            <w:tcW w:w="168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29"/>
        </w:trPr>
        <w:tc>
          <w:tcPr>
            <w:tcW w:w="1020" w:type="dxa"/>
            <w:vAlign w:val="bottom"/>
            <w:tcBorders>
              <w:left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3"/>
                <w:szCs w:val="13"/>
                <w:b w:val="1"/>
                <w:bCs w:val="1"/>
                <w:color w:val="auto"/>
              </w:rPr>
              <w:t>2015</w:t>
            </w:r>
          </w:p>
        </w:tc>
        <w:tc>
          <w:tcPr>
            <w:tcW w:w="3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3"/>
                <w:szCs w:val="13"/>
                <w:b w:val="1"/>
                <w:bCs w:val="1"/>
                <w:color w:val="auto"/>
              </w:rPr>
              <w:t>2016</w:t>
            </w:r>
          </w:p>
        </w:tc>
        <w:tc>
          <w:tcPr>
            <w:tcW w:w="3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2016</w:t>
            </w:r>
          </w:p>
        </w:tc>
        <w:tc>
          <w:tcPr>
            <w:tcW w:w="3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r>
      <w:tr>
        <w:trPr>
          <w:trHeight w:val="142"/>
        </w:trPr>
        <w:tc>
          <w:tcPr>
            <w:tcW w:w="1020" w:type="dxa"/>
            <w:vAlign w:val="bottom"/>
            <w:tcBorders>
              <w:left w:val="single" w:sz="8" w:color="auto"/>
            </w:tcBorders>
          </w:tcPr>
          <w:p>
            <w:pPr>
              <w:spacing w:after="0"/>
              <w:rPr>
                <w:sz w:val="12"/>
                <w:szCs w:val="12"/>
                <w:color w:val="auto"/>
              </w:rPr>
            </w:pPr>
          </w:p>
        </w:tc>
        <w:tc>
          <w:tcPr>
            <w:tcW w:w="6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5"/>
          </w:tcPr>
          <w:p>
            <w:pPr>
              <w:jc w:val="right"/>
              <w:ind w:right="620"/>
              <w:spacing w:after="0" w:line="143"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r>
      <w:tr>
        <w:trPr>
          <w:trHeight w:val="149"/>
        </w:trPr>
        <w:tc>
          <w:tcPr>
            <w:tcW w:w="1020" w:type="dxa"/>
            <w:vAlign w:val="bottom"/>
            <w:tcBorders>
              <w:left w:val="single" w:sz="8" w:color="auto"/>
            </w:tcBorders>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 from continuing operations</w:t>
            </w:r>
          </w:p>
        </w:tc>
        <w:tc>
          <w:tcPr>
            <w:tcW w:w="8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7"/>
              </w:rPr>
              <w:t>$ 18,651</w:t>
            </w:r>
          </w:p>
        </w:tc>
        <w:tc>
          <w:tcPr>
            <w:tcW w:w="8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7"/>
              </w:rPr>
              <w:t>$ 16,942</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8"/>
              </w:rPr>
              <w:t>10,553</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5,080</w:t>
            </w:r>
          </w:p>
        </w:tc>
        <w:tc>
          <w:tcPr>
            <w:tcW w:w="1020" w:type="dxa"/>
            <w:vAlign w:val="bottom"/>
            <w:tcBorders>
              <w:right w:val="single" w:sz="8" w:color="auto"/>
            </w:tcBorders>
          </w:tcPr>
          <w:p>
            <w:pPr>
              <w:spacing w:after="0"/>
              <w:rPr>
                <w:sz w:val="12"/>
                <w:szCs w:val="12"/>
                <w:color w:val="auto"/>
              </w:rPr>
            </w:pPr>
          </w:p>
        </w:tc>
      </w:tr>
      <w:tr>
        <w:trPr>
          <w:trHeight w:val="149"/>
        </w:trPr>
        <w:tc>
          <w:tcPr>
            <w:tcW w:w="1020" w:type="dxa"/>
            <w:vAlign w:val="bottom"/>
            <w:tcBorders>
              <w:left w:val="single" w:sz="8" w:color="auto"/>
            </w:tcBorders>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(6,061)</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1020" w:type="dxa"/>
            <w:vAlign w:val="bottom"/>
            <w:tcBorders>
              <w:right w:val="single" w:sz="8" w:color="auto"/>
            </w:tcBorders>
          </w:tcPr>
          <w:p>
            <w:pPr>
              <w:spacing w:after="0"/>
              <w:rPr>
                <w:sz w:val="12"/>
                <w:szCs w:val="12"/>
                <w:color w:val="auto"/>
              </w:rPr>
            </w:pPr>
          </w:p>
        </w:tc>
      </w:tr>
      <w:tr>
        <w:trPr>
          <w:trHeight w:val="27"/>
        </w:trPr>
        <w:tc>
          <w:tcPr>
            <w:tcW w:w="1020" w:type="dxa"/>
            <w:vAlign w:val="bottom"/>
            <w:tcBorders>
              <w:left w:val="single" w:sz="8" w:color="auto"/>
            </w:tcBorders>
          </w:tcPr>
          <w:p>
            <w:pPr>
              <w:spacing w:after="0"/>
              <w:rPr>
                <w:sz w:val="2"/>
                <w:szCs w:val="2"/>
                <w:color w:val="auto"/>
              </w:rPr>
            </w:pPr>
          </w:p>
        </w:tc>
        <w:tc>
          <w:tcPr>
            <w:tcW w:w="6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r>
      <w:tr>
        <w:trPr>
          <w:trHeight w:val="149"/>
        </w:trPr>
        <w:tc>
          <w:tcPr>
            <w:tcW w:w="1020" w:type="dxa"/>
            <w:vAlign w:val="bottom"/>
            <w:tcBorders>
              <w:left w:val="single" w:sz="8" w:color="auto"/>
            </w:tcBorders>
          </w:tcPr>
          <w:p>
            <w:pPr>
              <w:spacing w:after="0"/>
              <w:rPr>
                <w:sz w:val="12"/>
                <w:szCs w:val="12"/>
                <w:color w:val="auto"/>
              </w:rPr>
            </w:pPr>
          </w:p>
        </w:tc>
        <w:tc>
          <w:tcPr>
            <w:tcW w:w="6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Free cash flow</w:t>
            </w:r>
          </w:p>
        </w:tc>
        <w:tc>
          <w:tcPr>
            <w:tcW w:w="8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13,549</w:t>
            </w:r>
          </w:p>
        </w:tc>
        <w:tc>
          <w:tcPr>
            <w:tcW w:w="8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 xml:space="preserve"> 10,881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7,185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2,285</w:t>
            </w:r>
          </w:p>
        </w:tc>
        <w:tc>
          <w:tcPr>
            <w:tcW w:w="1020" w:type="dxa"/>
            <w:vAlign w:val="bottom"/>
            <w:tcBorders>
              <w:right w:val="single" w:sz="8" w:color="auto"/>
            </w:tcBorders>
          </w:tcPr>
          <w:p>
            <w:pPr>
              <w:spacing w:after="0"/>
              <w:rPr>
                <w:sz w:val="12"/>
                <w:szCs w:val="12"/>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396"/>
        </w:trPr>
        <w:tc>
          <w:tcPr>
            <w:tcW w:w="1020" w:type="dxa"/>
            <w:vAlign w:val="bottom"/>
            <w:tcBorders>
              <w:left w:val="single" w:sz="8" w:color="auto"/>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 factors, as well as the other information in this prospectus, before deciding to invest in our Class A common stock. The occurrence of any of the following risks could harm our business, financial condition, results of operations or prospects. In that case, the trading price of our Class A common stock could decline, and you may lose all or part of your investment.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growth and expansion plans depends on a number of factors that are beyond our control.</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67"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retention of qualified and effective personnel with the expertise required to sell and operate effectively or successfully;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health of new and existing markets;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effectiveness of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structure under which we will be able to purchase services required to serve our customers;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to us of technologies needed to remain competitive; and</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highly competitive, and if we do not compete effectively, our business, results of operations and financial condition could be harmed.</w:t>
      </w:r>
    </w:p>
    <w:p>
      <w:pPr>
        <w:spacing w:after="0" w:line="5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86" w:lineRule="exact"/>
        <w:rPr>
          <w:sz w:val="20"/>
          <w:szCs w:val="20"/>
          <w:color w:val="auto"/>
        </w:rPr>
      </w:pPr>
    </w:p>
    <w:p>
      <w:pPr>
        <w:ind w:left="900" w:right="16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service providers that offer limited developer functionality on top of their own networks and physical infrastructure, such as AT&amp;T, Level 3 and Verizon.</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89"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8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presently operate in the United States and provide certain limited services in Canada. Our IP voice network, which is at the core of our product offerings, is located in the United States and, absent existing or future customer demand, we have no immediate plans to expand our network internationally.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2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in a cost-effective manner, then our business, results of operations and financial condition would be adversely affected.</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including using a significant portion of the proceeds of this offering to expand our sales and marketing efforts as further disclosed in “Use of Proceeds.” For example, our sales and marketing efficiency, which is calculated as the result of CPaaS revenue for the year ended December 31, 2016 less CPaaS revenue for the equivalent period in the prior year divided by sales and marketing expenses for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year ended December 31, 2015, was 181%.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51" w:lineRule="exact"/>
        <w:rPr>
          <w:sz w:val="20"/>
          <w:szCs w:val="20"/>
          <w:color w:val="auto"/>
        </w:rPr>
      </w:pPr>
    </w:p>
    <w:p>
      <w:pPr>
        <w:jc w:val="both"/>
        <w:ind w:right="120" w:firstLine="456"/>
        <w:spacing w:after="0" w:line="313" w:lineRule="auto"/>
        <w:rPr>
          <w:sz w:val="20"/>
          <w:szCs w:val="20"/>
          <w:color w:val="auto"/>
        </w:rPr>
      </w:pPr>
      <w:r>
        <w:rPr>
          <w:rFonts w:ascii="Times New Roman" w:cs="Times New Roman" w:eastAsia="Times New Roman" w:hAnsi="Times New Roman"/>
          <w:sz w:val="17"/>
          <w:szCs w:val="17"/>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44"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maintain or improve our current relationships with existing key customers;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able to expand the available capacity on our network to meet our customers’ demands in a timely manner;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develop new large wholesale and enterprise customers;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determine to obtain these services from either their own network or from one of our competitors,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we may be unable to increase or maintain our revenue at acceptable margins.</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5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ability to grow and generate incremental revenue depends, in part, on our ability to maintain and grow our relationships with existing customers and to have them increase their usage of our Bandwidth</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the revenue that we derive from enterprises, our business, results of operations and financial condition may be adversely affected.</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currently generate a large portion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8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5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introduction of new services, the success of these upgrades may be dependent on reaching mutually acceptable terms with vendors and on vendors meeting their obligations in a timely manner.</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51" w:lineRule="exact"/>
        <w:rPr>
          <w:sz w:val="20"/>
          <w:szCs w:val="20"/>
          <w:color w:val="auto"/>
        </w:rPr>
      </w:pPr>
    </w:p>
    <w:p>
      <w:pPr>
        <w:ind w:right="180" w:firstLine="456"/>
        <w:spacing w:after="0" w:line="274" w:lineRule="auto"/>
        <w:rPr>
          <w:sz w:val="20"/>
          <w:szCs w:val="20"/>
          <w:color w:val="auto"/>
        </w:rPr>
      </w:pPr>
      <w:r>
        <w:rPr>
          <w:rFonts w:ascii="Times New Roman" w:cs="Times New Roman" w:eastAsia="Times New Roman" w:hAnsi="Times New Roman"/>
          <w:sz w:val="17"/>
          <w:szCs w:val="17"/>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7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8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pricing and billing systems are complex and errors could adversely affect our revenue and profits.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develop effective business support systems to implement customer orders and to provide and bill for services.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82"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quoting, accepting and inputting customer orders for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provisioning, installing and delivering services;</w:t>
      </w:r>
    </w:p>
    <w:p>
      <w:pPr>
        <w:spacing w:after="0" w:line="130"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services.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8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5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85"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5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is concentrated in a limited number of enterprise customers.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 is concentrated among a limited number of enterprise customers. For the twelve months ended June 30, 2017, our top ten customers accounted for 29.2% of our CPaaS revenue. If we lost one or more of our top ten customers, or, if one or more of these major customers significantly decreased orders for our services, our business would be materially and adversely affected.</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67"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8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5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and the District of Columbia.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29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Calls and/or text messages may subject us to potential risks, including liabilities or claims relating to consumer protection laws. For example, the Telephone Consumer Protection Act of 1991 (the “TCPA”) restricts telemarketing and the use of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 Proceedings before the FCC could limit our access to various network services or further increase the rates we must pay for such services. Likewise, proceedings before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increased regulation of IP-based service providers are unknown.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While the FCC has to date generally subjected IP-based service providers to less stringent regulatory oversight than traditional common carriers, the FCC has more recently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obtain and maintain permits and licenses to operate our network.</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73"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operations are subject to regulation at the national level and, often, at the state and local levels. Changes to existing regulations or rules, or the failure to regulate going forward in areas historically regulated on matters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such as network neutrality, licensing fees, environmental, health and safety, privacy, intercarrier compensation,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procure large quantities of local and toll-free numbers in the United States in desirable locations at a reasonable cost and without restriction. Our ability to procure and distribute numbers depends on factors outside of our control, such as applicable regulations, the practices of the communications carriers that provide numbers to us in certain jurisdictions, the cost of these numbers and the level of demand for new numbers. Due to their limited availability, there are certain popular area code prefixes that we may not be able to obtain in desired quantities or at all. Our inability to acquire or retain numbers for our operations would make our services, including our Bandwidth Communications Platform, less attractive to potential customers in the affected geographic areas. In addition, future growth in our customer base, together with growth in the customer bases of other providers of communications services, has increased, which increases our dependence on needing large quantities of local and toll-free numbers in desirable locations at a reasonable cost and without restriction. If we are not able to obtain or retain adequate local and toll-free numbers, our business, results of operations and financial condition could be materially adversely affected.</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5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89"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services and subject us to possible litigation.</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121"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28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6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84"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8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5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Our ability to compete effectively is dependent in large part upon the maintenance and protection of systems and software that we have developed internally, including some systems and software-based on open standards. While we have eight U.S. patents and six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9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in the ordinary course of business, and uninsured judgments or a rise in insurance premiums may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the information that content owners or distributors distribute over our network.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5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82" w:lineRule="exact"/>
        <w:rPr>
          <w:sz w:val="20"/>
          <w:szCs w:val="20"/>
          <w:color w:val="auto"/>
        </w:rPr>
      </w:pPr>
    </w:p>
    <w:p>
      <w:pPr>
        <w:ind w:left="900" w:right="32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911 calling services are different, in significant respects, from the 911 service associated with traditional wireline and wireless telephone providers and, in certain cases, with other VoIP providers.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power loss or Internet access interruption experienced by a customer, our service may be interrupted.</w:t>
      </w:r>
    </w:p>
    <w:p>
      <w:pPr>
        <w:spacing w:after="0" w:line="130"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end users may experience lower call quality than they are used to from traditional wireline or wireless telephone companies, including static, echoes and delays in transmissions.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end users may not be able to call premium-rate telephone numbers such as 1-900 numbers and 976 numbers.</w:t>
      </w:r>
    </w:p>
    <w:p>
      <w:pPr>
        <w:spacing w:after="0" w:line="22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If customers or customers’ end users do not accept the differences between our service and traditional network service providers, they may choose to remain with their current telephone service provider or may choose to return to service provided by traditional network service providers.</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customers if we experience system failures that significantly disrupt the availability and quality of the services that we provide. System failures may also cause interruptions to service delivery and the completion of other corporate functions.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89"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interruptions;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customer liability;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install new service;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employees necessary to provide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in the completion of other corporate functions such as issuing bills and the preparation of financial statements;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expensive modifications to our systems and infrastructure.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Defects or errors in our services could diminish demand for our services, harm our business and results of operations and subject us to liability.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911 services do not function properly, we may be exposed to significant liability from our users.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Certain of our IP telephony offerings, as well as the 911 solutions that we offer are subject to FCC rules governing the delivery of emergency calling services. Similar to other providers of similar IP telephony services, our 911 service are different from those associated with traditional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Access to emergency services call centers provided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Users that use our IP telephony services to a fixed address are required to manually update their location information, and failure to do so may result in dispatching of assistance to the wrong location. As a result, we could be subject to enforcement action by the FCC or other entities—possibly exposing us to significant monetary penalties, cease and desist orders, civil liability and other adverse consequences. The FCC’s rules also impose other obligations on us, such as properly recording our customers’ registered locations. Failure to comply with these requirements may result in FCC enforcement action, potential monetary penalties and other adverse consequences.</w:t>
      </w:r>
    </w:p>
    <w:p>
      <w:pPr>
        <w:spacing w:after="0" w:line="19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FCC’s rules also require that we timely report certain 911 service outages. We recently reported a 911 service outage to the FCC in their automated Network Outage Reporting System on July 25, 2017 related to a 53 minute outage event on June 26, 2017 that may have met FCC reporting thresholds. The FCC may make further inquiries regarding matters related to any reported 911 service outage. Any inquiry could result in FCC enforcement action, potential monetary penalties and other adverse consequences.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relationships with key suppliers could cause delay and additional costs.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the current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and financial health are subject to a number of economic risks.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prospectus.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9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churn rate may increase.</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A sustained and significant growth in the churn rate could have a material adverse effect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prices for certain of our services have decreased in the past and may decrease in the future, resulting in lower revenue than we anticipate.</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Market prices for certain of our services have decreased over recent years. These decreases resulted from downward market pressure and other factors including:</w:t>
      </w:r>
    </w:p>
    <w:p>
      <w:pPr>
        <w:spacing w:after="0" w:line="67" w:lineRule="exact"/>
        <w:rPr>
          <w:sz w:val="20"/>
          <w:szCs w:val="20"/>
          <w:color w:val="auto"/>
        </w:rPr>
      </w:pPr>
    </w:p>
    <w:p>
      <w:pPr>
        <w:ind w:left="900" w:right="56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network expansions, which have resulted in increased transmission capacity available for sale by us and by our competitors;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competitors have been willing to accept smaller operating margins in the short term in an attempt to increase long-term revenue.</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5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4"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Volatility in, or lack of performance of, our stock price may also affect our ability to attract and retain key personnel. Many of our key personnel are, or will soon be, vested in a substantial amount of shares of Class A 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our transition to being a public company. As a result of being a public company, we will be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liability for historic and future sales, use and similar taxes, which could adversely affect our results of operations.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8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significant U.S. federal income tax-related liabilities if certain ownership changes were to occur, and we may determine to forego certain transactions in light of such liabilities as well as the restrictions and obligations imposed by and under the Tax Sharing Agreement.</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are prohibited from taking or failing to take any action that prevents the Spin-Off from qualifying for tax-free treatment under Section 355, Section 368(a)(1)(D) and related provisions of the Code, and must generally indemnify Republic Wireless for any taxes or losses incurred by Republic Wireless (or its subsidiaries) resulting from the application of Section 355(e) of the Code to the Spin-Off as a result of subsequent actions we take or fail to take. See the section titled “Certain Relationships and Related Party Transactions—Tax Sharing Agreement” for further discussion of the Tax Sharing Agreement.</w:t>
      </w:r>
    </w:p>
    <w:p>
      <w:pPr>
        <w:spacing w:after="0" w:line="19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Any acquisitions or issuances of our stock, including pursuant to this offering, or Republic Wireless’s stock within two years after the Spin-Off are generally presumed to be part of a plan for purposes of Section 355(e) of the Code, although we or Republic Wireless may be able to rebut that presumption. In particular, we believe that the issuances pursuant to this offering are not part of a plan for purposes of Section 355(e) of the Code. However, to preserve the tax-free nature of the Spin-Off to us as well as Republic Wireless (and its subsidiaries), we might determine to forego certain other transactions that might otherwise have been advantageous. In particular, we might determine to continue to operate certain of our business operations for the foreseeable future even if a sale or discontinuance of such business might have otherwise been advantageous. Moreover, in light of the requirements of Section 355(e) of the Code, we might determine to forego share repurchases, stock issuances, certain asset dispositions and other strategic transactions for some period of time following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(the “Sarbanes-Oxley</w:t>
      </w:r>
    </w:p>
    <w:p>
      <w:pPr>
        <w:spacing w:after="0" w:line="27"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Act”), and the rules and regulations of the applicable listing standards of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9" w:lineRule="exact"/>
        <w:rPr>
          <w:sz w:val="20"/>
          <w:szCs w:val="20"/>
          <w:color w:val="auto"/>
        </w:rPr>
      </w:pPr>
    </w:p>
    <w:p>
      <w:pPr>
        <w:ind w:right="160" w:firstLine="456"/>
        <w:spacing w:after="0" w:line="252"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w:t>
      </w:r>
    </w:p>
    <w:p>
      <w:pPr>
        <w:spacing w:after="0" w:line="7" w:lineRule="exact"/>
        <w:rPr>
          <w:sz w:val="20"/>
          <w:szCs w:val="20"/>
          <w:color w:val="auto"/>
        </w:rPr>
      </w:pPr>
    </w:p>
    <w:p>
      <w:pPr>
        <w:ind w:firstLine="728"/>
        <w:spacing w:after="0" w:line="254" w:lineRule="auto"/>
        <w:tabs>
          <w:tab w:leader="none" w:pos="8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As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June 30, 2017, we carried a net $14.9 million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which could be as long as five years following the completion of this offering.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Earthquakes, hurricanes, fires, floods, power outages, terrorist attacks and other significant events could disrupt our business and ability to serve our clients.</w:t>
      </w:r>
    </w:p>
    <w:p>
      <w:pPr>
        <w:spacing w:after="0" w:line="5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have elected to avail ourselves of the JOBS Act extended accounting transition period, our financial statements may not be easily comparable to other companies.</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5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67" w:lineRule="exact"/>
        <w:rPr>
          <w:sz w:val="20"/>
          <w:szCs w:val="20"/>
          <w:color w:val="auto"/>
        </w:rPr>
      </w:pPr>
    </w:p>
    <w:p>
      <w:pPr>
        <w:ind w:left="5620" w:right="4200" w:hanging="5166"/>
        <w:spacing w:after="0" w:line="454" w:lineRule="auto"/>
        <w:tabs>
          <w:tab w:leader="none" w:pos="8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on management related to any significant increase in size after the acquisition; 36</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ongoing business and the diversion of management’s attention from the management of daily operations to management of integration activities;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fully achieve expected synergies and costs savings;</w:t>
      </w:r>
    </w:p>
    <w:p>
      <w:pPr>
        <w:spacing w:after="0" w:line="130"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or the failure of customers to order incremental services that we expect them to order;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provision services that are ordered by customers during the integration period;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integration costs than anticipated;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and retention of highly qualified, experienced employees, many of whom may be geographically dispersed.</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restrictive and financial covenants that may limit our operating flexibility.</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51"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If we were unable to comply with the restrictive and financial covenants in our credit facility, there would be a default under the terms of that agreement. As a result, any borrowings under other instruments that contain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280" w:lineRule="exact"/>
        <w:rPr>
          <w:sz w:val="20"/>
          <w:szCs w:val="20"/>
          <w:color w:val="auto"/>
        </w:rPr>
      </w:pPr>
    </w:p>
    <w:p>
      <w:pPr>
        <w:ind w:right="4360"/>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Risks Related to Our Initial Public Offering and Ownership of Our Class A Common Stock </w:t>
      </w:r>
      <w:r>
        <w:rPr>
          <w:rFonts w:ascii="Times New Roman" w:cs="Times New Roman" w:eastAsia="Times New Roman" w:hAnsi="Times New Roman"/>
          <w:sz w:val="17"/>
          <w:szCs w:val="17"/>
          <w:b w:val="1"/>
          <w:bCs w:val="1"/>
          <w:i w:val="1"/>
          <w:iCs w:val="1"/>
          <w:color w:val="auto"/>
        </w:rPr>
        <w:t>An active trading market for our Class A common stock may never develop or be sustained.</w:t>
      </w:r>
    </w:p>
    <w:p>
      <w:pPr>
        <w:spacing w:after="0" w:line="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been approved to list our Class A common stock on under the symbol “ ”.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you could lose all or part of your investment.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shares of our Class A common stock. The initial public offering price of our Class A common stock will be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93"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technology stocks;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volumes of our Class A common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or developments affecting our operations, those of our competitors or our industry more broadly;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products, services or technologies by us or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the outstanding shares of our Class A and Class B common stock after this offering will be restricted from immediate resale, but may be sold on a stock exchange in the near future. The large number of shares eligible for public sale or subject to rights requiring us to register them for public sale could depress the market price of our Class A common stock.</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sales of a large number of shares of our Class A common stock in the market</w:t>
      </w:r>
    </w:p>
    <w:p>
      <w:pPr>
        <w:spacing w:after="0" w:line="3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after this offering, and the perception that these sales could occur may also depress the market price of our Class A common stock. Based on shares of our capital stock outstanding as of June 30, 2017, we will have shares of our Class A and Class B common stock outstanding after this offering. Our</w:t>
      </w:r>
    </w:p>
    <w:p>
      <w:pPr>
        <w:spacing w:after="0" w:line="1"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executive officers, directors and the holders of substantially all of our capital stock and securities convertible into or exchangeable for our capital stock have entered into market standoff agreements with us or have entered or will enter into lock-up agreements with the underwriters under which they have agreed, subject to specific exceptions, not to sell any of our stock for 180 days following the date of this prospectus. We refer to such period as the lock-up period.</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Due to these agreements and the provisions of our investors’ rights agreement described further in the section titled “Description of Capital Stock— Registration Rights,” and subject to the provisions of Rule 144 or Rule 701, shares of our Class A and Class B common stock will be available for sale in the public market as follows:</w:t>
      </w:r>
    </w:p>
    <w:p>
      <w:pPr>
        <w:spacing w:after="0" w:line="92" w:lineRule="exact"/>
        <w:rPr>
          <w:sz w:val="20"/>
          <w:szCs w:val="20"/>
          <w:color w:val="auto"/>
        </w:rPr>
      </w:pPr>
    </w:p>
    <w:p>
      <w:pPr>
        <w:ind w:left="1440" w:hanging="986"/>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will be immediately available for sale in the public market, following conversion to Class A common</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ectPr>
          <w:pgSz w:w="11900" w:h="16838" w:orient="portrait"/>
          <w:cols w:equalWidth="0" w:num="1">
            <w:col w:w="11420"/>
          </w:cols>
          <w:pgMar w:left="240" w:top="455" w:right="239" w:bottom="1440" w:gutter="0" w:footer="0" w:header="0"/>
        </w:sectPr>
      </w:pP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on the date of this prospectus, all sale in the public market; and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Class A common stock sold in this offering will be immediately available for</w:t>
      </w:r>
    </w:p>
    <w:p>
      <w:pPr>
        <w:spacing w:after="0" w:line="357" w:lineRule="exact"/>
        <w:rPr>
          <w:sz w:val="20"/>
          <w:szCs w:val="20"/>
          <w:color w:val="auto"/>
        </w:rPr>
      </w:pPr>
    </w:p>
    <w:p>
      <w:pPr>
        <w:sectPr>
          <w:pgSz w:w="11900" w:h="16838" w:orient="portrait"/>
          <w:cols w:equalWidth="0" w:num="3">
            <w:col w:w="520" w:space="380"/>
            <w:col w:w="3140" w:space="580"/>
            <w:col w:w="6800"/>
          </w:cols>
          <w:pgMar w:left="240" w:top="455" w:right="239" w:bottom="1440" w:gutter="0" w:footer="0" w:header="0"/>
          <w:type w:val="continuous"/>
        </w:sectPr>
      </w:pPr>
    </w:p>
    <w:p>
      <w:pPr>
        <w:ind w:left="900" w:right="100" w:hanging="446"/>
        <w:spacing w:after="0" w:line="313"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181 days after the date of this prospectus, the remainder of the shares of our Class A and Class B common stock will be eligible for sale in the public market from time to time thereafter, subject in some cases to the volume and other restrictions of Rule 144, as described below.</w:t>
      </w:r>
    </w:p>
    <w:p>
      <w:pPr>
        <w:spacing w:after="0" w:line="13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stockholders owning an aggregate of up to 1,646,933 shares will be entitled, under contracts providing for registration rights,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expiration of the market standoff agreements and lock-up agreements referred to above, the shares issued upon exercise of outstanding stock options will be available for immediate resale in the United States in the open market.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those stockholders who held our capital 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Class A common stock, which is the stock we are offering in this offering, has one vote per share, and our Class B common stock has ten votes per share. Following this offering, our directors, executive officers and holders of more than 5% of our common stock, and their respective affiliates, will hold in the aggregate % of the voting power of our capital stock. Because of the ten-to-one voting ratio between our Class B and Class A common stock, the holders of our Class B common stock collectively will continue to control a majority of the combined voting power of our common stock and therefore be</w:t>
      </w:r>
    </w:p>
    <w:p>
      <w:pPr>
        <w:spacing w:after="0" w:line="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able to control all matters submitted to our stockholders for approval until .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8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David A. Morken, our Cofounder, Chief Executive Officer and Chairman, whose interests may differ from other stockholders.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Following the offering, David A. Morken, our Cofounder, Chief Executive Officer and Chairman, will control % of the combined voting power of our outstanding capital stock (or % if the underwriters exercise their option to purchase additional shares in full). As a result, Mr. Morken or his designees to our Board of Directors will have the ability to control the appointment of our management, the entering into of mergers, sales of substantially all or all of our assets and other extraordinary transactions and influence amendments to our certificate of incorporation and bylaws. So long as Mr. Morken continues to control a majority of the voting power of our outstanding capital stock, he will have the ability to control the vote in any election of directors and will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6">
              <w:r>
                <w:rPr>
                  <w:rFonts w:ascii="Times New Roman" w:cs="Times New Roman" w:eastAsia="Times New Roman" w:hAnsi="Times New Roman"/>
                  <w:sz w:val="18"/>
                  <w:szCs w:val="18"/>
                  <w:b w:val="1"/>
                  <w:bCs w:val="1"/>
                  <w:color w:val="0000EE"/>
                  <w:w w:val="97"/>
                </w:rPr>
                <w:t>Table of Contents</w:t>
              </w:r>
            </w:hyperlink>
          </w:p>
        </w:tc>
        <w:tc>
          <w:tcPr>
            <w:tcW w:w="6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511"/>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elected to take advantage of the “controlled company” exemption to the corporate governance rules for</w:t>
            </w:r>
          </w:p>
        </w:tc>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w w:val="99"/>
              </w:rPr>
              <w:t>-listed companies, which could</w:t>
            </w:r>
          </w:p>
        </w:tc>
      </w:tr>
      <w:tr>
        <w:trPr>
          <w:trHeight w:val="23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make our Class A common stock less attractive to some investors or otherwise harm our stock price.</w:t>
            </w:r>
          </w:p>
        </w:tc>
        <w:tc>
          <w:tcPr>
            <w:tcW w:w="118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24"/>
        </w:trPr>
        <w:tc>
          <w:tcPr>
            <w:tcW w:w="7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Because we qualify as a “controlled company” under the corporate governance rules for</w:t>
            </w:r>
          </w:p>
        </w:tc>
        <w:tc>
          <w:tcPr>
            <w:tcW w:w="3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-listed companies, we are not required to have a</w:t>
            </w:r>
          </w:p>
        </w:tc>
      </w:tr>
    </w:tbl>
    <w:p>
      <w:pPr>
        <w:ind w:right="60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majority of our board of directors be independent, nor are we required to have a compensation committee or an independent nominating function. Accordingly, should the interests of our controlling stockholder differ from those of other stockholders, the other stockholders may not have the same</w:t>
      </w:r>
    </w:p>
    <w:p>
      <w:pPr>
        <w:ind w:right="340"/>
        <w:spacing w:after="0" w:line="261" w:lineRule="auto"/>
        <w:rPr>
          <w:sz w:val="20"/>
          <w:szCs w:val="20"/>
          <w:color w:val="auto"/>
        </w:rPr>
      </w:pPr>
      <w:r>
        <w:rPr>
          <w:rFonts w:ascii="Times New Roman" w:cs="Times New Roman" w:eastAsia="Times New Roman" w:hAnsi="Times New Roman"/>
          <w:sz w:val="18"/>
          <w:szCs w:val="18"/>
          <w:color w:val="auto"/>
        </w:rPr>
        <w:t>protections afforded to stockholders of companies that are subject to all of the corporate governance rules for -listed companies. Our status as a controlled company could make our Class A common stock less attractive to some investors or otherwise harm our stock price.</w:t>
      </w:r>
    </w:p>
    <w:p>
      <w:pPr>
        <w:spacing w:after="0" w:line="284" w:lineRule="exact"/>
        <w:rPr>
          <w:sz w:val="20"/>
          <w:szCs w:val="20"/>
          <w:color w:val="auto"/>
        </w:rPr>
      </w:pPr>
    </w:p>
    <w:p>
      <w:pPr>
        <w:jc w:val="both"/>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trading price of our Class A common stock and trading volume could decline.</w:t>
      </w:r>
    </w:p>
    <w:p>
      <w:pPr>
        <w:spacing w:after="0" w:line="2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may cover us were to cease coverage of our company or fail to regularly publish reports on us, we could lose visibility in the financial markets, which in turn could cause the trading price of our Class A common stock or trading volume to decline.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or spend the proceeds of this offering in ways with which you may not agree or in ways which may not yield a return.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our shares of our Class A common stock by us in this offering may be used for general corporate purposes, including sales and marketing activities, including further expansion of our product development and sales and marketing organizations, repayment of indebtedness, working capital, general and administrative matters and capital expenditures. We also may use a portion of the net proceeds to acquire businesses, products, services or technologies. However, we do not have agreements or commitments for any specific acquisitions at this time. Our management will have considerable discretion in the application of the net proceeds, and you will not have the opportunity, as part of your investment decision, to assess whether the proceeds are being used appropriately. Until the net proceeds are used, they may be placed in investments that do not produce significant income or that may lose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121" w:lineRule="exact"/>
        <w:rPr>
          <w:sz w:val="20"/>
          <w:szCs w:val="20"/>
          <w:color w:val="auto"/>
        </w:rPr>
      </w:pPr>
    </w:p>
    <w:p>
      <w:pPr>
        <w:jc w:val="both"/>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initial public offering price of $ per share of Class A common stock, which is the midpoint of the price range set forth on the cover page of this prospectus, is substantially higher than the net tangible book value per share of our outstanding Class A common stock immediately after this offering.</w:t>
      </w:r>
    </w:p>
    <w:p>
      <w:pPr>
        <w:ind w:right="100"/>
        <w:spacing w:after="0" w:line="250" w:lineRule="auto"/>
        <w:rPr>
          <w:sz w:val="20"/>
          <w:szCs w:val="20"/>
          <w:color w:val="auto"/>
        </w:rPr>
      </w:pPr>
      <w:r>
        <w:rPr>
          <w:rFonts w:ascii="Times New Roman" w:cs="Times New Roman" w:eastAsia="Times New Roman" w:hAnsi="Times New Roman"/>
          <w:sz w:val="18"/>
          <w:szCs w:val="18"/>
          <w:color w:val="auto"/>
        </w:rPr>
        <w:t>Therefore, if you purchase our Class A common stock in this offering, you will incur immediate dilution of $ in the net tangible book value per share of Class A common stock from the price you paid. In addition, purchasers who bought shares of Class A common stock from us in this offering will have contributed % of the total consideration paid to us by our stockholders to purchase shares of our common stock, in exchange for acquiring approximately</w:t>
      </w:r>
    </w:p>
    <w:p>
      <w:pPr>
        <w:spacing w:after="0" w:line="1" w:lineRule="exact"/>
        <w:rPr>
          <w:sz w:val="20"/>
          <w:szCs w:val="20"/>
          <w:color w:val="auto"/>
        </w:rPr>
      </w:pPr>
    </w:p>
    <w:p>
      <w:pPr>
        <w:ind w:right="80" w:firstLine="180"/>
        <w:spacing w:after="0" w:line="261" w:lineRule="auto"/>
        <w:rPr>
          <w:sz w:val="20"/>
          <w:szCs w:val="20"/>
          <w:color w:val="auto"/>
        </w:rPr>
      </w:pPr>
      <w:r>
        <w:rPr>
          <w:rFonts w:ascii="Times New Roman" w:cs="Times New Roman" w:eastAsia="Times New Roman" w:hAnsi="Times New Roman"/>
          <w:sz w:val="18"/>
          <w:szCs w:val="18"/>
          <w:color w:val="auto"/>
        </w:rPr>
        <w:t>% of the outstanding shares of our capital stock as of , 2017 after giving effect to this offering. The exercise of outstanding stock options and the vesting of restricted stock units will result in further dilution.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46"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5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or will contain provisions which could have the effect of rendering more difficult, delaying, or preventing an acquisition deemed undesirable by our board of directors. Among other things, our amended and restated certificate of incorporation and amended and restated bylaws will include provisions:</w:t>
      </w:r>
    </w:p>
    <w:p>
      <w:pPr>
        <w:spacing w:after="0" w:line="82" w:lineRule="exact"/>
        <w:rPr>
          <w:sz w:val="20"/>
          <w:szCs w:val="20"/>
          <w:color w:val="auto"/>
        </w:rPr>
      </w:pPr>
    </w:p>
    <w:p>
      <w:pPr>
        <w:ind w:left="90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30" w:lineRule="exact"/>
        <w:rPr>
          <w:rFonts w:ascii="Times New Roman" w:cs="Times New Roman" w:eastAsia="Times New Roman" w:hAnsi="Times New Roman"/>
          <w:sz w:val="18"/>
          <w:szCs w:val="18"/>
          <w:color w:val="auto"/>
        </w:rPr>
      </w:pPr>
    </w:p>
    <w:p>
      <w:pPr>
        <w:ind w:left="900" w:right="180" w:hanging="446"/>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classified into three classes of directors with staggered three-year terms;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these statements by forward-looking words such as “believe,” “may,” “will,” “estimate,” “continue,” “anticipate,” “intend,” “could,” “would,” “project,” “plan,” “expect” or the negative or plural of these words or similar expressions. These forward-looking statements include, but are not limited to, statements concerning the following:</w:t>
      </w:r>
    </w:p>
    <w:p>
      <w:pPr>
        <w:spacing w:after="0" w:line="89" w:lineRule="exact"/>
        <w:rPr>
          <w:sz w:val="20"/>
          <w:szCs w:val="20"/>
          <w:color w:val="auto"/>
        </w:rPr>
      </w:pPr>
    </w:p>
    <w:p>
      <w:pPr>
        <w:ind w:left="900" w:right="18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participate is highly competitive, and if we do not compete effectively, our business, results of operations and financial condition could be harmed.</w:t>
      </w:r>
    </w:p>
    <w:p>
      <w:pPr>
        <w:spacing w:after="0" w:line="67"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in a cost-effective manner, then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some of our services is new and unproven, may decline or experience limited growth and is dependent in part on developers continuing to adopt our platform and use our services.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develop enhancements to our services and introduce new services that achieve market acceptance,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growth and expect our growth to continue, and if we fail to effectively manage our growth, then our business, results of operations and financial condition could be adversely affected.</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maintain and enhance our brand and increase market awareness of our company and services, then our business, results of operations and financial condition may be adversely affected.</w:t>
      </w:r>
    </w:p>
    <w:p>
      <w:pPr>
        <w:spacing w:after="0" w:line="67"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industry faces significant regulatory uncertainties and the resolution of these uncertainties could harm our business, results of operations and financial condition.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those stockholders who held our capital</w:t>
      </w:r>
    </w:p>
    <w:p>
      <w:pPr>
        <w:spacing w:after="0" w:line="27" w:lineRule="exact"/>
        <w:rPr>
          <w:sz w:val="20"/>
          <w:szCs w:val="20"/>
          <w:color w:val="auto"/>
        </w:rPr>
      </w:pPr>
    </w:p>
    <w:p>
      <w:pPr>
        <w:ind w:left="900" w:right="80"/>
        <w:spacing w:after="0" w:line="254" w:lineRule="auto"/>
        <w:rPr>
          <w:sz w:val="20"/>
          <w:szCs w:val="20"/>
          <w:color w:val="auto"/>
        </w:rPr>
      </w:pPr>
      <w:r>
        <w:rPr>
          <w:rFonts w:ascii="Times New Roman" w:cs="Times New Roman" w:eastAsia="Times New Roman" w:hAnsi="Times New Roman"/>
          <w:sz w:val="18"/>
          <w:szCs w:val="18"/>
          <w:color w:val="auto"/>
        </w:rPr>
        <w:t>stock prior to the completion of this offering, including our directors, executive officers and significant stockholders who will hold in the aggregate % of the voting power of our capital stock following the completion of this offering. This will limit or preclude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91"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included under “Risk Factors” in this prospectus.</w:t>
      </w:r>
    </w:p>
    <w:p>
      <w:pPr>
        <w:spacing w:after="0" w:line="225"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20"/>
          </w:cols>
          <w:pgMar w:left="240" w:top="45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Table of Contents</w:t>
              </w:r>
            </w:hyperlink>
          </w:p>
        </w:tc>
        <w:tc>
          <w:tcPr>
            <w:tcW w:w="67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7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80" w:type="dxa"/>
            <w:vAlign w:val="bottom"/>
          </w:tcPr>
          <w:p>
            <w:pPr>
              <w:spacing w:after="0"/>
              <w:rPr>
                <w:sz w:val="24"/>
                <w:szCs w:val="24"/>
                <w:color w:val="auto"/>
              </w:rPr>
            </w:pPr>
          </w:p>
        </w:tc>
      </w:tr>
      <w:tr>
        <w:trPr>
          <w:trHeight w:val="414"/>
        </w:trPr>
        <w:tc>
          <w:tcPr>
            <w:tcW w:w="103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to us from the sale of the shares of our Class A common stock offered by us will be approximately $</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million,</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upon the initial public offering price of $</w:t>
            </w:r>
          </w:p>
        </w:tc>
        <w:tc>
          <w:tcPr>
            <w:tcW w:w="7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per share, which is the midpoint of the price range set forth on the cover page of this prospectus, after</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deducting underwriting discounts and commissions and estimated offering expenses payable by us. If the underwriters’ over-allotment option to purchase</w:t>
      </w:r>
    </w:p>
    <w:p>
      <w:pPr>
        <w:spacing w:after="0" w:line="200" w:lineRule="exact"/>
        <w:rPr>
          <w:sz w:val="20"/>
          <w:szCs w:val="20"/>
          <w:color w:val="auto"/>
        </w:rPr>
      </w:pPr>
    </w:p>
    <w:p>
      <w:pPr>
        <w:spacing w:after="0" w:line="2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 shares in this offering is exercised in full, we estimate that our net proceeds will be approximately $ million, after deducting underwriting discounts and commissions and estimated offering expenses payable by us.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would increase (decrease) the net proceeds that we receive from this offering by approximately $ million, assuming that the number of shares offered by us, as set forth on the cover page of this prospectus,</w:t>
      </w:r>
    </w:p>
    <w:p>
      <w:pPr>
        <w:ind w:right="100"/>
        <w:spacing w:after="0" w:line="265" w:lineRule="auto"/>
        <w:rPr>
          <w:sz w:val="20"/>
          <w:szCs w:val="20"/>
          <w:color w:val="auto"/>
        </w:rPr>
      </w:pPr>
      <w:r>
        <w:rPr>
          <w:rFonts w:ascii="Times New Roman" w:cs="Times New Roman" w:eastAsia="Times New Roman" w:hAnsi="Times New Roman"/>
          <w:sz w:val="17"/>
          <w:szCs w:val="17"/>
          <w:color w:val="auto"/>
        </w:rPr>
        <w:t>remains the same and after deducting the estimated underwriting discount and estimated offering expenses payable by us. Similarly, each increase (decrease) of 1,000,000 shares in the number of shares of Class A common stock offered by us would increase (decrease) the net proceeds that we receive from this</w:t>
      </w:r>
    </w:p>
    <w:p>
      <w:pPr>
        <w:ind w:right="60"/>
        <w:spacing w:after="0" w:line="261" w:lineRule="auto"/>
        <w:rPr>
          <w:sz w:val="20"/>
          <w:szCs w:val="20"/>
          <w:color w:val="auto"/>
        </w:rPr>
      </w:pPr>
      <w:r>
        <w:rPr>
          <w:rFonts w:ascii="Times New Roman" w:cs="Times New Roman" w:eastAsia="Times New Roman" w:hAnsi="Times New Roman"/>
          <w:sz w:val="18"/>
          <w:szCs w:val="18"/>
          <w:color w:val="auto"/>
        </w:rPr>
        <w:t>offering by approximately $ million, assuming the assumed initial public offering price remains the same and after deducting the estimated underwriting discount and estimated offering expenses payable by us.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As of the date of this prospectus, we cannot specify with certainty all of the particular uses for the net proceeds to us of this offering. However, we currently intend to use the net proceeds to us from this offering primarily for general corporate purposes, including sales and marketing activities, including further expansion of our product development and sales and marketing organizations, repayment of indebtedness, working capital, general and administrative matters and capital expenditures. We may also use a portion of the net proceeds for the acquisition of, or investment in, technologies, solutions or businesses that complement our business, although we have no present commitments or agreements to enter into any acquisitions or investments. We will have broad discretion over the uses of the net proceeds in this offering. Pending these uses, we intend to invest the net proceeds from this offering in short-term, investment-grade interest-bearing securities such as money market funds, certificates of deposit, commercial paper and guaranteed obligations of the U.S. government.</w:t>
      </w:r>
    </w:p>
    <w:p>
      <w:pPr>
        <w:spacing w:after="0" w:line="18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KeyBanc Capital Markets Inc. and certain of its affiliates are lenders and/or agents under our credit facility and, to the extent proceeds from this offering are used to repay amounts outstanding thereunder, will receive a portion of the net proceeds from this offering in connection with the repayment of our credit facility. Interest for borrowings under our credit facility are determined by reference to (a) the highest of (i) the London interbank offered rate for loans in Eurodollars for a period of one month plus 1.00%, (ii) the Federal Funds Effective Rate plus 0.50% or (iii) the interest rate established by the Administrative Agent as the Administrative Agent’s prime rate plus (b) an applicable margin, which ranges from 1.25% to 1.75% per annum based on a leverage ratio. As of June 30, 2017, we had $41.5 million of outstanding indebtedness under our credit facility, consisting of $39.0 million outstanding under our term loan facility and $2.5 million outstanding under our revolving credit facility. Beginning on March 31, 2017, the term loan is payable in consecutive equal quarterly installments with the balance payable in full on November 3, 2021. See Note 7 to our consolidated financial statements included elsewhere in this prospectus for further details. The outstanding indebtedness under our credit facility was incurred for general corporate purposes and to repay existing indebtedness.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46"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any cash dividends on our capital stock. Any future determination as to the declaration and payment of dividends, if any, will be at the discretion of our board of directors and will depend on a number of factors, including our financial condition, operating results, contractual restrictions, capital requirements, business prospects and other factors our board of directors may deem relevant. In addition, the terms of our credit facility contain restrictions on our ability to declare and pay cash dividends on our capital stock.</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and our capitalization as of June 30, 2017 on:</w:t>
      </w:r>
    </w:p>
    <w:p>
      <w:pPr>
        <w:spacing w:after="0" w:line="131"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basis, giving effect to the Pre-IPO Reorganization;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giving effect to the pro forma adjustments set forth above, our receipt of the net proceeds from our sale of</w:t>
      </w:r>
    </w:p>
    <w:p>
      <w:pPr>
        <w:spacing w:after="0" w:line="27" w:lineRule="exact"/>
        <w:rPr>
          <w:sz w:val="20"/>
          <w:szCs w:val="20"/>
          <w:color w:val="auto"/>
        </w:rPr>
      </w:pPr>
    </w:p>
    <w:p>
      <w:pPr>
        <w:jc w:val="both"/>
        <w:ind w:left="900" w:right="240" w:firstLine="540"/>
        <w:spacing w:after="0" w:line="255" w:lineRule="auto"/>
        <w:rPr>
          <w:sz w:val="20"/>
          <w:szCs w:val="20"/>
          <w:color w:val="auto"/>
        </w:rPr>
      </w:pPr>
      <w:r>
        <w:rPr>
          <w:rFonts w:ascii="Times New Roman" w:cs="Times New Roman" w:eastAsia="Times New Roman" w:hAnsi="Times New Roman"/>
          <w:sz w:val="18"/>
          <w:szCs w:val="18"/>
          <w:color w:val="auto"/>
        </w:rPr>
        <w:t>shares of Class A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 and the use of proceeds to repay existing indebtedness.</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80" w:type="dxa"/>
            <w:vAlign w:val="bottom"/>
          </w:tcPr>
          <w:p>
            <w:pPr>
              <w:spacing w:after="0"/>
              <w:rPr>
                <w:sz w:val="10"/>
                <w:szCs w:val="10"/>
                <w:color w:val="auto"/>
              </w:rPr>
            </w:pPr>
          </w:p>
        </w:tc>
        <w:tc>
          <w:tcPr>
            <w:tcW w:w="94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72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 share information)</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5"/>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preferred stock; $0.001 par value; 1,200,000 shares authorized; 710,000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outstanding; no shares authorized, issued and outstanding, pro forma and pro forma as adjusted</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21,818</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5"/>
          </w:tcPr>
          <w:p>
            <w:pPr>
              <w:ind w:left="340"/>
              <w:spacing w:after="0" w:line="198" w:lineRule="exact"/>
              <w:rPr>
                <w:sz w:val="20"/>
                <w:szCs w:val="20"/>
                <w:color w:val="auto"/>
              </w:rPr>
            </w:pPr>
            <w:r>
              <w:rPr>
                <w:rFonts w:ascii="Times New Roman" w:cs="Times New Roman" w:eastAsia="Times New Roman" w:hAnsi="Times New Roman"/>
                <w:sz w:val="18"/>
                <w:szCs w:val="18"/>
                <w:color w:val="auto"/>
              </w:rPr>
              <w:t>Old Class A common stock, $0.001 par value; 8,000,000 shares authorized; 4,716,568 shares issued and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outstanding, actual; no shares authorized, issued or outstanding, pro forma and pro forma as adjusted</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gridSpan w:val="5"/>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Old Class B common stock, $0.001 par value, 1,336,510 shares authorized; 13,936 shares issued and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actual; no shares authorized, issued or outstanding, pro forma and pro forma as adjusted</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no shares authorized or issued, actual;</w:t>
            </w:r>
          </w:p>
        </w:tc>
        <w:tc>
          <w:tcPr>
            <w:tcW w:w="1940" w:type="dxa"/>
            <w:vAlign w:val="bottom"/>
            <w:gridSpan w:val="2"/>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w:t>
            </w: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shares authorized and</w:t>
            </w:r>
          </w:p>
        </w:tc>
        <w:tc>
          <w:tcPr>
            <w:tcW w:w="19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shares issued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and outstanding pro forma as adjusted</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B common stock, $0.001 par value; no shares authorized or issued, actual;</w:t>
            </w:r>
          </w:p>
        </w:tc>
        <w:tc>
          <w:tcPr>
            <w:tcW w:w="1940" w:type="dxa"/>
            <w:vAlign w:val="bottom"/>
            <w:gridSpan w:val="2"/>
            <w:shd w:val="clear" w:color="auto" w:fill="CCEEFF"/>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w:t>
            </w: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authorized and</w:t>
            </w:r>
          </w:p>
        </w:tc>
        <w:tc>
          <w:tcPr>
            <w:tcW w:w="194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shares issued</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outstanding, pro forma as adjusted</w:t>
            </w:r>
          </w:p>
        </w:tc>
        <w:tc>
          <w:tcPr>
            <w:tcW w:w="19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9,962</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(16,839)</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Total capitalization</w:t>
            </w:r>
          </w:p>
        </w:tc>
        <w:tc>
          <w:tcPr>
            <w:tcW w:w="3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46,479</w:t>
            </w:r>
          </w:p>
        </w:tc>
        <w:tc>
          <w:tcPr>
            <w:tcW w:w="940" w:type="dxa"/>
            <w:vAlign w:val="bottom"/>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48</w:t>
            </w: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40" w:firstLine="456"/>
        <w:spacing w:after="0" w:line="272" w:lineRule="auto"/>
        <w:rPr>
          <w:sz w:val="20"/>
          <w:szCs w:val="20"/>
          <w:color w:val="auto"/>
        </w:rPr>
      </w:pPr>
      <w:r>
        <w:rPr>
          <w:rFonts w:ascii="Times New Roman" w:cs="Times New Roman" w:eastAsia="Times New Roman" w:hAnsi="Times New Roman"/>
          <w:sz w:val="17"/>
          <w:szCs w:val="17"/>
          <w:color w:val="auto"/>
        </w:rPr>
        <w:t>If you invest in our Class A common stock in this offering, your ownership interest will be immediately diluted to the extent of the difference between the initial public offering price per share of our Class A common stock and the pro forma as adjusted net tangible book value per share of our Class A common stock after this offering. Dilution results from the fact that the per share offering price of the Class A common stock is substantially in excess of the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book value per share of our Class A common stock after this offering. Our pro forma net tangible book value as of June 30, 2017 was $ million, or $ per share of our Class A common stock. Pro forma net tangible book value per share represents our total tangible assets reduced by the amount of our total liabilities, divided by the total number of shares of our Class A common stock outstanding after giving effect to (i) the filing and effectiveness of our amended and restated certificate of incorporation and the effectiveness of our amended and restated bylaws, each of which will occur immediately prior to the completion of this offering and (ii) the automatic conversion of all outstanding shares of our convertible preferred stock into shares of Class B common stock immediately prior to the completion of this offering.</w:t>
      </w:r>
    </w:p>
    <w:p>
      <w:pPr>
        <w:spacing w:after="0" w:line="190"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shares of Class A common stock that we are offering at an assumed initial public offering price of $ per share, which is the midpoint of the range listed on the cover page of this prospectus, and after deducting the estimated underwriting discount and estimated</w:t>
      </w:r>
    </w:p>
    <w:p>
      <w:pPr>
        <w:ind w:right="60"/>
        <w:spacing w:after="0" w:line="250" w:lineRule="auto"/>
        <w:rPr>
          <w:sz w:val="20"/>
          <w:szCs w:val="20"/>
          <w:color w:val="auto"/>
        </w:rPr>
      </w:pPr>
      <w:r>
        <w:rPr>
          <w:rFonts w:ascii="Times New Roman" w:cs="Times New Roman" w:eastAsia="Times New Roman" w:hAnsi="Times New Roman"/>
          <w:sz w:val="18"/>
          <w:szCs w:val="18"/>
          <w:color w:val="auto"/>
        </w:rPr>
        <w:t>offering expenses payable by us, our pro forma as adjusted net tangible book value as of June 30, 2017 would have been $ million, or $ per share of Class A common stock. This amount represents an immediate increase in pro forma net tangible book value of $ per share of Class A common stock to our existing stockholders before this offering and an immediate dilution in pro forma net tangible book value of $ per share of Class A common stock to</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new investors purchasing shares of Class A common stock in this offering. We determine dilution by subtracting the pro forma as adjusted net tangible book value per share of Class A common stock after this offering from the amount of cash that a new investor paid for a share of Class A common stock. The following table illustrates this dilution, assuming the underwriters do not exercise their option to purchase additional shares of Class A common stock: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Class A common stock</w:t>
            </w:r>
          </w:p>
        </w:tc>
        <w:tc>
          <w:tcPr>
            <w:tcW w:w="3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of Class A common stock as of June 30, 2017</w:t>
            </w:r>
          </w:p>
        </w:tc>
        <w:tc>
          <w:tcPr>
            <w:tcW w:w="11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of Class A common stock attributable to new investors in this offering</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of Class A common stock immediately after this offering</w:t>
            </w:r>
          </w:p>
        </w:tc>
        <w:tc>
          <w:tcPr>
            <w:tcW w:w="1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of Class A common stock to new investors in this offering</w:t>
            </w:r>
          </w:p>
        </w:tc>
        <w:tc>
          <w:tcPr>
            <w:tcW w:w="1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 $1.00 increase or decrease in the assumed initial public offering price of $</w:t>
            </w:r>
          </w:p>
        </w:tc>
        <w:tc>
          <w:tcPr>
            <w:tcW w:w="52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per share of Class A common stock, which is the midpoint of the</w:t>
            </w:r>
          </w:p>
        </w:tc>
      </w:tr>
    </w:tbl>
    <w:p>
      <w:pPr>
        <w:ind w:right="40"/>
        <w:spacing w:after="0" w:line="250" w:lineRule="auto"/>
        <w:rPr>
          <w:sz w:val="20"/>
          <w:szCs w:val="20"/>
          <w:color w:val="auto"/>
        </w:rPr>
      </w:pPr>
      <w:r>
        <w:rPr>
          <w:rFonts w:ascii="Times New Roman" w:cs="Times New Roman" w:eastAsia="Times New Roman" w:hAnsi="Times New Roman"/>
          <w:sz w:val="18"/>
          <w:szCs w:val="18"/>
          <w:color w:val="auto"/>
        </w:rPr>
        <w:t>range listed on the cover page of this prospectus, would increase or decrease the pro forma as adjusted net tangible book value per share of Class A common stock after this offering by approximately $ , and dilution in pro forma as adjusted net tangible book value per share of Class A common stock to new investors by approximately $ , assuming that the number of shares of Class A common stock offered by us, as set forth on the cover page of this prospectus, remains the same and after deducting the estimated underwriting discount and estimated offering expenses payable by us. Similarly, each increase or decrease of 1,000,000 shares of Class A common stock in the number of shares offered by us would increase or decrease, as applicable, our pro forma as</w:t>
      </w:r>
    </w:p>
    <w:p>
      <w:pPr>
        <w:spacing w:after="0" w:line="2"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adjusted net tangible book value by $</w:t>
      </w:r>
      <w:r>
        <w:rPr>
          <w:sz w:val="20"/>
          <w:szCs w:val="20"/>
          <w:color w:val="auto"/>
        </w:rPr>
        <w:tab/>
      </w:r>
      <w:r>
        <w:rPr>
          <w:rFonts w:ascii="Times New Roman" w:cs="Times New Roman" w:eastAsia="Times New Roman" w:hAnsi="Times New Roman"/>
          <w:sz w:val="17"/>
          <w:szCs w:val="17"/>
          <w:color w:val="auto"/>
        </w:rPr>
        <w:t>per share of Class A common stock and increase or decrease, as applicable, the dilution to new investors by</w:t>
      </w:r>
    </w:p>
    <w:p>
      <w:pPr>
        <w:spacing w:after="0" w:line="9" w:lineRule="exact"/>
        <w:rPr>
          <w:sz w:val="20"/>
          <w:szCs w:val="20"/>
          <w:color w:val="auto"/>
        </w:rPr>
      </w:pPr>
    </w:p>
    <w:p>
      <w:pPr>
        <w:ind w:right="900" w:firstLine="8"/>
        <w:spacing w:after="0" w:line="261" w:lineRule="auto"/>
        <w:tabs>
          <w:tab w:leader="none" w:pos="4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assuming the assumed initial public offering price remains the same, and after deducting the estimated underwriting discount and estimated offering expenses payable by 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6" w:lineRule="auto"/>
        <w:rPr>
          <w:sz w:val="20"/>
          <w:szCs w:val="20"/>
          <w:color w:val="auto"/>
        </w:rPr>
      </w:pPr>
      <w:r>
        <w:rPr>
          <w:rFonts w:ascii="Times New Roman" w:cs="Times New Roman" w:eastAsia="Times New Roman" w:hAnsi="Times New Roman"/>
          <w:sz w:val="17"/>
          <w:szCs w:val="17"/>
          <w:color w:val="auto"/>
        </w:rPr>
        <w:t>The following table summarizes, on a pro forma basis as of June 30, 2017, the differences between the number of shares of Class A common stock purchased from us, the total consideration paid to us in cash and the average price per share that existing owners and new investors paid. The calculation</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below is based on an assumed initial public offering price of $ per share of Class A common stock, which is the midpoint of the range listed on the cover page of this prospectus, before deducting the estimated underwriting discount and estimated offering expenses payable by us.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760" w:type="dxa"/>
            <w:vAlign w:val="bottom"/>
            <w:gridSpan w:val="4"/>
            <w:vMerge w:val="restart"/>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60" w:type="dxa"/>
            <w:vAlign w:val="bottom"/>
            <w:gridSpan w:val="4"/>
            <w:vMerge w:val="continue"/>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04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Common Stock Purchased</w:t>
            </w:r>
          </w:p>
        </w:tc>
        <w:tc>
          <w:tcPr>
            <w:tcW w:w="720" w:type="dxa"/>
            <w:vAlign w:val="bottom"/>
            <w:vMerge w:val="restart"/>
          </w:tcPr>
          <w:p>
            <w:pPr>
              <w:spacing w:after="0"/>
              <w:rPr>
                <w:sz w:val="5"/>
                <w:szCs w:val="5"/>
                <w:color w:val="auto"/>
              </w:rPr>
            </w:pPr>
          </w:p>
        </w:tc>
        <w:tc>
          <w:tcPr>
            <w:tcW w:w="16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4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40" w:type="dxa"/>
            <w:vAlign w:val="bottom"/>
            <w:tcBorders>
              <w:bottom w:val="single" w:sz="8" w:color="auto"/>
            </w:tcBorders>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66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foregoing tables and calculations are based on the number of shares of our Class A common stock outstanding as of June 30, 2017 after giving effect to the Pre-IPO Reorganization, and excludes:</w:t>
      </w:r>
    </w:p>
    <w:p>
      <w:pPr>
        <w:spacing w:after="0" w:line="67" w:lineRule="exact"/>
        <w:rPr>
          <w:sz w:val="20"/>
          <w:szCs w:val="20"/>
          <w:color w:val="auto"/>
        </w:rPr>
      </w:pPr>
    </w:p>
    <w:p>
      <w:pPr>
        <w:ind w:left="900" w:right="48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1,294,969 shares of our Class A common stock issuable upon the exercise of outstanding options as of June 30, 2017 at a weighted-average exercise price of $16.75 per share;</w:t>
      </w:r>
    </w:p>
    <w:p>
      <w:pPr>
        <w:spacing w:after="0" w:line="67" w:lineRule="exact"/>
        <w:rPr>
          <w:rFonts w:ascii="Times New Roman" w:cs="Times New Roman" w:eastAsia="Times New Roman" w:hAnsi="Times New Roman"/>
          <w:sz w:val="18"/>
          <w:szCs w:val="18"/>
          <w:color w:val="auto"/>
        </w:rPr>
      </w:pPr>
    </w:p>
    <w:p>
      <w:pPr>
        <w:ind w:left="900" w:right="62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146,985 shares of our Class B common stock issuable upon the exercise of outstanding options as of June 30, 2017 at a weighted-average exercise price of $14.36 per share;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shares of our Class B common stock reserved for future issuance under our 2001 Stock Option Plan, 27,605 shares of our Class A common</w:t>
      </w:r>
    </w:p>
    <w:p>
      <w:pPr>
        <w:sectPr>
          <w:pgSz w:w="11900" w:h="16838" w:orient="portrait"/>
          <w:cols w:equalWidth="0" w:num="1">
            <w:col w:w="11420"/>
          </w:cols>
          <w:pgMar w:left="240" w:top="455" w:right="239" w:bottom="1440" w:gutter="0" w:footer="0" w:header="0"/>
        </w:sectPr>
      </w:pPr>
    </w:p>
    <w:p>
      <w:pPr>
        <w:spacing w:after="0" w:line="27" w:lineRule="exact"/>
        <w:rPr>
          <w:sz w:val="20"/>
          <w:szCs w:val="20"/>
          <w:color w:val="auto"/>
        </w:rPr>
      </w:pPr>
    </w:p>
    <w:p>
      <w:pPr>
        <w:ind w:left="900" w:right="80"/>
        <w:spacing w:after="0" w:line="261" w:lineRule="auto"/>
        <w:rPr>
          <w:sz w:val="20"/>
          <w:szCs w:val="20"/>
          <w:color w:val="auto"/>
        </w:rPr>
      </w:pPr>
      <w:r>
        <w:rPr>
          <w:rFonts w:ascii="Times New Roman" w:cs="Times New Roman" w:eastAsia="Times New Roman" w:hAnsi="Times New Roman"/>
          <w:sz w:val="18"/>
          <w:szCs w:val="18"/>
          <w:color w:val="auto"/>
        </w:rPr>
        <w:t>stock reserved for future grant or issuance under our 2010 Equity Compensation Plan and shares of our Class A common stock reserved for future grant or issuance under our 2017 Equity Compensation Plan; and</w:t>
      </w:r>
    </w:p>
    <w:p>
      <w:pPr>
        <w:sectPr>
          <w:pgSz w:w="11900" w:h="16838" w:orient="portrait"/>
          <w:cols w:equalWidth="0" w:num="1">
            <w:col w:w="11420"/>
          </w:cols>
          <w:pgMar w:left="240" w:top="455" w:right="239" w:bottom="1440" w:gutter="0" w:footer="0" w:header="0"/>
          <w:type w:val="continuous"/>
        </w:sectPr>
      </w:pPr>
    </w:p>
    <w:p>
      <w:pPr>
        <w:spacing w:after="0" w:line="85" w:lineRule="exact"/>
        <w:rPr>
          <w:sz w:val="20"/>
          <w:szCs w:val="20"/>
          <w:color w:val="auto"/>
        </w:rPr>
      </w:pPr>
    </w:p>
    <w:p>
      <w:pPr>
        <w:ind w:left="900" w:right="62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25,877 shares of our Class B common stock issuable upon the exercise of outstanding warrants as of June 30, 2017 at a weighted-average exercise price of $5.76 per share.</w:t>
      </w:r>
    </w:p>
    <w:p>
      <w:pPr>
        <w:spacing w:after="0" w:line="162"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To the extent any of these outstanding options or warrants are exercised, there will be further dilution to new investors. To the extent all of such outstanding options and warrants had been exercised as of June 30, 2017, the pro forma as adjusted net tangible book value per share of Class A common</w:t>
      </w:r>
    </w:p>
    <w:p>
      <w:pPr>
        <w:spacing w:after="0"/>
        <w:tabs>
          <w:tab w:leader="none" w:pos="3060" w:val="left"/>
          <w:tab w:leader="none" w:pos="9580" w:val="left"/>
        </w:tabs>
        <w:rPr>
          <w:sz w:val="20"/>
          <w:szCs w:val="20"/>
          <w:color w:val="auto"/>
        </w:rPr>
      </w:pPr>
      <w:r>
        <w:rPr>
          <w:rFonts w:ascii="Times New Roman" w:cs="Times New Roman" w:eastAsia="Times New Roman" w:hAnsi="Times New Roman"/>
          <w:sz w:val="18"/>
          <w:szCs w:val="18"/>
          <w:color w:val="auto"/>
        </w:rPr>
        <w:t>stock after this offering would be $</w:t>
      </w:r>
      <w:r>
        <w:rPr>
          <w:sz w:val="20"/>
          <w:szCs w:val="20"/>
          <w:color w:val="auto"/>
        </w:rPr>
        <w:tab/>
      </w:r>
      <w:r>
        <w:rPr>
          <w:rFonts w:ascii="Times New Roman" w:cs="Times New Roman" w:eastAsia="Times New Roman" w:hAnsi="Times New Roman"/>
          <w:sz w:val="18"/>
          <w:szCs w:val="18"/>
          <w:color w:val="auto"/>
        </w:rPr>
        <w:t>, and total dilution per share of Class A common stock to new investors would be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 and our new investors would own % of the total number of shares of our Class A common stock outstanding upon completion of this offering.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OTHER DATA</w:t>
      </w:r>
    </w:p>
    <w:p>
      <w:pPr>
        <w:spacing w:after="0" w:line="22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sheets as of December 31, 2015 and 2016, are derived from our audited consolidated financial statements included elsewhere in this prospectus. The consolidated statements of operations data for the six months ended June 30, 2016 and 2017 and the consolidated balance sheet data as of June 30, 2017, are derived from our unaudited consolidated financial statements included elsewhere in this prospectus. We have prepared the unaudited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our future results, and the results of operations for the six months ended June 30, 2016, are not necessarily indicative of the results to be expected for the full year or any other period. The selected consolidated financial data in this section are not intended to replace our consolidated financial statements and the related notes, and are qualified in their entirety by the consolidated financial statements and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10"/>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CPaaS revenue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101,502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117,078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56,651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36,299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18,118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9"/>
              </w:rPr>
              <w:t>137,801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152,135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74,769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CPaaS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64,760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35,379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cost of revenue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14,482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79,242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85,218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42,662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58,559</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66,917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32,107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34,602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33,859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15,672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50,597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23,897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shareholders</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20" w:type="dxa"/>
            <w:vAlign w:val="bottom"/>
            <w:gridSpan w:val="9"/>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from continuing operations attributable to participating</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w w:val="98"/>
              </w:rPr>
              <w:t>1,007</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from continuing operations per share attributable to</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4.73</w:t>
            </w:r>
          </w:p>
        </w:tc>
        <w:tc>
          <w:tcPr>
            <w:tcW w:w="42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1.42</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 from</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per share attributable to common stockholders, basic</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4,599,518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4,671,427</w:t>
            </w:r>
          </w:p>
        </w:tc>
        <w:tc>
          <w:tcPr>
            <w:tcW w:w="7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4,632,313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4,722,647</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from continuing operations per share attributable to</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4.29</w:t>
            </w:r>
          </w:p>
        </w:tc>
        <w:tc>
          <w:tcPr>
            <w:tcW w:w="420" w:type="dxa"/>
            <w:vAlign w:val="bottom"/>
          </w:tcPr>
          <w:p>
            <w:pPr>
              <w:jc w:val="center"/>
              <w:ind w:right="23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1.28</w:t>
            </w:r>
          </w:p>
        </w:tc>
        <w:tc>
          <w:tcPr>
            <w:tcW w:w="5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income from</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per share attributable to common stockholders, diluted</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4,983,138</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5,144,553</w:t>
            </w:r>
          </w:p>
        </w:tc>
        <w:tc>
          <w:tcPr>
            <w:tcW w:w="7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5,127,814</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5,190,879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$ 10,059</w:t>
            </w:r>
          </w:p>
        </w:tc>
        <w:tc>
          <w:tcPr>
            <w:tcW w:w="4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(26,972)</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10,257</w:t>
            </w:r>
          </w:p>
        </w:tc>
        <w:tc>
          <w:tcPr>
            <w:tcW w:w="420" w:type="dxa"/>
            <w:vAlign w:val="bottom"/>
          </w:tcPr>
          <w:p>
            <w:pPr>
              <w:spacing w:after="0"/>
              <w:rPr>
                <w:sz w:val="18"/>
                <w:szCs w:val="18"/>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63,146</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(19,074)</w:t>
            </w:r>
          </w:p>
        </w:tc>
        <w:tc>
          <w:tcPr>
            <w:tcW w:w="420" w:type="dxa"/>
            <w:vAlign w:val="bottom"/>
          </w:tcPr>
          <w:p>
            <w:pPr>
              <w:spacing w:after="0"/>
              <w:rPr>
                <w:sz w:val="20"/>
                <w:szCs w:val="20"/>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7"/>
              </w:rPr>
              <w:t>(22,374)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346"/>
        </w:trPr>
        <w:tc>
          <w:tcPr>
            <w:tcW w:w="528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consolidated financial statements and related notes that are included elsewhere in this prospectus.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and in other parts of this prospectus. Our fiscal year ends on December 31.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the leading cloud-based communications platform for enterprises.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8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business is organized into two segments:</w:t>
      </w:r>
    </w:p>
    <w:p>
      <w:pPr>
        <w:spacing w:after="0" w:line="22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CPaaS Segment</w:t>
      </w:r>
      <w:r>
        <w:rPr>
          <w:rFonts w:ascii="Times New Roman" w:cs="Times New Roman" w:eastAsia="Times New Roman" w:hAnsi="Times New Roman"/>
          <w:sz w:val="18"/>
          <w:szCs w:val="18"/>
          <w:color w:val="auto"/>
        </w:rPr>
        <w:t>. Our CPaaS segment includes our software-powered platform, which empowers customers with highly sophisticated yet easy-to-use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APIs to customize and scale their communications solutions rapidly and securely in a seamless manner. We define and calculate our CPaaS business as all voice and text communications services we provide customers through our software API or web-based user interfaces and our IP voice network infrastructure. For the years ended December 31, 2015 and 2016 and the six months ended June 30, 2016 and 2017, CPaaS revenue accounted for 74%, 77%, 76% and 80% of our total revenue, respectively.</w:t>
      </w:r>
    </w:p>
    <w:p>
      <w:pPr>
        <w:spacing w:after="0" w:line="180"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Other Segment</w:t>
      </w:r>
      <w:r>
        <w:rPr>
          <w:rFonts w:ascii="Times New Roman" w:cs="Times New Roman" w:eastAsia="Times New Roman" w:hAnsi="Times New Roman"/>
          <w:sz w:val="18"/>
          <w:szCs w:val="18"/>
          <w:color w:val="auto"/>
        </w:rPr>
        <w:t>. Our Other segment consists of all revenue other than that generated from our CPaaS segment. This includes our legacy services—SIP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trunking, data resale and hosted voice—which require limited resources to operate and minimal to no expected investment in the future. Our Other segment also includes revenue from the carrier access billing system, SMS registration fees and other miscellaneous product lines, which we expect will continue to generate revenue even as our legacy services revenue declines.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financial performance will be affected by our ability to grow our business, as well as the impact of seasonality from period-to-period. We believe that the growth of our business and our future success are dependent upon a number of factors, including our ability to acquire new CPaaS customers, grow our existing CPaaS customer base and make investments for growth and scale. While each of these areas presents significant opportunities for us, they also pose important challenges that we must successfully address in order to sustain the growth of our business and improve our results of operations. Our future growth and profitability will depend upon many variables, including the success of our growth strategies and the timing and size of investments and expenditures that we choose to undertake, as well as market growth and other factors that are not within our control. We expect to use the proceeds from this offering to fund these growth strategies and to continue to expand our business.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CPaaS Customers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believe that the shift from legacy communications solutions to a modern software-driven cloud-based communications platform is in its early stages. We intend to target our CPaaS solutions to large enterprises and fast-growing businesses that want to leverage our platform as a part of their service offering by continuing to invest in expanding our sales organization. We target these enterprises because they capture a substantial part of the demand for advanced communications capabilities in the United States and we believe these enterprises are likely to realize the greatest value from our enterprise-grade platform. We are also committed to supporting our expanded sales team with more robust marketing programs to improve our brand awareness.</w:t>
      </w:r>
    </w:p>
    <w:p>
      <w:pPr>
        <w:spacing w:after="0" w:line="184"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business and results of operations will depend on our ability to continue to add new enterprises as CPaaS customers. In some instances, we may acquire enterprise customers that may scale their usage of our platform rapidly and may cause fluctuations in our results of operations and financial metrics and make forecasting our future results of operations and financial metrics more difficult.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Expanding Penetration Within Our Existing CPaaS Customer Base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CPaaS customers often start with small deployments on our platform and then expand their usage significantly as they derive value from using our platform. Our business and results of operations will depend on our ability to expand our existing customers’ use of our platform services. We believe that there is a significant opportunity to drive additional sales to existing customers, and expect to invest in sales, marketing and customer support to achieve additional revenue growth from existing customers.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Future Growth</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believe that we are only beginning to penetrate our market opportunity with large enterprises, and we intend to continue to invest to grow our customer base. We expect to continue to make significant investments in R&amp;D activities, including by further developing our platform features to support new use cases. We also plan to continue to invest in operational and administrative functions to support our expected growth and our transition to a public company.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for Scale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our business grows, we plan to continue to invest in our IP voice network and platform optimization efforts. Ultimately, we expect to realize cost savings through economies of scale, but we may incur costs during phases of expansion and optimization. Historically, we have made minimal investments to maintain our network and platform. The majority of our investments for scale have been success-based capital expenditures fueled by customer demand, and we expect this to continue in the future.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455" w:right="2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Although we have not historically experienced significant seasonality with respect to our revenue throughout the year, we have seen seasonality related to the usage-based revenue from our enterprise customers. Usage from our customers is affected by the number of business days in a month. Traditionally, seasonality in the fourth quarter results in lower usage revenue due to the amount of business days and number of holidays in November and December. To the extent we experience this seasonality, it may cause fluctuations in our results of operations and financial metrics.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monitor the following KPIs to help us evaluate our business, identify trends affecting our business, formulate business plans, and make strategic decisions. We believe the following KPIs are useful in evaluating our business: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2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2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0" w:type="dxa"/>
            <w:vAlign w:val="bottom"/>
            <w:gridSpan w:val="4"/>
          </w:tcPr>
          <w:p>
            <w:pPr>
              <w:jc w:val="right"/>
              <w:ind w:right="59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active CPaaS customer accounts (as of balance sheet date)</w:t>
            </w:r>
          </w:p>
        </w:tc>
        <w:tc>
          <w:tcPr>
            <w:tcW w:w="20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704</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20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117%</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00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$18,912</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$23,470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w w:val="96"/>
              </w:rPr>
              <w:t>12,269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12,655</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0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$13,549</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$10,881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2,285</w:t>
            </w: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Number of Active CPaaS Customer Accounts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 In each of the years ended December 31, 2015 and 2016 and the six months ended June 30, 2017, revenue from active CPaaS customer accounts represented approximately 99% of total CPaaS revenue.</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20" w:firstLine="456"/>
        <w:spacing w:after="0" w:line="273" w:lineRule="auto"/>
        <w:rPr>
          <w:sz w:val="20"/>
          <w:szCs w:val="20"/>
          <w:color w:val="auto"/>
        </w:rPr>
      </w:pPr>
      <w:r>
        <w:rPr>
          <w:rFonts w:ascii="Times New Roman" w:cs="Times New Roman" w:eastAsia="Times New Roman" w:hAnsi="Times New Roman"/>
          <w:sz w:val="17"/>
          <w:szCs w:val="17"/>
          <w:color w:val="auto"/>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 For the six months ended June 30, 2017, our dollar-based net retention rate was 107%, compared to 112% in the same period in 2016. The largest driver of this decrease was a strategic decision by our company to no longer service a particular customer. For the year ended December 31, 2016, our dollar-based net retention rate was 113%, compared to 117% for the year ended December 31, 2015. This decrease was driven by the decision to lower pricing in exchange for contract extensions with certain of our key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use adjusted EBITDA and free cash flow for financial and operational decision making and as a means to evaluate period-to-period differences in our performance.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earnings or losses from continuing operations, adjusted to reflect the addition or elimination of certain income statement items including, but not limited to:</w:t>
      </w:r>
    </w:p>
    <w:p>
      <w:pPr>
        <w:spacing w:after="0" w:line="67"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(benefit);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intangible assets;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(gain) from disposal of property and equipment;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financial instruments, including any change in shareholders’ anti-dilutive arrangements.</w:t>
      </w:r>
    </w:p>
    <w:p>
      <w:pPr>
        <w:spacing w:after="0" w:line="225"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Free cash flow represents net cash provided by (used in) operating activities from continuing operations less capital expenditures. We believe that free cash flow is a useful indicator of liquidity and provides information to management and investors about the amount of cash generated from our core operations that can be used for investing in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7"/>
          <w:szCs w:val="17"/>
          <w:b w:val="1"/>
          <w:bCs w:val="1"/>
          <w:color w:val="auto"/>
        </w:rPr>
        <w:t>Acquisitions and Dispositions</w:t>
      </w:r>
    </w:p>
    <w:p>
      <w:pPr>
        <w:spacing w:after="0" w:line="129"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b w:val="1"/>
          <w:bCs w:val="1"/>
          <w:i w:val="1"/>
          <w:iCs w:val="1"/>
          <w:color w:val="auto"/>
        </w:rPr>
        <w:t>Republic Wireless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April 20, 2015, we created a wholly owned subsidiary, Republic Wireless, Inc., which was incorporated in Delaware. On November 30, 2016, we completed a pro-rata distribution of the common stock of Republic Wireless to our shareholders of record in a tax-free spin-off. In connection with the Spin-Off, we entered into a number of services agreements with Republic Wireless (the “Transition Services Agreements”). See “Certain Relationships and Related Party Transactions—Transactions with Republic Wireless.”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Dash</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February 22, 2011, we acquired substantially all of the assets of Dash Carrier Services, LLC and related entities, together a provider of 911 services, for total consideration of $21.1 million. We used substantially all of the proceeds of our only institutional equity financing to finance the acquisition. In connection with the acquisition, we recorded $6.9 million of goodwill.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derive a majority of our revenue from our CPaaS segment. For the years ended December 31, 2015 and 2016 and the six months ended June 30, 2016 and 2017 we generated 74%, 77%, 76% and 80%, respectively, of our total revenue from our CPaaS customers. We derive a portion of our CPaaS revenue from usage-based fees which includes voice calling and messaging services. For the years ended December 31, 2015 and 2016 and the six months ended June 30, 2016 and 2017 we generated 55%, 56%, 56% and 57% of our CPaaS revenue, respectively, from usage-based fees. We also earn monthly fees from services such as phone numbers and 911 access. We generated 42% of our CPaaS revenue in 2015 and 41% of our CPaaS revenue in 2016 and for the six months ended June 30, 2016 and June 30, 2017 from monthly flat fees. The remaining 2-3% of our CPaaS revenue is generated from other miscellaneous services.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Other revenue, which is composed of our legacy services and indirect revenue, generated 26%, 23%, 24% and 20% of our total revenue in the years ended December 31, 2015 and 2016 and the six months ended June 30, 2016 and 2017, respectively. This percentage is expected to continue to decline over time.</w:t>
      </w:r>
    </w:p>
    <w:p>
      <w:pPr>
        <w:spacing w:after="0" w:line="176"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Customers typically pay for usage in arrears and pay in advance for monthly recurring fees and set up fees. The majority of our customers enter into contracts which specify the product they are purchasing and the rates for each product. Customers sometimes have minimum monthly usage commitments through a specified ramp-up period. Larger customers receive volume discounts in the form of monthly tiered pricing.</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recognize accounts receivable at the time the customer is invoiced. Additionally, we record a receivable and revenue for unbilled revenue if the services have been delivered and are billable in subsequent periods. Unbilled revenue made up 47%, 44% and 46% of outstanding accounts receivable, net of allowance for doubtful accounts as of December 31, 2015, December 31, 2016 and June 30, 2017, respectively.</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maintenance of our communications network, and customer support as well as, third-party support agreements and depreciation of network equipment and amortization of internally developed software are also included in cost of revenue. Customer support expenses include expenses related to customer relations, which is work done directly with customers on the phone or via user portals to resolve questions or solve problems. We do not charge customers or generate any revenue from customers relations, and a significant percentage of our customers frequently do not utilize it.</w:t>
      </w:r>
    </w:p>
    <w:p>
      <w:pPr>
        <w:spacing w:after="0" w:line="18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R&amp;D expenses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use a portion of the net proceeds from this offering to increase our investment in R&amp;D to enhance current product offerings and develop new services.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focus our sales and marketing efforts on creating sales leads and establishing and promoting our brand. We plan to use a portion of the net proceeds from this offering to increase the investment in sales and marketing in order to expand our CPaaS customer base by growing headcount, driving our go-to-market strategies, building brand awareness, advertising and sponsoring additional marketing events.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our accounting, finance, legal, human resources and administrative support personnel and executives. General and administrative expenses also include costs related to product management and reporting, customer billing and collection functions, legal,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income tax expense and effective tax rate are impacted by the establishment or release of deferred tax asset valuation allowances. For example, in the fourth quarter of 2016, as a result of the Spin-Off, our evaluation of available positive and negative evidence resulted in a judgment that the realization of the tax benefits for deferred tax assets did meet the “more likely than not” standard and therefore we recognized a $14.1 million benefit due to the release of the deferred tax asset valuation allowance subsequent to the Spin-Off. Additionally, we have federal and state net operating loss carryforwards that expire at various dates beginning in 2035 and 2020, respectively. The federal credit carryforwards begin to expire in 2030. Our future utilization of net operating losses and credits may be limited if certain changes in ownership occur.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5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revenue</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101,502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117,078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56,651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63,194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35,057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18,118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15,957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137,801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152,135</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74,769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cost of revenue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71,218</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35,379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cost of revenue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85,218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42,662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45,860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21,272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26,047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21,057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66,917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8,520</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33,859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15,672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51,673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25,956</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15,244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52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14,336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11,094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25,430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2"/>
              </w:rPr>
              <w:t>22,358</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8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our total revenue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08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revenue</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cost of revenue</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cost of revenue</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8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p>
        </w:tc>
        <w:tc>
          <w:tcPr>
            <w:tcW w:w="1040" w:type="dxa"/>
            <w:vAlign w:val="bottom"/>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940" w:type="dxa"/>
            <w:vAlign w:val="bottom"/>
            <w:gridSpan w:val="3"/>
            <w:shd w:val="clear" w:color="auto" w:fill="CCEEFF"/>
          </w:tcPr>
          <w:p>
            <w:pPr>
              <w:jc w:val="right"/>
              <w:ind w:right="32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940" w:type="dxa"/>
            <w:vAlign w:val="bottom"/>
            <w:gridSpan w:val="3"/>
          </w:tcPr>
          <w:p>
            <w:pPr>
              <w:jc w:val="right"/>
              <w:ind w:right="32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7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2016 and 2017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CPaaS revenue</w:t>
            </w: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$56,651</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$63,194</w:t>
            </w:r>
          </w:p>
        </w:tc>
        <w:tc>
          <w:tcPr>
            <w:tcW w:w="11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$ 6,543</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15,957</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(2,161)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74,769</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79,151</w:t>
            </w:r>
          </w:p>
        </w:tc>
        <w:tc>
          <w:tcPr>
            <w:tcW w:w="11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$ 4,382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2017, total revenue increased by $4.4 million, or 6%, compared to the same period in 2016. CPaaS revenue increased by $6.5 million, or 12%, compared to the same period in 2016. As a percentage of total revenue, CPaaS revenue increased from 76% to 80% from the six months ended June 30, 2016 to June 30, 2017. The overall increase in CPaaS revenue is from an increase in usage across all services by existing customers, as well as the addition of new customers. The change in existing customer revenue was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reflected in a dollar-based net retention rate of 107%. The number of active CPaaS customer accounts increased by 14%, from 756 as of June 30, 2016, to 865 as of June 30, 2017. Voice revenue increased by $2.8 million and messaging revenue increased by $1.3 million due to growth in customer usage of voice minutes and messages, respectively, as well as higher rates compared to 2016. In addition, 911 revenue increased by $1.3 million and phone number revenue increased by $1.2 million due to growth in phone numbers used by customers, partially offset by a lower rate per phone number and 911-enabled phone numbers compared to the prior year. Other revenue decreased by $2.2 million, driven by the expected churn in legacy services and decreases in indirect revenue.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$35,379</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$37,147</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$1,768</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7,283</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6,713</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(570)</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42,662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43,860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1,198</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32,107</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35,291</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3,184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CPaaS</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2017, total cost of revenue increased by $1.2 million and total gross margin increased by 2% due to improved CPaaS gross margin. CPaaS cost of revenue increased by $1.8 million, or 5%. This increase in cost of revenue was attributable to increased customer usage, partially offset by a decline in unit costs for 911, phone numbers and voice services. CPaaS cost of revenue increases were comprised of a $0.3 million increase in network costs, a $0.4 million increase in cost of phone numbers, a $0.5 million increase in cost of messaging and a $0.4 million increase in cost of voice minutes. CPaaS gross margin increased from 38% for the six months ended June 30, 2016 to 41% for the six months ended June 30, 2017. Without taking into account the impact of depreciation of $2.3 million and $2.1 million of customer relations expenses for the six months ended June 30, 2016 and depreciation of $2.4 million and customer relations expenses of $1.7 million for the six months ended June 30, 2017, CPaaS gross margin would have been 46% and 47% for the six months ended June 30, 2016 and 2017, respectively, and total gross margin would have been 49% for both periods.</w:t>
      </w:r>
    </w:p>
    <w:p>
      <w:pPr>
        <w:spacing w:after="0" w:line="185"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Cost of Other revenue decreased by $0.6 million as the churn in legacy services drove lower overall costs from our third-party carriers. Other gross margin declined by 2% due to revenue churn and the reduction of indirect revenue.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5,091</w:t>
            </w: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4,971</w:t>
            </w: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15,672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15,894</w:t>
            </w: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23,897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25,956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2,059</w:t>
            </w:r>
          </w:p>
        </w:tc>
        <w:tc>
          <w:tcPr>
            <w:tcW w:w="3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36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six months ended June 30, 2017, research and development expenses increased by $1.3 million, or 35%, compared to the same period in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due primarily to an increase in research and development headcount and contracted development.</w:t>
      </w:r>
    </w:p>
    <w:p>
      <w:pPr>
        <w:spacing w:after="0" w:line="207"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sales and marketing expenses increased by $0.5 million, compared to the same period in 2016, also due primarily to additional headcount in the sales organization to accelerate CPaaS revenue growth.</w:t>
      </w:r>
    </w:p>
    <w:p>
      <w:pPr>
        <w:spacing w:after="0" w:line="162"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$0.2 million for the six months ended June 30, 2017 compared to the same period in 2016. This increase was due to an increase in consulting costs partially offset by billing of transition service expenses for corporate support provided to Republic Wireless under the Transition Services Agreements.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interest expense increased by $0.5 million, compared to the same period in 2016 due to increased borrowings under our credit facility that we entered into in November 2016.</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income tax expense increased by $2.7 million compared to the same period in 2016 due to the valuation allowance release in 2016 subsequent to the Spin-Off. The effective tax rate for the six months ended June 30, 2017 was 37.7% compared to 3.4% for the six months ended June 30, 2016.</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Income Taxes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loss from discontinued operations decreased by $3.0 million, compared to the same period in 2016 due to the Spin-Off which occurred on November 30,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2015 and 2016</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CPaaS revenue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$101,502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$ 117,078</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$15,576</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35,057</w:t>
            </w:r>
          </w:p>
        </w:tc>
        <w:tc>
          <w:tcPr>
            <w:tcW w:w="2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(1,242)</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152,135</w:t>
            </w: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14,334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2016, total revenue increased by $14.3 million, or 10%, compared to 2015. CPaaS revenue increased by $15.6 million, or 15% compared to the prior year. As a percentage of total revenue, CPaaS revenue increased from 74% to 77% year over year. The overall increase in CPaaS revenue was primarily due to an increase in usage of all services by existing customers, as well as the addition of new customers. The change in existing customer revenue was reflected in our dollar-based net retention rate of 113%. The number of active CPaaS customer accounts increased by 13%, from 704 as of December 31, 2015, to 798 as of December 31, 2016. Voice revenue increased by $9.3 million and messaging revenue increased by $1.1 million due to growth in customer usage. 911 revenue increased by $3.1 million and phone number revenue increased by $1.3 million due to growth in phone numbers used by customers, partially offset by lower rate per phone number and 911-enabled phone numbers compared to the prior year. Other revenue decreased by $1.2 million, or 3%, due to churn in our legacy services of $4.2 million, partially offset by a $3.0 million increase in indirect revenue.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7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CPaaS cost of revenue</w:t>
            </w:r>
          </w:p>
        </w:tc>
        <w:tc>
          <w:tcPr>
            <w:tcW w:w="3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$64,760</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$71,218</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$6,458</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 of revenue</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14,482</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14,000</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79,242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85,218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58,559</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66,917</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8,358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CPaaS</w:t>
            </w:r>
          </w:p>
        </w:tc>
        <w:tc>
          <w:tcPr>
            <w:tcW w:w="3800" w:type="dxa"/>
            <w:vAlign w:val="bottom"/>
            <w:gridSpan w:val="2"/>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margin %</w:t>
            </w:r>
          </w:p>
        </w:tc>
        <w:tc>
          <w:tcPr>
            <w:tcW w:w="3800" w:type="dxa"/>
            <w:vAlign w:val="bottom"/>
            <w:gridSpan w:val="2"/>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Total gross profit increased by $8.4 million in 2016 as compared to 2015 and total gross margin increased from 42% to 44% from 2015 to 2016. CPaaS cost of revenue increased by $6.5 million, or 10%, in 2016. All CPaaS services saw an increase in cost of revenue but the overall increase was largely driven by the cost for minutes of use, which increased by $3.4 million due to growth in minutes used by customers, partially offset by a slight decrease in the cost per minute. Network costs increased by $2.0 million and cost of messaging increased by $0.5 million. Cost of phone numbers increased by $0.4 million due to an increase in phone numbers used by customers, partially offset by decreased cost per phone number. 911 costs remained constant due to an increase 911-enabled phone numbers used by customers, partially offset by decreased cost per record. CPaaS gross margin increased from 36% for the year ended December 31, 2015 to 39% for the year ended December 31, 2016. Without taking into account the impact of depreciation of $5.2 million and customer relations expenses of $4.0 million for the year ended December 31, 2015 and depreciation of $4.5 million, stock-based compensation expenses of $0.1 million and customer relations expenses of $4.1 million for the year ended December 31, 2016, CPaaS gross margin would have been 45% and 47% for the years ended December 31, 2015 and 2016, respectively, and total gross margin would have been 49% and 50% for the same periods.</w:t>
      </w:r>
    </w:p>
    <w:p>
      <w:pPr>
        <w:spacing w:after="0" w:line="186"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Cost of Other revenue decreased by $0.5 million, which was due to a $2.1 million decrease as a result of churn in legacy services, partially offset by a $1.6 million increase in cost of indirect revenue from 2015 to 2016. Total gross margin was affected by churn and a reduction in indirect margins.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8,520</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9,294</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674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34,602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33,859</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50,597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51,673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1,076</w:t>
            </w:r>
          </w:p>
        </w:tc>
        <w:tc>
          <w:tcPr>
            <w:tcW w:w="4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R&amp;D expenses increased by $1.1 million, or 16%, compared to the year ended December 31, 2015. This increase was due primarily to increases in hosting software costs and increased headcount.</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sales and marketing expenses increased by $0.7 million, or 8%, compared to the year ended December 31, 2015 due to an overall increase in sales headcount.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for the year ended December 31, 2016, or 2%, compared to the year ended December 31, 2015 mostly due to a decrease in stock-based compensation expenses. This decrease was partially offset by increases in headcount, increases from gains on fixed asset disposals, increases in consulting fees and increased rent.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interest expense increased by $0.3 million compared to the same period in 2015 due to increased borrowings on our credit facility that we entered into in November 2016.</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2016 income tax expense decreased by $11.5 million compared to the same period in 2015 due to the release of the valuation allowance in 2016 subsequent to the Spin-Off. The effective tax rate for the year ended December 31, 2016 was (77.4)% compared to 5.5% for the year ended December 31, 2015.</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 Net of Income Tax</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loss from discontinued operations decreased by $10.6 million compared to the same period in 2015 due to the Spin-Off in December 2016.</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unaudited quarterly statements of operations data for each of the six quarters ended June 30, 2017. The information for each quarter has been prepared on a basis consistent with our audited consolidated financial statements included in this prospectus, and reflect, in the opinion of management, all adjustments of a normal, recurring nature that are necessary for a fair presentation of the financial information contained in those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20" w:type="dxa"/>
            <w:vAlign w:val="bottom"/>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Sept. 30,</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Dec. 31,</w:t>
            </w:r>
          </w:p>
        </w:tc>
        <w:tc>
          <w:tcPr>
            <w:tcW w:w="140" w:type="dxa"/>
            <w:vAlign w:val="bottom"/>
          </w:tcPr>
          <w:p>
            <w:pPr>
              <w:spacing w:after="0"/>
              <w:rPr>
                <w:sz w:val="10"/>
                <w:szCs w:val="10"/>
                <w:color w:val="auto"/>
              </w:rPr>
            </w:pP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revenue</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28,916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30,249</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$30,178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31,547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8,354</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37,830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cost of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17,220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18,159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18,197</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cost of revenue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3,317</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21,650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21,514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CPaaS gross profit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10,757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12,052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5,037</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16,180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2,390</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2,418</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12,399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12,706</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4,383</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14,508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To date, our principal sources of liquidity have been the free cash flow driven by payments received from customers using our services, as well as borrowings under our senior secured credit facility. We believe that our cash and cash equivalents balances, our credit facility and the cash flows generated by our operations will be sufficient to satisfy our anticipated cash needs for working capital and capital expenditures for at least the next 12 months.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from continuing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5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$18,651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16,942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10,553</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$ 5,080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 from continuing operations</w:t>
            </w: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 from continuing operations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23"/>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24,587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right="80" w:firstLine="456"/>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2017, cash provided by operating activities from continuing operations was $5.1 million, which primarily consisted of net income of $4.9 million, depreciation and amortization of $2.8 million, deferred taxes of $2.5 million, change in fair value of shareholders’ anti-dilutive arrangement of $0.6 million and stock-based compensation expenses of $0.5 million, partially offset by a decrease in working capital of $6.2 million.</w:t>
      </w:r>
    </w:p>
    <w:p>
      <w:pPr>
        <w:spacing w:after="0" w:line="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Working capital consisted primarily of decreases in accounts payable of $2.9 million, accrued liabilities of $2.2 million and an increase in prepaid expenses and other assets of $1.2 million.</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2016, cash provided by operating activities from continuing operations was $10.6 million, which primarily consisted of net income of $4.6 million, depreciation and amortization of $3.2 million, discontinued operations of $3.0 million and $0.9 million of stock-based compensation expenses, partially offset by a decrease in working capital of $1.3 million. Working capital consisted primarily of increases in accounts receivable of $2.5 million, deferred revenue of $1.7 million, accounts payable of $1.7 million, offset by a decrease in accrued expenses and other liabilities of $1.0 million, an increase in prepaid expenses and other assets of $0.7 million and increase in deferred costs of $0.6 million.</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2016, cash provided by operating activities from continuing operations was $16.9 million, which primarily consisted of net income of $22.4 million, depreciation and amortization of $6.1 million, $1.4 million of stock-based compensation expenses, a decrease in working capital of $5.7 million, discontinued operations of $3.1 million, and impairment of intangible asset of $0.7 million, partially offset by $11.1 million in deferred taxes. Working capital consisted primarily of increases in accounts receivable of $4.0 million, prepaid expenses of $0.8 million, deferred costs of $1.0 million and deferred revenue of $0.5 million.</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2015, cash provided by operating activities from continuing operations was $18.7 million due to net loss of $6.7 million and $13.7 million of cash provided by discontinued operations, depreciation and amortization of $7.1 million, $3.5 million of stock-based compensation expenses, loss on disposal of property and equipment of $0.4 million, deferred taxes of $0.3 million and an increase in working capital of $0.4 million. Working capital consisted of a decrease in deferred costs of $2.9 million, an increase in accounts payable of $1.0 million and a decrease in accrued expenses and other liabilities of $2.5 million, and increases in prepaid expenses of $0.6 million and accounts receivable of $0.5 million.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cash used in investing activities from continuing operations was $2.8 million from the purchase of property, plant and equipment and capitalized internally developed software costs.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cash used in investing activities from continuing operations was $3.4 million used to purchase property, plant and equipment and capitalized internally developed software costs.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cash used in investing activities from continuing operations was $6.1 million used to purchase property, plant and equipment and capitalized internally developed software costs.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2015, cash used in investing activities from continuing operations was $5.1 million used to purchase property, plant and equipment and capitalized internally developed software costs.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cash used in financing activities from continuing operations was $3.4 million consisting primarily of net repayments of $2.5 million on our line of credit and $1.0 million in payments on our term loan.</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2016, cash used in financing activities from continuing operations was $0.7 million consisting primarily of net repayments of $1.5 million on our line of credit, partially offset by $0.9 million in proceeds from issuance of common stock.</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2016, cash used in financing activities from continuing operations was $1.1 million consisting primarily of $30.0 million in cash distribution to Republic Wireless as part of the Spin-Off, net repayments of $12.0 million on our line of credit, partially offset by $40.0 million in borrowings on our term loan and $1.0 million in proceeds from issuance of common stock.</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2015, cash provided from financing activities from continuing operations was $11.0 million due to the net $11.0 million in borrowings under our line of credit.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November 4, 2016, we entered into a Credit and Security Agreement with a syndicate of four banks. The agreement includes a $40 million term loan, and a $25 million revolving loan, which includes a swing line of up to $1 million and limits letters of credit commitments to a maximum of $2.5 million. Substantially all assets of the Company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18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the Company has $39 million outstanding on the term loan and $2.5 million on the revolving loan and was in compliance with all financial covenants. The availability under the Credit and Security Agreement was $22.5 million as of June 30, 2017. Beginning on March 31, 2017, the term loan is payable in consecutive equal quarterly payment installments with the balance payable in full on the maturity date.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non-cancelable contractual obligations as of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300" w:type="dxa"/>
            <w:vAlign w:val="bottom"/>
          </w:tcPr>
          <w:p>
            <w:pPr>
              <w:spacing w:after="0"/>
              <w:rPr>
                <w:sz w:val="13"/>
                <w:szCs w:val="13"/>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to 2</w:t>
            </w:r>
          </w:p>
        </w:tc>
        <w:tc>
          <w:tcPr>
            <w:tcW w:w="100" w:type="dxa"/>
            <w:vAlign w:val="bottom"/>
          </w:tcPr>
          <w:p>
            <w:pPr>
              <w:spacing w:after="0"/>
              <w:rPr>
                <w:sz w:val="13"/>
                <w:szCs w:val="13"/>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80" w:type="dxa"/>
            <w:vAlign w:val="bottom"/>
          </w:tcPr>
          <w:p>
            <w:pPr>
              <w:spacing w:after="0"/>
              <w:rPr>
                <w:sz w:val="13"/>
                <w:szCs w:val="13"/>
                <w:color w:val="auto"/>
              </w:rPr>
            </w:pPr>
          </w:p>
        </w:tc>
        <w:tc>
          <w:tcPr>
            <w:tcW w:w="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0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2016:</w:t>
            </w:r>
          </w:p>
        </w:tc>
        <w:tc>
          <w:tcPr>
            <w:tcW w:w="2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3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$40,000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$2,000</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(1)</w:t>
            </w:r>
          </w:p>
        </w:tc>
        <w:tc>
          <w:tcPr>
            <w:tcW w:w="3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5,198</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1,224</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1,148</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(2)</w:t>
            </w:r>
          </w:p>
        </w:tc>
        <w:tc>
          <w:tcPr>
            <w:tcW w:w="3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19,933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2,992</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3,632</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36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(3)</w:t>
            </w:r>
          </w:p>
        </w:tc>
        <w:tc>
          <w:tcPr>
            <w:tcW w:w="2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1,625</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1,675</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70,996</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7,942</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9,519</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40" w:right="420" w:hanging="332"/>
        <w:spacing w:after="0" w:line="269" w:lineRule="auto"/>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has been calculated on the term loan based on an interest rate of 3.125% which was the rate in effect as of December 31, 2016. Actual cash flows may differ significantly due to changes in underlying estimates.</w:t>
      </w:r>
    </w:p>
    <w:p>
      <w:pPr>
        <w:ind w:left="340" w:hanging="332"/>
        <w:spacing w:after="0"/>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leases represent total future minimum rent payments under non-cancellable operating lease agreements.</w:t>
      </w:r>
    </w:p>
    <w:p>
      <w:pPr>
        <w:spacing w:after="0" w:line="18" w:lineRule="exact"/>
        <w:rPr>
          <w:rFonts w:ascii="Times New Roman" w:cs="Times New Roman" w:eastAsia="Times New Roman" w:hAnsi="Times New Roman"/>
          <w:sz w:val="16"/>
          <w:szCs w:val="16"/>
          <w:color w:val="auto"/>
        </w:rPr>
      </w:pPr>
    </w:p>
    <w:p>
      <w:pPr>
        <w:ind w:left="340" w:right="100" w:hanging="332"/>
        <w:spacing w:after="0" w:line="288" w:lineRule="auto"/>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represent total future minimum payments under contracts to various service providers. Purchase obligations exclude agreements that are cancellable without penalty.</w:t>
      </w:r>
    </w:p>
    <w:p>
      <w:pPr>
        <w:spacing w:after="0" w:line="16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lease office space under operating lease agreements in several locations within the United States, including our headquarters, which are located at 900 Main Campus Drive in Raleigh, NC. These operating lease agreements expires on various dates through 2022. These leases contain escalation clauses and various landlord. We recognize the total minimum lease payments on a straight-line basis over the term of the lease. On September 26, 2016, we amended the operating lease agreement for our headquarters with one of our landlords. The sixty-three month lease, began on April 14, 2017 and provided for an additional 40,657 square feet of office space, as well as an extension of the termination date of the lease for approximately 128,200 square feet of office space.</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conjunction with the Spin-Off, we entered into a Facilities Service Agreement with Republic Wireless in which it agrees to sub-lease 40,657 square feet of office space also in Raleigh, NC. The sub-lease is non-cancellable and extends to May 2022. We account for these receipts as a reduction to rent expense, which is included in operating expenses in the consolidated statements of operations. See “Certain Relationships and Related Party Transactions— Transactions with Republic Wireless—Facilities Sharing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judgments and assumptions that affect the reported amounts of assets and liabilities, disclosure of contingent assets and liabilities at the date of the consolidated financial statements and the reported amounts of revenue, costs and expenses during the reported periods. In accordance with GAAP, we base our estimates on historical experience and on various other assumptions that we believe are reasonable under the circumstance, including the terms of our existing contracts, our evaluation of trends in the industry, information provided by our clients and information available from outside sources as appropriate. Actual results may differ from those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80" w:firstLine="45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on page F-8, we believe the following accounting policies are critical to the process of making significant judgments and estimates in the preparation of our consolidated financial statements.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 (iv) 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Stock options awarded to employees, directors and non-employee third parties are measured at fair value each grant date. We consider what we believe to be comparable publicly traded companies, discounted free cash flows, and an analysis of our enterprise value in estimating the fair value of our common stock. We recognize stock-based compensation expense using Black-Scholes-Merton, net of estimated forfeitures, over the requisite service period. Options subject to service-based vesting generally vest quarterly over a four-year period.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Stock-based Compensation Grants</w:t>
      </w:r>
    </w:p>
    <w:p>
      <w:pPr>
        <w:spacing w:after="0" w:line="11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stock-based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 on Grant Dates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private company with no active public market for our common stock, and therefore we have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management’s best estimate of our business condition, prospects and operating performance at each valuation date. Within the contemporaneous valuations performed by our management, a range of factors, assumptions and methodologies were used.</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our operating and financial performance, current business conditions and the market performance of comparable publicly traded companies.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aggregate fair value of consideration transferred in a business combination, over the fair value of assets acquired, net of liabilities assumed. Goodwill is not amortized, but is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455" w:right="2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2015 and 2016 and no impairment charges were recorded. As of June 30, 2017 goodwill was $6.9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Long-lived assets, including intangible assets with definite lives, are amortized over their estimated useful lives and are reviewed for impairment if indicators of impairment arise.</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June 30, 2017, intangible assets, net of accumulated amortization, were $8.1 million, which consists primarily of client relationships and client contracts. As part of our annual evaluation of intangibles, we re-evaluated our marketing and trade name assets and concluded that there was no further benefit to a trade name acquired in the Dash acquisition. As a result, we impaired the intangible asset and recognized a loss of $695. No indicators of impairment were identified for the year ended December 31, 2015 or the six months ended June 30, 2017.</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Capitalized costs of platform and other software applications are included in property and equipment. These costs are amortized over the estimated useful life of the software on a straight-line basis over three years, which 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4"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We reduce the measurement of a deferred tax asset to the extent we believe these assets will more likely than not be realized. In making such a determination, we consider all available positive and negative evidence,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including projected future taxable income, the expected timing of future reversals of existing taxable temporary differences, projected future taxable income, prudent tax-planning strategies, and results of recent operations.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21" w:lineRule="exact"/>
        <w:rPr>
          <w:sz w:val="20"/>
          <w:szCs w:val="20"/>
          <w:color w:val="auto"/>
        </w:rPr>
      </w:pPr>
    </w:p>
    <w:p>
      <w:pPr>
        <w:ind w:right="20" w:firstLine="456"/>
        <w:spacing w:after="0" w:line="274" w:lineRule="auto"/>
        <w:rPr>
          <w:sz w:val="20"/>
          <w:szCs w:val="20"/>
          <w:color w:val="auto"/>
        </w:rPr>
      </w:pPr>
      <w:r>
        <w:rPr>
          <w:rFonts w:ascii="Times New Roman" w:cs="Times New Roman" w:eastAsia="Times New Roman" w:hAnsi="Times New Roman"/>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7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$4.6 million and $2.8 million and $2.6 million as of December 31, 2015 and 2016 and for the six months ended June 30, 2017, respectively.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w:t>
      </w:r>
    </w:p>
    <w:p>
      <w:pPr>
        <w:spacing w:after="0" w:line="119"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The effective date of ASU 2016-09 for public business entities is for fiscal years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December 15, 2016.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8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 (Topic 740)</w:t>
      </w:r>
      <w:r>
        <w:rPr>
          <w:rFonts w:ascii="Times New Roman" w:cs="Times New Roman" w:eastAsia="Times New Roman" w:hAnsi="Times New Roman"/>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We elected to early adopt ASU 2015-17 beginning with our year ended December 31, 2015.</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119"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which amends the scope of modification accounting for share-based payment arrangements. ASU 2017-09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We are evaluating the impact of this guidance on our consolidated financial statements and related disclosures.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we expect the adoption of this standard to result in an increase to the reported assets and liabilities, we have not yet determined the full impact that the adoption of this standard will have on our financial statements and related disclosures.</w:t>
      </w:r>
    </w:p>
    <w:p>
      <w:pPr>
        <w:spacing w:after="0" w:line="18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Deferral of the effective date”, </w:t>
      </w:r>
      <w:r>
        <w:rPr>
          <w:rFonts w:ascii="Times New Roman" w:cs="Times New Roman" w:eastAsia="Times New Roman" w:hAnsi="Times New Roman"/>
          <w:sz w:val="18"/>
          <w:szCs w:val="18"/>
          <w:color w:val="auto"/>
        </w:rPr>
        <w:t>which deferred by one year the effective date for the new revenue reporting standard for entities reporting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In accordance with the deferral, this guidance will be effective for us beginning January 1, 2019. This guidance can be applied either retrospectively to each period presented or as a cumulative effect adjustment as of the date of adoption. Early adoption is permitted beginning on January 1, 2017.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 Principal versus Agent Considerations (Reporting Revenue Gross versus Net)</w:t>
      </w:r>
      <w:r>
        <w:rPr>
          <w:rFonts w:ascii="Times New Roman" w:cs="Times New Roman" w:eastAsia="Times New Roman" w:hAnsi="Times New Roman"/>
          <w:sz w:val="18"/>
          <w:szCs w:val="18"/>
          <w:color w:val="auto"/>
        </w:rPr>
        <w:t>” clarifying the implementation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Identifying Performance Obligations and Licensing”</w:t>
      </w:r>
      <w:r>
        <w:rPr>
          <w:rFonts w:ascii="Times New Roman" w:cs="Times New Roman" w:eastAsia="Times New Roman" w:hAnsi="Times New Roman"/>
          <w:sz w:val="18"/>
          <w:szCs w:val="18"/>
          <w:color w:val="auto"/>
        </w:rPr>
        <w:t>, clarifying the implementation guidance on identifying performance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Times New Roman" w:cs="Times New Roman" w:eastAsia="Times New Roman" w:hAnsi="Times New Roman"/>
          <w:sz w:val="18"/>
          <w:szCs w:val="18"/>
          <w:i w:val="1"/>
          <w:iCs w:val="1"/>
          <w:color w:val="auto"/>
        </w:rPr>
        <w:t>“Revenue from Contracts with Customers, Narrow-Scope Improvements and Practical Expedients,”</w:t>
      </w:r>
      <w:r>
        <w:rPr>
          <w:rFonts w:ascii="Times New Roman" w:cs="Times New Roman" w:eastAsia="Times New Roman" w:hAnsi="Times New Roman"/>
          <w:sz w:val="18"/>
          <w:szCs w:val="18"/>
          <w:color w:val="auto"/>
        </w:rPr>
        <w:t xml:space="preserve"> clarifying guidance on assessing collectability, presentation of sales taxes, noncash consideration, completed contracts and contract modifications. The effective date and transition requirements for ASU 2016-20, ASU 2016-08 and ASU 2016-10 are the same as the effective date and transition requirements for ASU 2014-09, which will be effective for us beginning January 1, 2019.</w:t>
      </w:r>
    </w:p>
    <w:p>
      <w:pPr>
        <w:spacing w:after="0" w:line="193"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We are still assessing all potential impacts of the new standard on our consolidated financial statements. Given the comprehensive nature of the standard, we have already taken steps to identify the impact on our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consolidated financial results. We have completed a diagnostic which highlighted differences between current accounting policies and the new standard. Additionally, we have engaged a third-party service provider to assist in our evaluation of customer contracts to identify the attributes that could result in a different accounting treatment under ASU 2014-09. From an information technology perspective, we have identified the business requirements and required functionality of a new technology solution and are in the process of meeting with third-party software providers to determine which technology to implement. We have not yet reached a conclusion as to whether the quantitative effect of the adoption of the new standard on our revenue will be material. We will continue to monitor and assess the impact of the changes of the new standard and the related interpretations of its application as they become available.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exchange rates and inflation: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primary exposure to market risk relates to interest rate changes. We had cash and cash equivalents totaling $5.7 million as of June 30, 2017, which were held for working capital purposes. Our cash and cash equivalents are comprised primarily of interest bearing checking accounts.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had debt totaling $41.5 million as of June 30, 2017. Our debt is comprised of $2.5 million outstanding under our revolving line of credit account and $39 million outstanding under our term loan. The revolving line of credit had an interest rate based on the 1-month LIBOR rate plus 225 basis points as of June 30, 2017. The term loan had an interest rate based on the 3-month LIBOR rate plus 225 basis points. A one-eighth percentage point increase or decrease in the applicable rate for our credit facility (assuming the revolving portion of the credit facility is fully drawn) would have an annual impact of $0.1 million on cash interest expense.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customers consume our services primarily in the United States. Our revenue and expenses are denominated in U.S. dollars and as a result we have no foreign currency risk.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Reconciliations of the above mentioned non-GAAP financial measures to the most directly comparable GAAP financial measures are presented in the tables below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1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11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6"/>
          </w:tcPr>
          <w:p>
            <w:pPr>
              <w:jc w:val="right"/>
              <w:ind w:right="8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$ 25,430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4,936</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r>
              <w:rPr>
                <w:rFonts w:ascii="Times New Roman" w:cs="Times New Roman" w:eastAsia="Times New Roman" w:hAnsi="Times New Roman"/>
                <w:sz w:val="15"/>
                <w:szCs w:val="15"/>
                <w:color w:val="auto"/>
              </w:rPr>
              <w:t>(1)</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(11,094)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2,401</w:t>
            </w: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0" w:type="dxa"/>
            <w:vAlign w:val="bottom"/>
          </w:tcPr>
          <w:p>
            <w:pPr>
              <w:spacing w:after="0"/>
              <w:rPr>
                <w:sz w:val="18"/>
                <w:szCs w:val="18"/>
                <w:color w:val="auto"/>
              </w:rPr>
            </w:pP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shareholders’ anti-dilutive arrangement</w:t>
            </w: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18,912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$ 23,470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12,269</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12,655</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7" w:lineRule="exact"/>
        <w:rPr>
          <w:sz w:val="20"/>
          <w:szCs w:val="20"/>
          <w:color w:val="auto"/>
        </w:rPr>
      </w:pPr>
    </w:p>
    <w:p>
      <w:pPr>
        <w:ind w:left="340" w:right="140" w:hanging="332"/>
        <w:spacing w:after="0" w:line="269"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 benefit was $11,094 for the year ended December 31, 2016. This benefit was primarily the result of $14,138 of benefit being recognized due to the release of the deferred tax asset valuation allowance subsequent to the Spin-Off.</w:t>
      </w:r>
    </w:p>
    <w:p>
      <w:pPr>
        <w:ind w:left="340" w:right="380" w:hanging="332"/>
        <w:spacing w:after="0" w:line="264"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impairment of intangible assets was $695 for the year ended December 31, 2016 and was due to the Company’s evaluation that a trade name acquired during the Dash acquisition provided no further benefit.</w:t>
      </w:r>
    </w:p>
    <w:p>
      <w:pPr>
        <w:ind w:left="340" w:right="240" w:hanging="332"/>
        <w:spacing w:after="0" w:line="276" w:lineRule="auto"/>
        <w:tabs>
          <w:tab w:leader="none" w:pos="3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Change in fair value of shareholders’ anti-dilutive arrangement was $553 for the six months ended June 30, 2017 and relates to an antidilutive agreement which allows certain principal non-founder shareholders the ability to purchase additional common shares. See Note 2, </w:t>
      </w:r>
      <w:r>
        <w:rPr>
          <w:rFonts w:ascii="Times New Roman" w:cs="Times New Roman" w:eastAsia="Times New Roman" w:hAnsi="Times New Roman"/>
          <w:sz w:val="16"/>
          <w:szCs w:val="16"/>
          <w:i w:val="1"/>
          <w:iCs w:val="1"/>
          <w:color w:val="auto"/>
        </w:rPr>
        <w:t>Summary of Significant Accounting Policies, Fair Value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for further explanation.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8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8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5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5"/>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3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$18,651</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$16,942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10,553</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(3,368)</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13,549</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7,185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8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LETTER FROM THE COFOUNDER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Investors,</w:t>
      </w:r>
    </w:p>
    <w:p>
      <w:pPr>
        <w:spacing w:after="0" w:line="11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Thank you for considering investing in Bandwidth. My name is David Morken and I’m the Cofounder, Chairman and CEO of our 338-person software company based near Research Triangle Park in Raleigh, North Carolina.</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serve 865 companies that use our software platform and network to add voice calls, text messages and 911 services to their applications and devices. These creative teams spend an average of more than $150,000 each year with us. We love working with them and the feeling seems mutual—once they find us (which hasn’t always been easy) they almost never leave. You might use Bandwidth today if you use Google Voice, Microsoft Office 365 Skype for Business, Ring Central or smartphone apps like Pinger, GrubHub and ZipRecruiter.</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So why raise capital now? We believe we are entering a golden age of communications heralded by the rise of massive and accessible computing power and intelligent devices. We are honored to serve many of the leading companies who are ushering in this grand, new era. Our software, network and amazing team give companies like Google, Microsoft and others the powerful tools they need to deliver the highest quality voice, messaging and emergency services for any application, website or device. Simply put, we develop and deliver the power to communicate.</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we look forward, we believe the dramatic rise of voice as an interface for everything from search, to music, to calling smartphones will drive more demand for our services in the future than ever before. Amazon’s Alexa, Google Assistant, Apple’s Siri, Microsoft’s Cortana, and Facebook M are all examples of voice as an interface, the first new user interface since the mouse and touchscreen. And if the past is prologue, we are well-positioned to succeed in the future.</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Over the last 12 months we’ve reached several major milestones. We’ve grown our platform and network to support 52 million active phone numbers, 27 billion minutes of calls, 10 billion text messages and 8 million 911-enabled phone numbers.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milestones are consistent with our progress over the last 18 remarkable years. We’ve been fortunate to grow during economic highs and 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Founded in 1999, we survived the tech bubble and by 2007 were ranked as the 4th Fastest Growing Privately Held Company from 2002 to 2007 by the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In 2008, we built of one of the fastest growing all-IP voice networks and in 2010 were among the first to offer cloud-based business voice.</w:t>
      </w:r>
    </w:p>
    <w:p>
      <w:pPr>
        <w:spacing w:after="0" w:line="207"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In 2011, we launched Republic Wireless, a nationwide cellular smartphone service that pioneered calling and texting over Wi-Fi. We signed up over 100,000 people for service in our first week and grew Republic Wireless annual revenue to $90 million dollars in five years before spinning it out as a separate company last year.</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historically focused on growing profitably. When deploying capital, we follow the courage of our convictions but are impatient for profits. We have grown the business primarily out of profits and have raised a total of only $33.5 million of equity capital. For our early funding we relied on cofounders, friends and family. Since then, we funded one acquisition but fueled our organic growth with free cash flows.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How we work together is important to our success in the future. We define our culture with three Ps—Purpose, People and Principles. Our purpose is to accomplish our mission and it is our top priority. Second are our people, who are essential to accomplishing our mission. As a result, we invest heavily and happily in our people. We do this through our Whole Person framework: programs and policies designed to strengthen our body, mind and spirit. At the very heart of our company culture is our desire to grow from strength to strength through every season. Our third P stands for our principles. We are committed to strong principles which we define and share across the entire company. More importantly, we live by them.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you consider investing with us, please allow me to thank those who have been most responsible for our success. To our many customers and our investors, thank you! To our team, you are the best—everyone should have the opportunity to work with a group of people as talented, fun, disciplined and committed to each other and to serving customers as you are. Henry Kaestner is the greatest friend and cofounder anyone could pray for, which is exactly what I did the day before we met. We would both like to thank our amazing brides, children and parents for always supporting our business. And as we have always done, Henry and I give God the glory for our work together. We know it is only because of his providence, our team’s perspiration, and our customers’ success that we can invite you to invest in Bandwidth.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Morken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Chairman, and CEO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the leading cloud-based communications platform for enterprises.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8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customers include large enterprises, as well as small and medium-sized businesses,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Dialpad, GoDaddy, Kipsu, Rover and ZipRecruiter, among many others.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Our usage-based revenue model allows us to grow with our customers and increase our revenue base as our customers deepen their usage of our solutions. Our CPaaS customers increased use of our platform from no minutes or messages in 2008 to 27 billion minutes and 10 billion messages in the twelve months ended June 30, 2017. Our dollar-based net retention rate, which measures our customers’ increased utilization of our platform, was 117%, 113% and 107% for the year ended December 31, 2015 and 2016 and the six months ended June 30, 2017, respectively.</w:t>
      </w:r>
    </w:p>
    <w:p>
      <w:pPr>
        <w:spacing w:after="0" w:line="180"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continued growing our business in recent periods. For the years ended December 31, 2015 and 2016 and the six months ended June 30, 2017, our revenue was $137.8 million, $152.1 million and $79.2 million, respectively, and our net (loss) income was $(6.7) million, $22.4 million and $4.9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are the Heartbeat of How Enterprises Operate, Drive Growth and Innovate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Communications have reached a tipping point as enterprises are embedding mission-critical communications functions in their products and services. With the unprecedented growth of mobile technologies and connected devices that comprise the IoT, enterprises compete to provide real-time value to their customers across a myriad of devices. Enterprises seeking to effectively operate, drive growth and innovate must navigate the convergence of software-powered communications and the proliferation of mobile applications and smart devices that create a “connected” experience. For instance, providing enterprise customer support with automated real-time text-based messaging is the “new normal”. Enterprises such as Rover and ZipRecruiter provide a stream of real-time updates to their end users, and Ovum estimates 181 billion messages will be sent A2P in 2017 in the United States.</w:t>
      </w:r>
    </w:p>
    <w:p>
      <w:pPr>
        <w:spacing w:after="0" w:line="18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Additionally, voice-first user interfaces built on AI technology are becoming a natural extension of existing voice-enabled devices such as mobile phones. According to comScore, as of Q2 2017, one in two smartphone users in the United States uses voice technology on their smartphones. Of those smartphone users, 49% use it weekly and 34% use it daily. Additionally, as of March 2017, smart speakers, such as Amazon Echo or Google Home, were in 8% of connected homes in the United States. According to Gartner, by 2018, more than 2 billion people will use conversational AI to interact with VPAs, virtual customer assistants and other AI-enabled smartphones and connected devices on a regular basis. By 2019, all languages spoken in the major VPA speaker markets will be supported, increasing adoption by 25%. By 2020, more than 50% of cloud interactions in homes with VPA speakers will be conversational. Additionally, according to Gartner, enterprise use cases will start in several vertical industries over the next two to three years.</w:t>
      </w:r>
    </w:p>
    <w:p>
      <w:pPr>
        <w:spacing w:after="0" w:line="189"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Software, in the form of APIs, plays a critical role in laying the foundation of communications across core business disciplines, from product development to customer support. The reliability, security and scalability of software-powered communications are vital for enterprise success.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Enterprises Today Operate in Real-Time with Distributed Architectures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Successful enterprises today are focused on innovating their core product offerings and building a strategic advantage to reach and empower their customers. Enterprises are adopting a distributed approach in deploying cloud-based third-party software solutions. As a result, rapidly proliferating mobile technologies, big data and cloud-based software services have transformed how these enterprises can run their businesses. Additionally, organizations can customize their offerings to customers by building on top of cloud-based, out-of-the-box software APIs. Third-party, cloud-based solutions eliminate the complexity and cost of building and maintaining their own communications solution. Enterprises are empowered by software APIs, which include pre-defined functions that are easily customizable for specific use cases without the challenge and expense of building and deploying complex code.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Solutions are Still a Challenge for Enterprises</w:t>
      </w:r>
    </w:p>
    <w:p>
      <w:pPr>
        <w:spacing w:after="0" w:line="121" w:lineRule="exact"/>
        <w:rPr>
          <w:sz w:val="20"/>
          <w:szCs w:val="20"/>
          <w:color w:val="auto"/>
        </w:rPr>
      </w:pPr>
    </w:p>
    <w:p>
      <w:pPr>
        <w:ind w:right="460" w:firstLine="456"/>
        <w:spacing w:after="0" w:line="261" w:lineRule="auto"/>
        <w:rPr>
          <w:sz w:val="20"/>
          <w:szCs w:val="20"/>
          <w:color w:val="auto"/>
        </w:rPr>
      </w:pPr>
      <w:r>
        <w:rPr>
          <w:rFonts w:ascii="Times New Roman" w:cs="Times New Roman" w:eastAsia="Times New Roman" w:hAnsi="Times New Roman"/>
          <w:sz w:val="18"/>
          <w:szCs w:val="18"/>
          <w:color w:val="auto"/>
        </w:rPr>
        <w:t>Large enterprises and small and medium-sized businesses struggle to build, deploy and manage their own software-powered communications platforms. As communications have grown more sophisticated and complex, software-based APIs have become the backbone for core communications functions such as provisioning and porting phone numbers, A2P voice and messaging services, and 911 services at scale. Enterprises focus on their core businesses and lack the technical know-how or strategic flexibility to build, customize and scale these software APIs from the ground up.</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Enterprises seeking to embed end-to-end communications solutions can turn to other software-powered communications providers or traditional large-scale network providers. Neither fully addresses the complex needs of the enterprise.</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Software-powered communications providers that rely heavily on third-party networks act as “middlemen” between the enterprise and third-party network providers and cannot fulfill critical communications requirements, such as full service-level agreements, guaranteed levels of uptime and reliability and real-time visibility into network performance. Moreover, the lack of network ownership often makes them less cost-competitive and vulnerable to third-party price increases. Additionally, such software-powered communications providers address fewer use cases and do not provide a comprehensive, cloud-based end-to-end communications suite, including voice, text, 911 and phone number provisioning.</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Similarly, traditional large-scale network providers have not evolved with today’s enterprises in mind. They have heavily invested in infrastructure and hardware, but have failed to adapt to a software-first world. We believe these incumbents lack the capabilities to build robust software platforms for agile development of communications solutions. As a result, they are unable to offer their enterprise customers scalable software-based voice and text experiences in those enterprise customers’ applications and devices.</w:t>
      </w:r>
    </w:p>
    <w:p>
      <w:pPr>
        <w:spacing w:after="0" w:line="18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Enterprises require the versatility of a cloud-based software platform coupled with the reliability of a network provider to address their end-to-end communications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establish and maintain their competitive advantage, enterprises need to be able to leverage cloud-based software that enables superior communications products and experiences. Software is redefining communications, and CPaaS solutions are becoming critical to business communications. CPaaS allows enterprises to leverage the latest software-based tools without significant investments in their own communications solution or the need to maintain relationships with large-scale network providers. These solutions enable enterprises to embed voice, chat or messaging services within their business or consumer applications and, we believe, are the foundation for next-generation communications.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CPaaS market is large and rapidly growing. According to IDC, the global CPaaS market will be $8.2 billion in 2021. We focus on the CPaaS market in the United States, which comprises the majority of the market opportunity in the near term. Ovum estimates that there will be 348 billion minutes of over-the-top VoIP calls in the United States in 2017 and 742 billion in 2021. Ovum also estimates that 181 billion A2P messages will be sent in the United States in 2017 and 179 billion in 2021. Assuming our current market pricing, we estimate our addressable market of minutes of over-the-top VoIP calls and messages to be $3.3 billion for those services in 2017 and $6.2 billion in 2021, a compound annual growth rate of 17%. Market growth will be driven by enterprise demand for cloud applications and the need to integrate communications services into any workflow, customer-facing application or business process.</w:t>
      </w:r>
    </w:p>
    <w:p>
      <w:pPr>
        <w:spacing w:after="0" w:line="18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to addressing the API-driven CPaaS market, we are also disrupting network-centric telecom incumbents, which, according to IDC, together generated $1.4 trillion of revenue in 2016. Software-powered communications are displacing network-centric telecom incumbents by enabling more phone calls and messages to be generated and received within applications, and by provisioning numbers through IP voice networks.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Furthermore, we believe the rapid evolution of technologies, which is delivering new and innovative messaging and voice solutions, will bolster the need for our software-powered communications platform in a variety of new use cases:</w:t>
      </w:r>
    </w:p>
    <w:p>
      <w:pPr>
        <w:spacing w:after="0" w:line="65" w:lineRule="exact"/>
        <w:rPr>
          <w:sz w:val="20"/>
          <w:szCs w:val="20"/>
          <w:color w:val="auto"/>
        </w:rPr>
      </w:pPr>
    </w:p>
    <w:p>
      <w:pPr>
        <w:ind w:left="900" w:right="220" w:hanging="446"/>
        <w:spacing w:after="0" w:line="26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Rise of Voice as an Interface. </w:t>
      </w:r>
      <w:r>
        <w:rPr>
          <w:rFonts w:ascii="Times New Roman" w:cs="Times New Roman" w:eastAsia="Times New Roman" w:hAnsi="Times New Roman"/>
          <w:sz w:val="18"/>
          <w:szCs w:val="18"/>
          <w:color w:val="auto"/>
        </w:rPr>
        <w:t>We believe that the shift from a text-driven interface to an increasingly voice-driven interface will further expand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total addressable market. VPAs such as Amazon’s Alexa, Google’s Assistant, Microsoft’s Cortana, Apple’s Siri, and Facebook’s M are examples of the first widely adopted user interface since the keyboard, mouse and touchscreen. We believe this new interface will further drive our growth as users increasingly rely on voice to communicate, including calling, messaging or using 911 services.</w:t>
      </w:r>
    </w:p>
    <w:p>
      <w:pPr>
        <w:spacing w:after="0" w:line="85"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Integration of Voice Within Applications</w:t>
      </w:r>
      <w:r>
        <w:rPr>
          <w:rFonts w:ascii="Times New Roman" w:cs="Times New Roman" w:eastAsia="Times New Roman" w:hAnsi="Times New Roman"/>
          <w:sz w:val="18"/>
          <w:szCs w:val="18"/>
          <w:color w:val="auto"/>
        </w:rPr>
        <w:t>. Over the last decade, voice calling has migrated away from single-purpose devices such as a desk phone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smartphone to a fully integrated solution within enterprise applications such as Google Suites, Microsoft Office 365, Facebook Workplace and Slack. Enterprise users communicate and collaborate using these applications, which use software-powered communications platforms such as our Bandwidth Communications Platform to carry out the calling and messaging functionalities.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cloud-based platform is a proprietary CPaaS offering consisting of voice and messaging solutions:</w:t>
      </w:r>
    </w:p>
    <w:p>
      <w:pPr>
        <w:spacing w:after="0" w:line="11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Voice Software API. </w:t>
      </w:r>
      <w:r>
        <w:rPr>
          <w:rFonts w:ascii="Times New Roman" w:cs="Times New Roman" w:eastAsia="Times New Roman" w:hAnsi="Times New Roman"/>
          <w:sz w:val="18"/>
          <w:szCs w:val="18"/>
          <w:color w:val="auto"/>
        </w:rPr>
        <w:t>We provide flexible software APIs that are used to build voice calling within applications, innovative call flows between users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84" w:lineRule="exact"/>
        <w:rPr>
          <w:sz w:val="20"/>
          <w:szCs w:val="20"/>
          <w:color w:val="auto"/>
        </w:rPr>
      </w:pPr>
    </w:p>
    <w:p>
      <w:pPr>
        <w:ind w:left="900" w:right="60" w:hanging="446"/>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Enabling local and toll-free numbers via software API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platform empowers enterprises with a capability to activate and manage phone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numbers instantly and at scale. On our network, we have provisioned approximately 52 million active U.S. numbers, including 3 million toll-free numbers. Using our easy to use software APIs, our enterprise customers can easily add additional lines to their business as well as for their end users.</w:t>
      </w:r>
    </w:p>
    <w:p>
      <w:pPr>
        <w:spacing w:after="0" w:line="82" w:lineRule="exact"/>
        <w:rPr>
          <w:rFonts w:ascii="Times New Roman" w:cs="Times New Roman" w:eastAsia="Times New Roman" w:hAnsi="Times New Roman"/>
          <w:sz w:val="18"/>
          <w:szCs w:val="18"/>
          <w:color w:val="auto"/>
        </w:rPr>
      </w:pPr>
    </w:p>
    <w:p>
      <w:pPr>
        <w:ind w:left="900" w:right="660" w:hanging="446"/>
        <w:spacing w:after="0" w:line="28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Automating voice communication while preserving privacy</w:t>
      </w:r>
      <w:r>
        <w:rPr>
          <w:rFonts w:ascii="Times New Roman" w:cs="Times New Roman" w:eastAsia="Times New Roman" w:hAnsi="Times New Roman"/>
          <w:sz w:val="18"/>
          <w:szCs w:val="18"/>
          <w:color w:val="auto"/>
        </w:rPr>
        <w:t>: Our software APIs enable voice communication capabilities from a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to an individual or a group with or without disclosing personal identity</w:t>
      </w:r>
    </w:p>
    <w:p>
      <w:pPr>
        <w:spacing w:after="0" w:line="60" w:lineRule="exact"/>
        <w:rPr>
          <w:rFonts w:ascii="Times New Roman" w:cs="Times New Roman" w:eastAsia="Times New Roman" w:hAnsi="Times New Roman"/>
          <w:sz w:val="18"/>
          <w:szCs w:val="18"/>
          <w:color w:val="auto"/>
        </w:rPr>
      </w:pPr>
    </w:p>
    <w:p>
      <w:pPr>
        <w:ind w:left="900" w:right="160" w:hanging="446"/>
        <w:spacing w:after="0" w:line="317" w:lineRule="auto"/>
        <w:tabs>
          <w:tab w:leader="none" w:pos="9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Embedding ‘click-to-call’ communication feature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enhance our enterprise customers mobile and web marketing capabilities by embedding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click-to-call functionality in their customer outreach, including advertising campaigns that enables them to connect with consumers instantly</w:t>
      </w:r>
    </w:p>
    <w:p>
      <w:pPr>
        <w:spacing w:after="0" w:line="37" w:lineRule="exact"/>
        <w:rPr>
          <w:rFonts w:ascii="Times New Roman" w:cs="Times New Roman" w:eastAsia="Times New Roman" w:hAnsi="Times New Roman"/>
          <w:sz w:val="17"/>
          <w:szCs w:val="17"/>
          <w:color w:val="auto"/>
        </w:rPr>
      </w:pPr>
    </w:p>
    <w:p>
      <w:pPr>
        <w:ind w:left="900" w:hanging="446"/>
        <w:spacing w:after="0" w:line="268"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Real-time call analytics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our enterprise customers with real-time call analytics through our dashboard that correlates the raw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calls with CRM records, including the call duration, customer sentiment and other attributes, in order to provide meaningful contextual sales and other business insights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Messaging API. </w:t>
      </w:r>
      <w:r>
        <w:rPr>
          <w:rFonts w:ascii="Times New Roman" w:cs="Times New Roman" w:eastAsia="Times New Roman" w:hAnsi="Times New Roman"/>
          <w:sz w:val="18"/>
          <w:szCs w:val="18"/>
          <w:color w:val="auto"/>
        </w:rPr>
        <w:t>Our software APIs for messaging deliver a complete wireless experience, including: delivery receipts, SMS, MMS, long text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emoji support and bi-directional unicode (international characters) and short codes interoperability. While we provide a wide range of functionalities, some of the common use cases are:</w:t>
      </w:r>
    </w:p>
    <w:p>
      <w:pPr>
        <w:spacing w:after="0" w:line="77" w:lineRule="exact"/>
        <w:rPr>
          <w:sz w:val="20"/>
          <w:szCs w:val="20"/>
          <w:color w:val="auto"/>
        </w:rPr>
      </w:pPr>
    </w:p>
    <w:p>
      <w:pPr>
        <w:ind w:left="900" w:right="100" w:hanging="446"/>
        <w:spacing w:after="0" w:line="26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real-time notification and alerts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software APIs empower our enterprise customers with predefined functionalities to send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82" w:lineRule="exact"/>
        <w:rPr>
          <w:rFonts w:ascii="Times New Roman" w:cs="Times New Roman" w:eastAsia="Times New Roman" w:hAnsi="Times New Roman"/>
          <w:sz w:val="18"/>
          <w:szCs w:val="18"/>
          <w:color w:val="auto"/>
        </w:rPr>
      </w:pPr>
    </w:p>
    <w:p>
      <w:pPr>
        <w:ind w:left="900" w:right="440" w:hanging="446"/>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Two-factor authentication</w:t>
      </w:r>
      <w:r>
        <w:rPr>
          <w:rFonts w:ascii="Times New Roman" w:cs="Times New Roman" w:eastAsia="Times New Roman" w:hAnsi="Times New Roman"/>
          <w:sz w:val="18"/>
          <w:szCs w:val="18"/>
          <w:color w:val="auto"/>
        </w:rPr>
        <w:t>: We enable enterprises to verify the identity and maintain security of end users through our software-based SMS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verification service that sends unique codes to end users in order to log in to mobile and web applications</w:t>
      </w:r>
    </w:p>
    <w:p>
      <w:pPr>
        <w:spacing w:after="0" w:line="60" w:lineRule="exact"/>
        <w:rPr>
          <w:rFonts w:ascii="Times New Roman" w:cs="Times New Roman" w:eastAsia="Times New Roman" w:hAnsi="Times New Roman"/>
          <w:sz w:val="18"/>
          <w:szCs w:val="18"/>
          <w:color w:val="auto"/>
        </w:rPr>
      </w:pPr>
    </w:p>
    <w:p>
      <w:pPr>
        <w:ind w:left="900" w:right="240" w:hanging="446"/>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Group messaging</w:t>
      </w:r>
      <w:r>
        <w:rPr>
          <w:rFonts w:ascii="Times New Roman" w:cs="Times New Roman" w:eastAsia="Times New Roman" w:hAnsi="Times New Roman"/>
          <w:sz w:val="18"/>
          <w:szCs w:val="18"/>
          <w:color w:val="auto"/>
        </w:rPr>
        <w:t>: Enterprises utilize our platform to collaborate with their end users on a real-time basis by enabling group messaging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user community to share messages, videos, carry out polls and surveys amongst other uses without leaving the application</w:t>
      </w:r>
    </w:p>
    <w:p>
      <w:pPr>
        <w:spacing w:after="0" w:line="15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911 Software API. </w:t>
      </w:r>
      <w:r>
        <w:rPr>
          <w:rFonts w:ascii="Times New Roman" w:cs="Times New Roman" w:eastAsia="Times New Roman" w:hAnsi="Times New Roman"/>
          <w:sz w:val="18"/>
          <w:szCs w:val="18"/>
          <w:color w:val="auto"/>
        </w:rPr>
        <w:t>We are the only software platform that provides complete communications solutions with integrated 911 services. We can instantly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of Our Software Platform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Bandwidth Communications Platform provides the following benefits to the enterprises we serve:</w:t>
      </w:r>
    </w:p>
    <w:p>
      <w:pPr>
        <w:spacing w:after="0" w:line="129" w:lineRule="exact"/>
        <w:rPr>
          <w:sz w:val="20"/>
          <w:szCs w:val="20"/>
          <w:color w:val="auto"/>
        </w:rPr>
      </w:pPr>
    </w:p>
    <w:p>
      <w:pPr>
        <w:ind w:left="900" w:right="120" w:hanging="446"/>
        <w:spacing w:after="0" w:line="290" w:lineRule="auto"/>
        <w:tabs>
          <w:tab w:leader="none" w:pos="9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Easy to Build and Deploy</w:t>
      </w:r>
      <w:r>
        <w:rPr>
          <w:rFonts w:ascii="Times New Roman" w:cs="Times New Roman" w:eastAsia="Times New Roman" w:hAnsi="Times New Roman"/>
          <w:sz w:val="17"/>
          <w:szCs w:val="17"/>
          <w:color w:val="auto"/>
        </w:rPr>
        <w:t>. Our easy-to-use, intuitive software APIs are ready to launch and scale from day one. We enable enterprises to rapidly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61" w:lineRule="exact"/>
        <w:rPr>
          <w:rFonts w:ascii="Times New Roman" w:cs="Times New Roman" w:eastAsia="Times New Roman" w:hAnsi="Times New Roman"/>
          <w:sz w:val="17"/>
          <w:szCs w:val="17"/>
          <w:color w:val="auto"/>
        </w:rPr>
      </w:pPr>
    </w:p>
    <w:p>
      <w:pPr>
        <w:ind w:left="900" w:hanging="446"/>
        <w:spacing w:after="0" w:line="259"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Easy to Scale</w:t>
      </w:r>
      <w:r>
        <w:rPr>
          <w:rFonts w:ascii="Times New Roman" w:cs="Times New Roman" w:eastAsia="Times New Roman" w:hAnsi="Times New Roman"/>
          <w:sz w:val="18"/>
          <w:szCs w:val="18"/>
          <w:color w:val="auto"/>
        </w:rPr>
        <w:t>. We enable enterprises to easily scale nationwide at launch, without sacrificing quality, while meeting the most stringent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85" w:lineRule="exact"/>
        <w:rPr>
          <w:rFonts w:ascii="Times New Roman" w:cs="Times New Roman" w:eastAsia="Times New Roman" w:hAnsi="Times New Roman"/>
          <w:sz w:val="18"/>
          <w:szCs w:val="18"/>
          <w:color w:val="auto"/>
        </w:rPr>
      </w:pPr>
    </w:p>
    <w:p>
      <w:pPr>
        <w:ind w:left="900" w:right="480" w:hanging="446"/>
        <w:spacing w:after="0" w:line="267"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software APIs are easy to deploy and use and allow for the creation of solutions to address a broad array of use cases.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of Our Network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owned and managed IP voice network provides the following benefits to the enterprises we serve:</w:t>
      </w:r>
    </w:p>
    <w:p>
      <w:pPr>
        <w:spacing w:after="0" w:line="129" w:lineRule="exact"/>
        <w:rPr>
          <w:sz w:val="20"/>
          <w:szCs w:val="20"/>
          <w:color w:val="auto"/>
        </w:rPr>
      </w:pPr>
    </w:p>
    <w:p>
      <w:pPr>
        <w:ind w:left="900" w:right="360" w:hanging="446"/>
        <w:spacing w:after="0" w:line="284"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Quality and Reliability</w:t>
      </w:r>
      <w:r>
        <w:rPr>
          <w:rFonts w:ascii="Times New Roman" w:cs="Times New Roman" w:eastAsia="Times New Roman" w:hAnsi="Times New Roman"/>
          <w:sz w:val="18"/>
          <w:szCs w:val="18"/>
          <w:color w:val="auto"/>
        </w:rPr>
        <w:t>. We offer greater levels of quality and delivery assurance than providers offering services across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Internet or through partnerships. As a result, the enterprises we serve have enjoyed 99.9% network uptime since January 1, 2017.</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446"/>
        <w:spacing w:after="0" w:line="259"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Accountability. </w:t>
      </w:r>
      <w:r>
        <w:rPr>
          <w:rFonts w:ascii="Times New Roman" w:cs="Times New Roman" w:eastAsia="Times New Roman" w:hAnsi="Times New Roman"/>
          <w:sz w:val="18"/>
          <w:szCs w:val="18"/>
          <w:color w:val="auto"/>
        </w:rPr>
        <w:t>The ability to vertically integrate our software platform with our own IP voice network provides us with a differentiated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assures that we provide high quality service and gives them peace of mind and confidence in our service.</w:t>
      </w:r>
    </w:p>
    <w:p>
      <w:pPr>
        <w:spacing w:after="0" w:line="85" w:lineRule="exact"/>
        <w:rPr>
          <w:rFonts w:ascii="Times New Roman" w:cs="Times New Roman" w:eastAsia="Times New Roman" w:hAnsi="Times New Roman"/>
          <w:sz w:val="18"/>
          <w:szCs w:val="18"/>
          <w:color w:val="auto"/>
        </w:rPr>
      </w:pPr>
    </w:p>
    <w:p>
      <w:pPr>
        <w:ind w:left="900" w:right="60" w:hanging="446"/>
        <w:spacing w:after="0" w:line="26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 Total Cost to Our Customers</w:t>
      </w:r>
      <w:r>
        <w:rPr>
          <w:rFonts w:ascii="Times New Roman" w:cs="Times New Roman" w:eastAsia="Times New Roman" w:hAnsi="Times New Roman"/>
          <w:sz w:val="18"/>
          <w:szCs w:val="18"/>
          <w:color w:val="auto"/>
        </w:rPr>
        <w:t>. The differentiated pairing of our software combined with owning the delivery capability through our 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85"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Scale</w:t>
      </w:r>
      <w:r>
        <w:rPr>
          <w:rFonts w:ascii="Times New Roman" w:cs="Times New Roman" w:eastAsia="Times New Roman" w:hAnsi="Times New Roman"/>
          <w:sz w:val="18"/>
          <w:szCs w:val="18"/>
          <w:color w:val="auto"/>
        </w:rPr>
        <w:t>. At peak times, over 200,000 concurrent calls traverse our network. We have grown from zero phone numbers used by end users in 2008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52 million active numbers nationwide today, representing 7.7% of the total according to the North American Number Plan Administration. Our IP voice network supported approximately 27 billion minutes and 10 billion text messages in the twelve months ended June 30, 2017 and served approximately 8 million 911-enabled phone numbers, as of June 30, 2017.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our 18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 customer-centric solutions and track record of successful execution provide us with the following competitive strengths:</w:t>
      </w:r>
    </w:p>
    <w:p>
      <w:pPr>
        <w:spacing w:after="0" w:line="84" w:lineRule="exact"/>
        <w:rPr>
          <w:sz w:val="20"/>
          <w:szCs w:val="20"/>
          <w:color w:val="auto"/>
        </w:rPr>
      </w:pPr>
    </w:p>
    <w:p>
      <w:pPr>
        <w:ind w:left="900" w:right="60" w:hanging="446"/>
        <w:spacing w:after="0" w:line="282" w:lineRule="auto"/>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Highly Scalable Platform Built for the Enterprise. </w:t>
      </w:r>
      <w:r>
        <w:rPr>
          <w:rFonts w:ascii="Times New Roman" w:cs="Times New Roman" w:eastAsia="Times New Roman" w:hAnsi="Times New Roman"/>
          <w:sz w:val="17"/>
          <w:szCs w:val="17"/>
          <w:color w:val="auto"/>
        </w:rPr>
        <w:t>We built our Bandwidth Communications Platform from the ground up as an enterprise-grade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67" w:lineRule="exact"/>
        <w:rPr>
          <w:rFonts w:ascii="Times New Roman" w:cs="Times New Roman" w:eastAsia="Times New Roman" w:hAnsi="Times New Roman"/>
          <w:sz w:val="17"/>
          <w:szCs w:val="17"/>
          <w:color w:val="auto"/>
        </w:rPr>
      </w:pPr>
    </w:p>
    <w:p>
      <w:pPr>
        <w:jc w:val="both"/>
        <w:ind w:left="900" w:hanging="446"/>
        <w:spacing w:after="0" w:line="267"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Broadest, Most Complete Solutions in the Industry. </w:t>
      </w:r>
      <w:r>
        <w:rPr>
          <w:rFonts w:ascii="Times New Roman" w:cs="Times New Roman" w:eastAsia="Times New Roman" w:hAnsi="Times New Roman"/>
          <w:sz w:val="18"/>
          <w:szCs w:val="18"/>
          <w:color w:val="auto"/>
        </w:rPr>
        <w:t>We provide enterprises the broadest, most complete communications services solutions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through our integrated software and IP voice network. Our large library of voice and text APIs enables our customers to incorporate into their products and services a broad range of capabilities not otherwise attainable.</w:t>
      </w:r>
    </w:p>
    <w:p>
      <w:pPr>
        <w:spacing w:after="0" w:line="78" w:lineRule="exact"/>
        <w:rPr>
          <w:rFonts w:ascii="Times New Roman" w:cs="Times New Roman" w:eastAsia="Times New Roman" w:hAnsi="Times New Roman"/>
          <w:sz w:val="18"/>
          <w:szCs w:val="18"/>
          <w:color w:val="auto"/>
        </w:rPr>
      </w:pPr>
    </w:p>
    <w:p>
      <w:pPr>
        <w:ind w:left="900" w:right="40" w:hanging="446"/>
        <w:spacing w:after="0" w:line="257"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Purpose-Built IP Voice Network. </w:t>
      </w:r>
      <w:r>
        <w:rPr>
          <w:rFonts w:ascii="Times New Roman" w:cs="Times New Roman" w:eastAsia="Times New Roman" w:hAnsi="Times New Roman"/>
          <w:sz w:val="18"/>
          <w:szCs w:val="18"/>
          <w:color w:val="auto"/>
        </w:rPr>
        <w:t>Our Bandwidth Communications Platform’s IP voice network, which we own and operate nationwide, supports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 Our IP voice network supported approximately 27 billion minutes and 10 billion messages for the twelve months ended June 30, 2017 and approximately 52 million active phone numbers and 8 million 911-enabled phone numbers as of June 30, 2017.</w:t>
      </w:r>
    </w:p>
    <w:p>
      <w:pPr>
        <w:spacing w:after="0" w:line="88" w:lineRule="exact"/>
        <w:rPr>
          <w:rFonts w:ascii="Times New Roman" w:cs="Times New Roman" w:eastAsia="Times New Roman" w:hAnsi="Times New Roman"/>
          <w:sz w:val="18"/>
          <w:szCs w:val="18"/>
          <w:color w:val="auto"/>
        </w:rPr>
      </w:pPr>
    </w:p>
    <w:p>
      <w:pPr>
        <w:ind w:left="900" w:right="180" w:hanging="446"/>
        <w:spacing w:after="0" w:line="261"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Deep Experience and Expertise in Voice and Messaging. </w:t>
      </w:r>
      <w:r>
        <w:rPr>
          <w:rFonts w:ascii="Times New Roman" w:cs="Times New Roman" w:eastAsia="Times New Roman" w:hAnsi="Times New Roman"/>
          <w:sz w:val="18"/>
          <w:szCs w:val="18"/>
          <w:color w:val="auto"/>
        </w:rPr>
        <w:t>The combination of our versatile software API platform and our IP voice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allows us to offer not just best efforts, but best-in-class voice and messaging solutions for enterprises. Our senior leadership team has a combined 135 years of industry experience and an average tenure with Bandwidth of almost 10 years. Additionally, we have approximately 80 full-time software developers and engineers focused on voice and messaging, which represents approximately 25% of our employees.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60"/>
          </w:cols>
          <w:pgMar w:left="240" w:top="455" w:right="2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80" w:hanging="446"/>
        <w:spacing w:after="0" w:line="257"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Growing, Long-Term Relationships with Low Customer Churn. </w:t>
      </w:r>
      <w:r>
        <w:rPr>
          <w:rFonts w:ascii="Times New Roman" w:cs="Times New Roman" w:eastAsia="Times New Roman" w:hAnsi="Times New Roman"/>
          <w:sz w:val="18"/>
          <w:szCs w:val="18"/>
          <w:color w:val="auto"/>
        </w:rPr>
        <w:t>We deliver comprehensive solutions that address the unique and complex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since January 1, 2017, our customers have expressed a 97% satisfaction rate.</w:t>
      </w:r>
    </w:p>
    <w:p>
      <w:pPr>
        <w:spacing w:after="0" w:line="88" w:lineRule="exact"/>
        <w:rPr>
          <w:rFonts w:ascii="Times New Roman" w:cs="Times New Roman" w:eastAsia="Times New Roman" w:hAnsi="Times New Roman"/>
          <w:sz w:val="18"/>
          <w:szCs w:val="18"/>
          <w:color w:val="auto"/>
        </w:rPr>
      </w:pPr>
    </w:p>
    <w:p>
      <w:pPr>
        <w:ind w:left="900" w:right="120" w:hanging="446"/>
        <w:spacing w:after="0" w:line="261"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CPaaS-Based 911 Network Capabilities. </w:t>
      </w:r>
      <w:r>
        <w:rPr>
          <w:rFonts w:ascii="Times New Roman" w:cs="Times New Roman" w:eastAsia="Times New Roman" w:hAnsi="Times New Roman"/>
          <w:sz w:val="18"/>
          <w:szCs w:val="18"/>
          <w:color w:val="auto"/>
        </w:rPr>
        <w:t>We believe we are the only CPaaS software provider with 911 capabilities. We believe our 911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33" w:lineRule="exact"/>
        <w:rPr>
          <w:sz w:val="20"/>
          <w:szCs w:val="20"/>
          <w:color w:val="auto"/>
        </w:rPr>
      </w:pPr>
    </w:p>
    <w:p>
      <w:pPr>
        <w:jc w:val="both"/>
        <w:ind w:left="900" w:right="120" w:hanging="446"/>
        <w:spacing w:after="0" w:line="26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Our Enterprise Customer Base. </w:t>
      </w:r>
      <w:r>
        <w:rPr>
          <w:rFonts w:ascii="Times New Roman" w:cs="Times New Roman" w:eastAsia="Times New Roman" w:hAnsi="Times New Roman"/>
          <w:sz w:val="18"/>
          <w:szCs w:val="18"/>
          <w:color w:val="auto"/>
        </w:rPr>
        <w:t>Building on our strong sales and marketing efficiency foundation of 181% in 2016, we plan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and invest in our direct sales force and marketing to increase our enterprise customer base. We believe there is a substantial opportunity to increase our enterprise customer base across a broad range of industries and companies.</w:t>
      </w:r>
    </w:p>
    <w:p>
      <w:pPr>
        <w:spacing w:after="0" w:line="78" w:lineRule="exact"/>
        <w:rPr>
          <w:rFonts w:ascii="Times New Roman" w:cs="Times New Roman" w:eastAsia="Times New Roman" w:hAnsi="Times New Roman"/>
          <w:sz w:val="18"/>
          <w:szCs w:val="18"/>
          <w:color w:val="auto"/>
        </w:rPr>
      </w:pPr>
    </w:p>
    <w:p>
      <w:pPr>
        <w:ind w:left="900" w:hanging="446"/>
        <w:spacing w:after="0" w:line="26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Existing Enterprise Relationships. </w:t>
      </w:r>
      <w:r>
        <w:rPr>
          <w:rFonts w:ascii="Times New Roman" w:cs="Times New Roman" w:eastAsia="Times New Roman" w:hAnsi="Times New Roman"/>
          <w:sz w:val="18"/>
          <w:szCs w:val="18"/>
          <w:color w:val="auto"/>
        </w:rPr>
        <w:t>We will continue to expand our relationships with our existing enterprise customers.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78" w:lineRule="exact"/>
        <w:rPr>
          <w:rFonts w:ascii="Times New Roman" w:cs="Times New Roman" w:eastAsia="Times New Roman" w:hAnsi="Times New Roman"/>
          <w:sz w:val="18"/>
          <w:szCs w:val="18"/>
          <w:color w:val="auto"/>
        </w:rPr>
      </w:pPr>
    </w:p>
    <w:p>
      <w:pPr>
        <w:ind w:left="900" w:right="160" w:hanging="446"/>
        <w:spacing w:after="0" w:line="25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Innovate Our Platform. </w:t>
      </w:r>
      <w:r>
        <w:rPr>
          <w:rFonts w:ascii="Times New Roman" w:cs="Times New Roman" w:eastAsia="Times New Roman" w:hAnsi="Times New Roman"/>
          <w:sz w:val="18"/>
          <w:szCs w:val="18"/>
          <w:color w:val="auto"/>
        </w:rPr>
        <w:t>We are committed to building on our track record of leveraging our innovative product capabilities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needs, just as we have done for 18 years,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VPAs and help our enterprise customers succeed as communications technologies evolve.</w:t>
      </w:r>
    </w:p>
    <w:p>
      <w:pPr>
        <w:spacing w:after="0" w:line="88" w:lineRule="exact"/>
        <w:rPr>
          <w:rFonts w:ascii="Times New Roman" w:cs="Times New Roman" w:eastAsia="Times New Roman" w:hAnsi="Times New Roman"/>
          <w:sz w:val="18"/>
          <w:szCs w:val="18"/>
          <w:color w:val="auto"/>
        </w:rPr>
      </w:pPr>
    </w:p>
    <w:p>
      <w:pPr>
        <w:ind w:left="900" w:right="40" w:hanging="446"/>
        <w:spacing w:after="0" w:line="267"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Our Focus on Enterprise Customer Satisfaction. </w:t>
      </w:r>
      <w:r>
        <w:rPr>
          <w:rFonts w:ascii="Times New Roman" w:cs="Times New Roman" w:eastAsia="Times New Roman" w:hAnsi="Times New Roman"/>
          <w:sz w:val="18"/>
          <w:szCs w:val="18"/>
          <w:color w:val="auto"/>
        </w:rPr>
        <w:t>We intend to continue focusing on delivering world-class services and support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We have a broad and diversified customer base. We benefit from longstanding relationships with well-recognized enterprise customers, as well as small and medium-sized businesses. Our relationships with our top 20 customers average five years, with no single customer representing more than 8% of CPaaS revenue for the twelve months ended June 30, 2017, and our top ten customers accounting for less than 30% of CPaaS revenue for the same time period.</w:t>
      </w:r>
    </w:p>
    <w:p>
      <w:pPr>
        <w:spacing w:after="0" w:line="15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1" w:lineRule="auto"/>
        <w:rPr>
          <w:sz w:val="20"/>
          <w:szCs w:val="20"/>
          <w:color w:val="auto"/>
        </w:rPr>
      </w:pPr>
      <w:r>
        <w:rPr>
          <w:rFonts w:ascii="Times New Roman" w:cs="Times New Roman" w:eastAsia="Times New Roman" w:hAnsi="Times New Roman"/>
          <w:sz w:val="17"/>
          <w:szCs w:val="17"/>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ZipRecruiter</w:t>
      </w:r>
    </w:p>
    <w:p>
      <w:pPr>
        <w:spacing w:after="0" w:line="119" w:lineRule="exact"/>
        <w:rPr>
          <w:sz w:val="20"/>
          <w:szCs w:val="20"/>
          <w:color w:val="auto"/>
        </w:rPr>
      </w:pPr>
    </w:p>
    <w:p>
      <w:pPr>
        <w:ind w:right="280"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Challenge: </w:t>
      </w:r>
      <w:r>
        <w:rPr>
          <w:rFonts w:ascii="Times New Roman" w:cs="Times New Roman" w:eastAsia="Times New Roman" w:hAnsi="Times New Roman"/>
          <w:sz w:val="17"/>
          <w:szCs w:val="17"/>
          <w:color w:val="auto"/>
        </w:rPr>
        <w:t>Hiring platform, ZipRecruiter, wanted to be able to scale their new high-performing SMS Job Alerts feature, but their current provider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could not offer the right support package and price structure to fit their large user base. Being able to scale effectively and efficiently was their top priority.</w:t>
      </w:r>
    </w:p>
    <w:p>
      <w:pPr>
        <w:spacing w:after="0" w:line="135"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Solution: </w:t>
      </w:r>
      <w:r>
        <w:rPr>
          <w:rFonts w:ascii="Times New Roman" w:cs="Times New Roman" w:eastAsia="Times New Roman" w:hAnsi="Times New Roman"/>
          <w:sz w:val="18"/>
          <w:szCs w:val="18"/>
          <w:color w:val="auto"/>
        </w:rPr>
        <w:t>Bandwidth’s team worked hand-in-hand with ZipRecruiter to migrate the SMS Job Alerts feature seamlessly and scale at a much faster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fewer cost complexities, reliable APIs, high-quality message deliverability and lower cost.</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Dialpad</w:t>
      </w:r>
    </w:p>
    <w:p>
      <w:pPr>
        <w:spacing w:after="0" w:line="119"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Challenge: </w:t>
      </w:r>
      <w:r>
        <w:rPr>
          <w:rFonts w:ascii="Times New Roman" w:cs="Times New Roman" w:eastAsia="Times New Roman" w:hAnsi="Times New Roman"/>
          <w:sz w:val="18"/>
          <w:szCs w:val="18"/>
          <w:color w:val="auto"/>
        </w:rPr>
        <w:t>Dialpad’s enterprise customers need to replace on-premises private branch exchange systems, which require physical infrastructure, regular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people to manage and which tie employees to desk phones, limiting their ability to collaborate on-the-go.</w:t>
      </w:r>
    </w:p>
    <w:p>
      <w:pPr>
        <w:spacing w:after="0" w:line="158" w:lineRule="exact"/>
        <w:rPr>
          <w:sz w:val="20"/>
          <w:szCs w:val="20"/>
          <w:color w:val="auto"/>
        </w:rPr>
      </w:pPr>
    </w:p>
    <w:p>
      <w:pPr>
        <w:jc w:val="both"/>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Solution: </w:t>
      </w:r>
      <w:r>
        <w:rPr>
          <w:rFonts w:ascii="Times New Roman" w:cs="Times New Roman" w:eastAsia="Times New Roman" w:hAnsi="Times New Roman"/>
          <w:sz w:val="18"/>
          <w:szCs w:val="18"/>
          <w:color w:val="auto"/>
        </w:rPr>
        <w:t>Dialpad integrates with our Bandwidth Communications Platform to deliver high-quality voice and messaging services for today’s anywhere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employee. Fast, scalable and entirely cloud-based, Dialpad relies on us to enable enterprises to connect their employees and provide them with the freedom to work anywhere.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Rover</w:t>
      </w:r>
    </w:p>
    <w:p>
      <w:pPr>
        <w:spacing w:after="0" w:line="11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Challenge: </w:t>
      </w:r>
      <w:r>
        <w:rPr>
          <w:rFonts w:ascii="Times New Roman" w:cs="Times New Roman" w:eastAsia="Times New Roman" w:hAnsi="Times New Roman"/>
          <w:sz w:val="18"/>
          <w:szCs w:val="18"/>
          <w:color w:val="auto"/>
        </w:rPr>
        <w:t>Rover.com connects pet parents with the nation’s largest network of pet sitters and dog walkers. Through Rover, pet parents can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 and manage personalized care for their dogs, including pet sitting, dog walking, in-home dog boarding and doggy day care. Rover’s initial communication was web-based, and users were notified via email when they had a new message. Rover wanted to add SMS and voice-calling functionality but found that its communications partner lacked the volume pricing it needed to scale with growing consumer demand.</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Solution: </w:t>
      </w:r>
      <w:r>
        <w:rPr>
          <w:rFonts w:ascii="Times New Roman" w:cs="Times New Roman" w:eastAsia="Times New Roman" w:hAnsi="Times New Roman"/>
          <w:sz w:val="18"/>
          <w:szCs w:val="18"/>
          <w:color w:val="auto"/>
        </w:rPr>
        <w:t>We helped Rover to allow pet owners and sitters to communicate without disclosing their personal phone numbers. As a result, Rover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access to a sufficient quantity of phone numbers nationwide, delivered through simple and flexible software APIs. Pet owners can check in with their pet sitter and schedule an appointment by phone call or text message, and pet sitters can send picture messages of pets to owners, all using anonymous phone numbers on their own mobile phones.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Kipsu</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Challenge: </w:t>
      </w:r>
      <w:r>
        <w:rPr>
          <w:rFonts w:ascii="Times New Roman" w:cs="Times New Roman" w:eastAsia="Times New Roman" w:hAnsi="Times New Roman"/>
          <w:sz w:val="18"/>
          <w:szCs w:val="18"/>
          <w:color w:val="auto"/>
        </w:rPr>
        <w:t>Kipsu wanted to make it easier for both guests and hotel management to keep in touch throughout a guest’s visit.</w:t>
      </w:r>
    </w:p>
    <w:p>
      <w:pPr>
        <w:spacing w:after="0" w:line="225"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Solution: </w:t>
      </w:r>
      <w:r>
        <w:rPr>
          <w:rFonts w:ascii="Times New Roman" w:cs="Times New Roman" w:eastAsia="Times New Roman" w:hAnsi="Times New Roman"/>
          <w:sz w:val="18"/>
          <w:szCs w:val="18"/>
          <w:color w:val="auto"/>
        </w:rPr>
        <w:t>Kipsu chose Bandwidth’s APIs for scalable, full-featured texting that could be incorporated quickly and easily into their existing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 guests benefit from the frictionless ease of texting 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order room service, book transportation or request local restaurant recommendations. Hotels see increased engagement, and Kipsu was able to scale immediately to accommodate the needs of their major hospitality brand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84"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2017, we had 60 employees in our sales and marketing organization.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ability to compete depends in large part on our continuous commitment to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 R&amp;D expense totaled $7.4 million, $8.5 million and $5.1 million for the years ended December 31, 2015 and 2016 and the six months ended June 30, 2017,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CPaaS market is rapidly evolving and increasingly competitive. We believe that the principal competitive factors in our market are:</w:t>
      </w:r>
    </w:p>
    <w:p>
      <w:pPr>
        <w:spacing w:after="0" w:line="131" w:lineRule="exact"/>
        <w:rPr>
          <w:sz w:val="20"/>
          <w:szCs w:val="20"/>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scalability, reliability and performance;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control and quality;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offering;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and programmability;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measurable value and savings;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deploying and using our service offerings;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and marketing efforts;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credibility with product executives and developers.</w:t>
      </w:r>
    </w:p>
    <w:p>
      <w:pPr>
        <w:spacing w:after="0" w:line="22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based on the factors listed above and believe that none of our competitors currently competes directly with us across all our product offerings.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competitors fall into two primary categories:</w:t>
      </w:r>
    </w:p>
    <w:p>
      <w:pPr>
        <w:spacing w:after="0" w:line="131" w:lineRule="exact"/>
        <w:rPr>
          <w:sz w:val="20"/>
          <w:szCs w:val="20"/>
          <w:color w:val="auto"/>
        </w:rPr>
      </w:pPr>
    </w:p>
    <w:p>
      <w:pPr>
        <w:ind w:left="900" w:right="180" w:hanging="446"/>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CPaaS companies, such as Twilio and Nexmo, that offer a narrower set of software APIs, less robust customer support and fewer other features while relying on third-party networks and physical infrastructure; and</w:t>
      </w:r>
    </w:p>
    <w:p>
      <w:pPr>
        <w:spacing w:after="0" w:line="67"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service providers that offer limited developer functionality on top of their own networks and physical infrastructure, such as AT&amp;T, Level 3 and Verizon.</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76"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we had eight U.S. patents and six U.S. patent applications pending. In addition, as of June 30, 2017, we had 20 registered trademarks and one pending trademark application in the United States.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0"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a total of 338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in Raleigh, NC and consists of approximately 125,000 square feet of space, including approximately 35,000 square feet of space subject to a facilities sharing agreement with Republic Wireless, under a lease that expires in July 2022. 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lease all our facilities and do not own any real property. We may procure additional space in the future as we continue to add employees or expand geographically. We believe our facilities are adequate and suitable for our current needs and that, should it be needed, suitable additional or alternative space will be available to accommodate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Federal Telecommunications Regulation</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FCC has jurisdiction over interstate and international telecommunications services. We have obtained FCC authorization to provide services on a facilities and resale basis, as well as via a wireless telecommunications license.</w:t>
      </w:r>
    </w:p>
    <w:p>
      <w:pPr>
        <w:spacing w:after="0" w:line="16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 challenges that has arisen is fraud and abuse in the form of illegal robocalling and unwanted text messaging. The FCC has initiated several proceedings to understand and address fraud and abuse, illegal robocalling and unwanted text messaging. Much of the FCC’s efforts to thwart illegal robocalling involve or relate to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87"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VoIP Regulation</w:t>
      </w:r>
      <w:r>
        <w:rPr>
          <w:rFonts w:ascii="Times New Roman" w:cs="Times New Roman" w:eastAsia="Times New Roman" w:hAnsi="Times New Roman"/>
          <w:sz w:val="18"/>
          <w:szCs w:val="18"/>
          <w:color w:val="auto"/>
        </w:rPr>
        <w:t>. Some of our communications services provided through our software APIs may qualify as VoIP. The FCC has imposed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8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Universal Service</w:t>
      </w:r>
      <w:r>
        <w:rPr>
          <w:rFonts w:ascii="Times New Roman" w:cs="Times New Roman" w:eastAsia="Times New Roman" w:hAnsi="Times New Roman"/>
          <w:sz w:val="18"/>
          <w:szCs w:val="18"/>
          <w:color w:val="auto"/>
        </w:rPr>
        <w:t>. Some of our services are subject to federal and state regulations that implement universal service support for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retail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8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Intercarrier Compensation. </w:t>
      </w:r>
      <w:r>
        <w:rPr>
          <w:rFonts w:ascii="Times New Roman" w:cs="Times New Roman" w:eastAsia="Times New Roman" w:hAnsi="Times New Roman"/>
          <w:sz w:val="18"/>
          <w:szCs w:val="18"/>
          <w:color w:val="auto"/>
        </w:rPr>
        <w:t>Telecommunications carriers compensate one another for traffic carried on each other’s networks. Interexchange carriers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8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will be reduced to zero over, as relevant to us, generally a six-year transition period that began July 1, 2012.</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 that 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 Telecommunications Regulation</w:t>
      </w:r>
    </w:p>
    <w:p>
      <w:pPr>
        <w:spacing w:after="0" w:line="121"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1996 Act intended to increase competition in the telecommunications industry, especially in the local market. With respect to local services, incumbent local exchange carriers (or “ILECs”) such as AT&amp;T are required to allow interconnection to their incumbent networks and to provide access to network facilities, as well as several other pro-competitive measures.</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telecommunications services in 49 states and the District of Columbia, and thus are subject to these additional regulatory regimes. Changes in applicable state regulations could affect our business.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Phone Recovery Services may seek review with the Minnesota Supreme Court. To date, we have not received any material adverse decision in connection with those matters.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face similar lawsuits brought directly by various state and local governments alleging underpayment of 911 taxes and surcharges, although we understand that Phone Recovery Services is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and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The Pennsylvania Case in Butler County, Pennsylvania was dismissed in August 2016; the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9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76" w:lineRule="exact"/>
        <w:rPr>
          <w:sz w:val="20"/>
          <w:szCs w:val="20"/>
          <w:color w:val="auto"/>
        </w:rPr>
      </w:pPr>
    </w:p>
    <w:p>
      <w:pPr>
        <w:ind w:right="880" w:firstLine="456"/>
        <w:spacing w:after="0" w:line="282" w:lineRule="auto"/>
        <w:rPr>
          <w:sz w:val="20"/>
          <w:szCs w:val="20"/>
          <w:color w:val="auto"/>
        </w:rPr>
      </w:pPr>
      <w:r>
        <w:rPr>
          <w:rFonts w:ascii="Times New Roman" w:cs="Times New Roman" w:eastAsia="Times New Roman" w:hAnsi="Times New Roman"/>
          <w:sz w:val="18"/>
          <w:szCs w:val="18"/>
          <w:color w:val="auto"/>
        </w:rPr>
        <w:t>In April 2016, we filed counterclaims against MCI Communications Services, Inc. d/b/a Verizon Business and Verizon Select Services, Inc. (collectively, “Verizon”) in the United States District Court for the Northern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District of Texas. We are pursuing collection of unpaid intercarrier compensation charges for providing switched access services related to the exchange of telecommunications traffic with Verizon entities across the United States. Verizon has indicated that it intends to assert a counterclaim against us. We intend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240" w:top="455" w:right="4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August 16,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140" w:type="dxa"/>
            <w:vAlign w:val="bottom"/>
          </w:tcPr>
          <w:p>
            <w:pPr>
              <w:spacing w:after="0"/>
              <w:rPr>
                <w:sz w:val="16"/>
                <w:szCs w:val="16"/>
                <w:color w:val="auto"/>
              </w:rPr>
            </w:pPr>
          </w:p>
        </w:tc>
      </w:tr>
      <w:tr>
        <w:trPr>
          <w:trHeight w:val="26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Morken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2"/>
                <w:szCs w:val="22"/>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Cofounder, Chief Executive Officer and Chairman</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Murdock</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Hoffman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Leonard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Christopher Matton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R. Kaestner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Director</w:t>
            </w:r>
          </w:p>
        </w:tc>
      </w:tr>
      <w:tr>
        <w:trPr>
          <w:trHeight w:val="28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D. Bailey</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A. Morken </w:t>
      </w:r>
      <w:r>
        <w:rPr>
          <w:rFonts w:ascii="Times New Roman" w:cs="Times New Roman" w:eastAsia="Times New Roman" w:hAnsi="Times New Roman"/>
          <w:sz w:val="18"/>
          <w:szCs w:val="18"/>
          <w:color w:val="auto"/>
        </w:rPr>
        <w:t>is the Cofounder, Chairman and CEO of Bandwidth. Mr. Morken is also the Cofounder, Chairman and former CEO of Republic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Mr. Morken is the Cofounder of Durham Cares. Prior to founding Bandwidth in 1999, Mr. Morken served on active duty in the Marine Corps as a Judge Advocate and Headquarters Company Commander. Mr. Morken received a B.A. in Political Science from Oral Roberts University and a J.D. from the University of Notre Dame Law School. We believe that Mr. Morken is qualified to serve on our board of directors as our Cofounder and due to his knowledge of our company and our business.</w:t>
      </w:r>
    </w:p>
    <w:p>
      <w:pPr>
        <w:spacing w:after="0" w:line="180" w:lineRule="exact"/>
        <w:rPr>
          <w:sz w:val="20"/>
          <w:szCs w:val="20"/>
          <w:color w:val="auto"/>
        </w:rPr>
      </w:pPr>
    </w:p>
    <w:p>
      <w:pPr>
        <w:ind w:right="40" w:firstLine="456"/>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C. Murdock </w:t>
      </w:r>
      <w:r>
        <w:rPr>
          <w:rFonts w:ascii="Times New Roman" w:cs="Times New Roman" w:eastAsia="Times New Roman" w:hAnsi="Times New Roman"/>
          <w:sz w:val="17"/>
          <w:szCs w:val="17"/>
          <w:color w:val="auto"/>
        </w:rPr>
        <w:t>joined Bandwidth in 2008 and serves as President and board member. Mr. Murdock previously served as Bandwidth’s General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Counsel. Additionally, Mr. Murdock serves as a board member of Republic Wireless. Prior to joining Bandwidth, Mr. Murdock founded a specialized law firm with a national level complex civil litigation practice. As a Marine officer, Mr. Murdock served on active duty, including combat service in Operation Desert Shield/Storm. Mr. Murdock obtained a B.S. in Finance from Miami University of Ohio, with an NROTC scholarship and a J.D. from the University of Notre Dame Law School. We believe that Mr. Murdock is qualified to serve on our board of directors due to his knowledge of our company and our business.</w:t>
      </w:r>
    </w:p>
    <w:p>
      <w:pPr>
        <w:spacing w:after="0" w:line="164" w:lineRule="exact"/>
        <w:rPr>
          <w:sz w:val="20"/>
          <w:szCs w:val="20"/>
          <w:color w:val="auto"/>
        </w:rPr>
      </w:pPr>
    </w:p>
    <w:p>
      <w:pPr>
        <w:ind w:right="60" w:firstLine="456"/>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Jeff Hoffman </w:t>
      </w:r>
      <w:r>
        <w:rPr>
          <w:rFonts w:ascii="Times New Roman" w:cs="Times New Roman" w:eastAsia="Times New Roman" w:hAnsi="Times New Roman"/>
          <w:sz w:val="17"/>
          <w:szCs w:val="17"/>
          <w:color w:val="auto"/>
        </w:rPr>
        <w:t>joined Bandwidth in 2011 and serves as Chief Financial Officer. Mr. Hoffman oversees all financial operations for Bandwidth,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treasury, tax, financial analysis and reporting and is responsible for developing and implementing financial systems and reporting structures.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Mr. Hoffman brings more than 18 years of financial management experience and has held senior positions with public and leading private equity sponsored companies. Before joining Bandwidth, he served as Vice President of Financial Planning &amp; Analysis for Hawaiian Telcom where he led the company’s budgeting, financial modeling and management reporting functions. In addition, Jeff was a key contributor to Hawaiian Telcom’s capital restructuring and listing on NASDAQ in 2010. Prior to Hawaiian Telcom, Mr. Hoffman served as the Director of Finance and Planning for Madison River Communications where he was instrumental in many mergers and acquisitions throughout the company’s history including its eventual acquisition by CenturyLink in 2007. Jeff earned a B.A. in Economics and International Relations from the University of Wisconsin at Madison and an MBA from the Kellogg Graduate School of Management at Northwestern University.</w:t>
      </w:r>
    </w:p>
    <w:p>
      <w:pPr>
        <w:spacing w:after="0" w:line="18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Leonard </w:t>
      </w:r>
      <w:r>
        <w:rPr>
          <w:rFonts w:ascii="Times New Roman" w:cs="Times New Roman" w:eastAsia="Times New Roman" w:hAnsi="Times New Roman"/>
          <w:sz w:val="18"/>
          <w:szCs w:val="18"/>
          <w:color w:val="auto"/>
        </w:rPr>
        <w:t>joined Bandwidth in 2010 and serves as Chief Operating Officer, where his mission is to drive continual innovation around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Bandwidth’s communications API platform. For the past 20 years, Mr. Leonard has played a key role in the development of software platforms designed to modernize communications and media services. In 2004, Mr. Leonard founded GoldPocket Wireless, one of the first companies to launch short codes. GoldPocket was later acquired by mobile software platform provider,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Motricity. Mr. Leonard served as General Manager of Messaging for Motricity, leading the development of a messaging platform used by many of the top media and entertainment brands in the world. Mr. Leonard’s prior experience developing software platforms for handling large-scale network and data system management has been a key factor in the success of Bandwidth’s communications platform. He spent much of his early career as a software developer writing code for platforms ranging from financial reporting to interactive television. Mr. Leonard holds a B.S. in Computer Science, cum laude, from Stonehill College in Massachusetts.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Christopher Matton </w:t>
      </w:r>
      <w:r>
        <w:rPr>
          <w:rFonts w:ascii="Times New Roman" w:cs="Times New Roman" w:eastAsia="Times New Roman" w:hAnsi="Times New Roman"/>
          <w:sz w:val="18"/>
          <w:szCs w:val="18"/>
          <w:color w:val="auto"/>
        </w:rPr>
        <w:t>has served as General Counsel of Bandwidth since 2010. As General Counsel, Mr. Matton provides support and counsel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human resources, intellectual property, legal and regulatory matters. Prior to joining Bandwidth, Mr. Matton was a partner at Kilpatrick Stockton LLP. Mr. Matton also previously served on the founding team and board of managers of Veritas Collaborative, an eating disorder treatment hospital system. Mr. Matton has worked with companies ranging from early stage to publicly traded companies and has represented clients in connection with venture capital financings, private equity financings, mergers and acquisitions, public and private offerings of securities and other corporate matters. Mr. Matton earned a B.S. in Economics from the Wharton School of the University of Pennsylvania and a J.D. from Wake Forest University where he also served as the Executive Editor of the Wake Forest Law Review.</w:t>
      </w:r>
    </w:p>
    <w:p>
      <w:pPr>
        <w:spacing w:after="0" w:line="18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R. Kaestner </w:t>
      </w:r>
      <w:r>
        <w:rPr>
          <w:rFonts w:ascii="Times New Roman" w:cs="Times New Roman" w:eastAsia="Times New Roman" w:hAnsi="Times New Roman"/>
          <w:sz w:val="18"/>
          <w:szCs w:val="18"/>
          <w:color w:val="auto"/>
        </w:rPr>
        <w:t>joined David Morken as Cofounder in 2001 when he merged Bandwidth International into Bandwidth.com and subsequently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CEO until early 2008. Mr. Kaestner has served as a director of Bandwidth since 2001. Mr. Kaestner is a Cofounder and Managing Principal of Sovereign’s Capital, a private investment firm headquartered in Raleigh, North Carolina with offices in Jakarta, Indonesia and Los Gatos, California. Mr. Kaestner previously served as the CEO of Bandwidth International, an international wholesale telecommunications broker based in London, England. Mr. Kaestner was also a founder of Chapel Hill Broadband, a U.S.-based consultant and broker that specialized in dark fiber and large wholesale transactions that was sold to Cantor Fitzgerald. In addition, Mr. Kaestner was a Founder and former President and CEO of Chapel Hill Brokers, an energy broker which achieved more than $50 million in daily trade volume on more than 150 transactions, for clients including Morgan Stanley and Merrill Lynch. Chapel Hill Brokers was sold to APB Energy (now ICAP Energy) in 1999. Mr. Kaestner received a B.A. in international relations from the University of Delaware. We believe that Mr. Kaestner is qualified to serve on our board of directors as our Cofounder and due to his experience in the private equity industry and as an executive officer in other businesses.</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D. Bailey </w:t>
      </w:r>
      <w:r>
        <w:rPr>
          <w:rFonts w:ascii="Times New Roman" w:cs="Times New Roman" w:eastAsia="Times New Roman" w:hAnsi="Times New Roman"/>
          <w:sz w:val="18"/>
          <w:szCs w:val="18"/>
          <w:color w:val="auto"/>
        </w:rPr>
        <w:t>has served as a director of Bandwidth since February 2013. Mr. Bailey is a Cofounder and Managing Partner of Carmichael Partners,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investment firm based in Charlotte, North Carolina. Prior to forming Carmichael Partners, he worked in private equity at The Carlyle Group in Washington, Forstmann Little &amp; Co. in New York and Carousel Capital in Charlotte. In addition to his private equity background, Mr. Bailey previously held investment banking positions at Bowles Hollowell Conner &amp; Co. in Charlotte and CS First Boston in New York and served in several government positions in Washington including Special Assistant to the President in the Office of the White House Chief of Staff and Director of Strategic Planning and Policy at the U.S. Small Business Administration. Mr. Bailey currently serves on the boards of Bandwidth, Bluerock Residential Growth REIT, Republic Wireless and the TDF Foundation. He has previously served on the boards of a number of private, public and nonprofit organizations. Mr. Bailey holds a B.A. degree from the University of North Carolina at Chapel Hill and an M.B.A. degree from the Stanford Graduate School of Business. We believe that Mr. Bailey is qualified to serve on our board of directors due to his experience in the private equity industry and as a director of public and private companies.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460"/>
        <w:spacing w:after="0"/>
        <w:tabs>
          <w:tab w:leader="none" w:pos="4300" w:val="left"/>
        </w:tabs>
        <w:rPr>
          <w:sz w:val="20"/>
          <w:szCs w:val="20"/>
          <w:color w:val="auto"/>
        </w:rPr>
      </w:pPr>
      <w:r>
        <w:rPr>
          <w:rFonts w:ascii="Times New Roman" w:cs="Times New Roman" w:eastAsia="Times New Roman" w:hAnsi="Times New Roman"/>
          <w:sz w:val="18"/>
          <w:szCs w:val="18"/>
          <w:color w:val="auto"/>
        </w:rPr>
        <w:t>Under the listing requirements and rules of</w:t>
      </w:r>
      <w:r>
        <w:rPr>
          <w:sz w:val="20"/>
          <w:szCs w:val="20"/>
          <w:color w:val="auto"/>
        </w:rPr>
        <w:tab/>
      </w:r>
      <w:r>
        <w:rPr>
          <w:rFonts w:ascii="Times New Roman" w:cs="Times New Roman" w:eastAsia="Times New Roman" w:hAnsi="Times New Roman"/>
          <w:sz w:val="17"/>
          <w:szCs w:val="17"/>
          <w:color w:val="auto"/>
        </w:rPr>
        <w:t>, independent directors must comprise a majority of a listed company’s board of directors within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period of the completion of this offering. In addition,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rules of require that, subject to specified exceptions, each member of a listed company’s audit, compensation and governance and nominating committees be independent.</w:t>
      </w:r>
    </w:p>
    <w:p>
      <w:pPr>
        <w:spacing w:after="0" w:line="162"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w:t>
      </w:r>
    </w:p>
    <w:p>
      <w:pPr>
        <w:ind w:right="200"/>
        <w:spacing w:after="0" w:line="250" w:lineRule="auto"/>
        <w:rPr>
          <w:sz w:val="20"/>
          <w:szCs w:val="20"/>
          <w:color w:val="auto"/>
        </w:rPr>
      </w:pPr>
      <w:r>
        <w:rPr>
          <w:rFonts w:ascii="Times New Roman" w:cs="Times New Roman" w:eastAsia="Times New Roman" w:hAnsi="Times New Roman"/>
          <w:sz w:val="18"/>
          <w:szCs w:val="18"/>
          <w:color w:val="auto"/>
        </w:rPr>
        <w:t>relationships, our board of directors has determined that , representing of our four directors, do not have a relationship that would interfere with the exercise of independent judgment in carrying out the responsibilities of a director and that each of these directors is “independent” as that</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term is defined under the applicable rules and regulations of the SEC and the listing requirements and rules of .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four members. In accordance with our amended and restated certificate of incorporation,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Class I directors are</w:t>
            </w:r>
          </w:p>
        </w:tc>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and their terms will expire at the annual general meeting of stockholders to be held in 2018;</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Class II directors are</w:t>
            </w:r>
          </w:p>
        </w:tc>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 and their terms will expire at the annual general meeting of stockholders to be held in 2019; and</w:t>
            </w:r>
          </w:p>
        </w:tc>
      </w:tr>
      <w:tr>
        <w:trPr>
          <w:trHeight w:val="3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Class III directors are</w:t>
            </w:r>
          </w:p>
        </w:tc>
        <w:tc>
          <w:tcPr>
            <w:tcW w:w="7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and their terms will expire at the annual general meeting of stockholders to be held in 2020.</w:t>
            </w:r>
          </w:p>
        </w:tc>
      </w:tr>
    </w:tbl>
    <w:p>
      <w:pPr>
        <w:spacing w:after="0" w:line="198"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expect that additional directorships resulting from an increase in the number of directors will be distributed among the three classes so that, as nearly as possible, each class will consist of one-third of the directors.</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a change of our management or a change in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ectPr>
          <w:pgSz w:w="11900" w:h="16838" w:orient="portrait"/>
          <w:cols w:equalWidth="0" w:num="1">
            <w:col w:w="11400"/>
          </w:cols>
          <w:pgMar w:left="240" w:top="455" w:right="25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20" w:hanging="413"/>
        <w:spacing w:after="0" w:line="282" w:lineRule="auto"/>
        <w:rPr>
          <w:sz w:val="20"/>
          <w:szCs w:val="20"/>
          <w:color w:val="auto"/>
        </w:rPr>
      </w:pPr>
      <w:r>
        <w:rPr>
          <w:rFonts w:ascii="Times New Roman" w:cs="Times New Roman" w:eastAsia="Times New Roman" w:hAnsi="Times New Roman"/>
          <w:sz w:val="18"/>
          <w:szCs w:val="18"/>
          <w:color w:val="auto"/>
        </w:rPr>
        <w:t>Because Mr. Morken controls a majority of our outstanding voting power, we are a “controlled company” under the corporate governance rules . Therefore, we are not required to have a majority of our board</w:t>
      </w:r>
    </w:p>
    <w:p>
      <w:pPr>
        <w:spacing w:after="0" w:line="94" w:lineRule="exact"/>
        <w:rPr>
          <w:sz w:val="20"/>
          <w:szCs w:val="20"/>
          <w:color w:val="auto"/>
        </w:rPr>
      </w:pPr>
    </w:p>
    <w:p>
      <w:pPr>
        <w:sectPr>
          <w:pgSz w:w="11900" w:h="16838" w:orient="portrait"/>
          <w:cols w:equalWidth="0" w:num="2">
            <w:col w:w="160" w:space="720"/>
            <w:col w:w="1052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00"/>
          </w:cols>
          <w:pgMar w:left="240" w:top="455" w:right="259" w:bottom="1440" w:gutter="0" w:footer="0" w:header="0"/>
          <w:type w:val="continuous"/>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 directors be independent, nor are we required to have a compensation committee or an independent nominating function. In light of our status as a controlled company. Additionally, as described in the section entitled “Description of Capital Stock—Anti-Takeover Provisions,” so long as the outstanding shares of our Class B common stock represent a majority of the combined voting power of our common stock, Mr. Morken will be able to effectively control all matters submitted to our stockholders for a vote, as well as the overall management and direction of our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the following committees: an audit committee, a compensation committee and a governance and nominating committee. The composition and responsibilities of each committee are described below. Members serve on these committees until their resignation or until otherwise determined by our board of directors.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Our audit committee provides oversight of our accounting and financial reporting process, the audit of our consolidated financial statements and our internal control function. Among other matters, the audit committee assists the board of directors in oversight of the independent auditors’ qualifications, independence and performance; is responsible for the engagement, retention and compensation of the independent auditors; reviews the scope of the annual audit; reviews and discusses with management and the independent auditors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auditor; and reviews and approves related party transactions under Item 404 of Regulation S-K. In addition, our audit committee oversees our internal audit function.</w:t>
      </w:r>
    </w:p>
    <w:p>
      <w:pPr>
        <w:spacing w:after="0" w:line="185" w:lineRule="exact"/>
        <w:rPr>
          <w:sz w:val="20"/>
          <w:szCs w:val="20"/>
          <w:color w:val="auto"/>
        </w:rPr>
      </w:pPr>
    </w:p>
    <w:p>
      <w:pPr>
        <w:ind w:left="460"/>
        <w:spacing w:after="0"/>
        <w:tabs>
          <w:tab w:leader="none" w:pos="4660" w:val="left"/>
          <w:tab w:leader="none" w:pos="8280" w:val="left"/>
        </w:tabs>
        <w:rPr>
          <w:sz w:val="20"/>
          <w:szCs w:val="20"/>
          <w:color w:val="auto"/>
        </w:rPr>
      </w:pPr>
      <w:r>
        <w:rPr>
          <w:rFonts w:ascii="Times New Roman" w:cs="Times New Roman" w:eastAsia="Times New Roman" w:hAnsi="Times New Roman"/>
          <w:sz w:val="18"/>
          <w:szCs w:val="18"/>
          <w:color w:val="auto"/>
        </w:rPr>
        <w:t>The current members of our audit committee are</w:t>
      </w:r>
      <w:r>
        <w:rPr>
          <w:sz w:val="20"/>
          <w:szCs w:val="20"/>
          <w:color w:val="auto"/>
        </w:rPr>
        <w:tab/>
      </w:r>
      <w:r>
        <w:rPr>
          <w:rFonts w:ascii="Times New Roman" w:cs="Times New Roman" w:eastAsia="Times New Roman" w:hAnsi="Times New Roman"/>
          <w:sz w:val="18"/>
          <w:szCs w:val="18"/>
          <w:color w:val="auto"/>
        </w:rPr>
        <w:t>, who is the chair of the committee, and</w:t>
      </w:r>
      <w:r>
        <w:rPr>
          <w:sz w:val="20"/>
          <w:szCs w:val="20"/>
          <w:color w:val="auto"/>
        </w:rPr>
        <w:tab/>
      </w:r>
      <w:r>
        <w:rPr>
          <w:rFonts w:ascii="Times New Roman" w:cs="Times New Roman" w:eastAsia="Times New Roman" w:hAnsi="Times New Roman"/>
          <w:sz w:val="17"/>
          <w:szCs w:val="17"/>
          <w:color w:val="auto"/>
        </w:rPr>
        <w:t>. Our board of directors has determined</w:t>
      </w:r>
    </w:p>
    <w:p>
      <w:pPr>
        <w:spacing w:after="0" w:line="27" w:lineRule="exact"/>
        <w:rPr>
          <w:sz w:val="20"/>
          <w:szCs w:val="20"/>
          <w:color w:val="auto"/>
        </w:rPr>
      </w:pPr>
    </w:p>
    <w:p>
      <w:pPr>
        <w:spacing w:after="0"/>
        <w:tabs>
          <w:tab w:leader="none" w:pos="10940" w:val="left"/>
        </w:tabs>
        <w:rPr>
          <w:sz w:val="20"/>
          <w:szCs w:val="20"/>
          <w:color w:val="auto"/>
        </w:rPr>
      </w:pPr>
      <w:r>
        <w:rPr>
          <w:rFonts w:ascii="Times New Roman" w:cs="Times New Roman" w:eastAsia="Times New Roman" w:hAnsi="Times New Roman"/>
          <w:sz w:val="18"/>
          <w:szCs w:val="18"/>
          <w:color w:val="auto"/>
        </w:rPr>
        <w:t>that all members of our audit committee meet the requirements for financial literacy under the applicable rules and regulations of the SEC and</w:t>
      </w:r>
      <w:r>
        <w:rPr>
          <w:sz w:val="20"/>
          <w:szCs w:val="20"/>
          <w:color w:val="auto"/>
        </w:rPr>
        <w:tab/>
      </w:r>
      <w:r>
        <w:rPr>
          <w:rFonts w:ascii="Times New Roman" w:cs="Times New Roman" w:eastAsia="Times New Roman" w:hAnsi="Times New Roman"/>
          <w:sz w:val="18"/>
          <w:szCs w:val="18"/>
          <w:color w:val="auto"/>
        </w:rPr>
        <w:t>. Our</w:t>
      </w:r>
    </w:p>
    <w:p>
      <w:pPr>
        <w:spacing w:after="0" w:line="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board of directors has determined</w:t>
      </w:r>
      <w:r>
        <w:rPr>
          <w:sz w:val="20"/>
          <w:szCs w:val="20"/>
          <w:color w:val="auto"/>
        </w:rPr>
        <w:tab/>
      </w:r>
      <w:r>
        <w:rPr>
          <w:rFonts w:ascii="Times New Roman" w:cs="Times New Roman" w:eastAsia="Times New Roman" w:hAnsi="Times New Roman"/>
          <w:sz w:val="17"/>
          <w:szCs w:val="17"/>
          <w:color w:val="auto"/>
        </w:rPr>
        <w:t>that are audit committee financial experts as defined under the applicable rules of the SEC and have the requisite</w:t>
      </w:r>
    </w:p>
    <w:p>
      <w:pPr>
        <w:spacing w:after="0" w:line="9" w:lineRule="exact"/>
        <w:rPr>
          <w:sz w:val="20"/>
          <w:szCs w:val="20"/>
          <w:color w:val="auto"/>
        </w:rPr>
      </w:pPr>
    </w:p>
    <w:p>
      <w:pPr>
        <w:spacing w:after="0"/>
        <w:tabs>
          <w:tab w:leader="none" w:pos="5660" w:val="left"/>
          <w:tab w:leader="none" w:pos="6160" w:val="left"/>
        </w:tabs>
        <w:rPr>
          <w:sz w:val="20"/>
          <w:szCs w:val="20"/>
          <w:color w:val="auto"/>
        </w:rPr>
      </w:pPr>
      <w:r>
        <w:rPr>
          <w:rFonts w:ascii="Times New Roman" w:cs="Times New Roman" w:eastAsia="Times New Roman" w:hAnsi="Times New Roman"/>
          <w:sz w:val="18"/>
          <w:szCs w:val="18"/>
          <w:color w:val="auto"/>
        </w:rPr>
        <w:t>financial sophistication as defined under the rules and regulations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of the members of our audit committee are independent directors as</w:t>
      </w:r>
    </w:p>
    <w:p>
      <w:pPr>
        <w:spacing w:after="0" w:line="9"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defined under the applicable rules and regulations of the SEC and</w:t>
      </w:r>
      <w:r>
        <w:rPr>
          <w:sz w:val="20"/>
          <w:szCs w:val="20"/>
          <w:color w:val="auto"/>
        </w:rPr>
        <w:tab/>
      </w:r>
      <w:r>
        <w:rPr>
          <w:rFonts w:ascii="Times New Roman" w:cs="Times New Roman" w:eastAsia="Times New Roman" w:hAnsi="Times New Roman"/>
          <w:sz w:val="16"/>
          <w:szCs w:val="16"/>
          <w:color w:val="auto"/>
        </w:rPr>
        <w:t>.</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compensation committee adopts and administers the compensation policies, plans and benefit programs for our executive officers and all other members of our executive team. In addition, among other things, our compensation committee annually evaluates, in consultation with the board of directors, the performance of our CEO, reviews and approves corporate goals and objectives relevant to compensation of our CEO and other executives and evaluates the performance of these executives in light of those goals and objectives. Our compensation committee also adopts and administers our equity compensation</w:t>
      </w:r>
    </w:p>
    <w:p>
      <w:pPr>
        <w:spacing w:after="0" w:line="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plans. The current members of our compensation committee are , who is the chair of the committee, and . of the members of our compensation committee are independent under the applicable rules and regulations of the SEC and , Section 16 of the Exchange Act and Section 162(m) of the Code.</w:t>
      </w: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Governance and Nominating Committee</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Our governance and nominating committee is responsible for, among other things, making recommendations regarding corporate governance, the composition of our board of directors, identification,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60"/>
          </w:cols>
          <w:pgMar w:left="240" w:top="455" w:right="2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evaluation and nomination of director candidates and the structure and composition of committees of our board of directors. In addition, our governance and nominating committee oversees our corporate governance guidelines, approves our committee charters, oversees compliance with our code of business conduct and ethics, contributes to succession planning, reviews actual and potential conflicts of interest of our directors and officers other than related party transactions reviewed by the audit committee and oversees the board self-evaluation process. Our governance and nominating committee is also responsible for making recommendations regarding non-employee director compensation to the full board of directors. The current members of our governance and</w:t>
      </w:r>
    </w:p>
    <w:p>
      <w:pPr>
        <w:spacing w:after="0" w:line="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nominating committee are , who is the chair of the committee, and . of the members of our governance and nominating committee are independent under the rules and regulations of the SEC and .</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Prior to the completion of this offering, we expect to adopt a code of business conduct and ethics that will be applicable to all of our employees, officers and directors, including our principal executive officer, principal financial officer and principal accounting officer. The code of business conduct and ethics will be available on our website prior to the closing of this offering. The board of directors will be responsible for overseeing the code of business conduct and ethics and must approve any waivers for employees, executive officers and directors. We expect that any amendments or waivers will be disclosed on our website or in a current report on Form 8-K.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Prior to this offering, we have generally not provided any cash compensation to our non-employee directors for their service on our board. We have a policy of reimbursing all of our non-employee directors for their reasonable out-of-pocket expenses in connection with attending board of directors and committee meetings.</w:t>
      </w:r>
    </w:p>
    <w:p>
      <w:pPr>
        <w:spacing w:after="0" w:line="176"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We have approved a compensation program for non-employee directors to become effective following our initial public offering. Pursuant to this program, non-employee directors will receive the following cash compensation:</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1360" w:type="dxa"/>
            <w:vAlign w:val="bottom"/>
            <w:shd w:val="clear" w:color="auto" w:fill="CCEEFF"/>
          </w:tcPr>
          <w:p>
            <w:pPr>
              <w:spacing w:after="0"/>
              <w:rPr>
                <w:sz w:val="19"/>
                <w:szCs w:val="19"/>
                <w:color w:val="auto"/>
              </w:rPr>
            </w:pPr>
          </w:p>
        </w:tc>
      </w:tr>
      <w:tr>
        <w:trPr>
          <w:trHeight w:val="234"/>
        </w:trPr>
        <w:tc>
          <w:tcPr>
            <w:tcW w:w="3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service on the board of directors</w:t>
            </w:r>
          </w:p>
        </w:tc>
        <w:tc>
          <w:tcPr>
            <w:tcW w:w="4080" w:type="dxa"/>
            <w:vAlign w:val="bottom"/>
            <w:tcBorders>
              <w:top w:val="single" w:sz="8" w:color="CCEEFF"/>
            </w:tcBorders>
            <w:gridSpan w:val="2"/>
          </w:tcPr>
          <w:p>
            <w:pPr>
              <w:spacing w:after="0"/>
              <w:rPr>
                <w:sz w:val="20"/>
                <w:szCs w:val="20"/>
                <w:color w:val="auto"/>
              </w:rPr>
            </w:pPr>
          </w:p>
        </w:tc>
        <w:tc>
          <w:tcPr>
            <w:tcW w:w="136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3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196"/>
        </w:trPr>
        <w:tc>
          <w:tcPr>
            <w:tcW w:w="34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Annual Retainer for Committee Membership</w:t>
            </w:r>
          </w:p>
        </w:tc>
        <w:tc>
          <w:tcPr>
            <w:tcW w:w="37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chair of the audit committee</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service as member of the governance and nominating committee (other than chair)</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chair of the governance and nominating committee</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7180" w:type="dxa"/>
            <w:vAlign w:val="bottom"/>
            <w:gridSpan w:val="3"/>
          </w:tcPr>
          <w:p>
            <w:pPr>
              <w:ind w:left="4180"/>
              <w:spacing w:after="0"/>
              <w:rPr>
                <w:sz w:val="20"/>
                <w:szCs w:val="20"/>
                <w:color w:val="auto"/>
              </w:rPr>
            </w:pPr>
            <w:r>
              <w:rPr>
                <w:rFonts w:ascii="Times New Roman" w:cs="Times New Roman" w:eastAsia="Times New Roman" w:hAnsi="Times New Roman"/>
                <w:sz w:val="18"/>
                <w:szCs w:val="18"/>
                <w:color w:val="auto"/>
              </w:rPr>
              <w:t>96</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executive officers who are named in the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Compensation Table” below. In 2016, our “named executive officers” and their positions were as follows:</w:t>
      </w:r>
    </w:p>
    <w:p>
      <w:pPr>
        <w:spacing w:after="0" w:line="112"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Morken, Chief Executive Officer;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Murdock, President;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Matton, General Counsel;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Hoffman, Chief Financial Officer.</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and have elected to comply with the reduced compensation disclosure requirements available to emerging growth companies under the JOBS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Summary Compensation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(2)</w:t>
            </w:r>
          </w:p>
        </w:tc>
        <w:tc>
          <w:tcPr>
            <w:tcW w:w="2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2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Morken,</w:t>
            </w:r>
          </w:p>
        </w:tc>
        <w:tc>
          <w:tcPr>
            <w:tcW w:w="3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Murdock,</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304,890</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208,580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Matton,</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173,955</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 Hoffman,</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4"/>
              </w:rPr>
              <w:t>2016</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289,877</w:t>
            </w:r>
          </w:p>
        </w:tc>
        <w:tc>
          <w:tcPr>
            <w:tcW w:w="2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173,955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4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discretionary cash bonuses paid based on our Spin-Off in November 2016. For additional information, refer to the discussion in the “</w:t>
      </w:r>
      <w:r>
        <w:rPr>
          <w:rFonts w:ascii="Times New Roman" w:cs="Times New Roman" w:eastAsia="Times New Roman" w:hAnsi="Times New Roman"/>
          <w:sz w:val="18"/>
          <w:szCs w:val="18"/>
          <w:i w:val="1"/>
          <w:iCs w:val="1"/>
          <w:color w:val="auto"/>
        </w:rPr>
        <w:t>Narrative Disclosure to 2016 Summary Compensation Table</w:t>
      </w:r>
      <w:r>
        <w:rPr>
          <w:rFonts w:ascii="Times New Roman" w:cs="Times New Roman" w:eastAsia="Times New Roman" w:hAnsi="Times New Roman"/>
          <w:sz w:val="18"/>
          <w:szCs w:val="18"/>
          <w:color w:val="auto"/>
        </w:rPr>
        <w:t>” below under the heading “</w:t>
      </w:r>
      <w:r>
        <w:rPr>
          <w:rFonts w:ascii="Times New Roman" w:cs="Times New Roman" w:eastAsia="Times New Roman" w:hAnsi="Times New Roman"/>
          <w:sz w:val="18"/>
          <w:szCs w:val="18"/>
          <w:i w:val="1"/>
          <w:iCs w:val="1"/>
          <w:color w:val="auto"/>
        </w:rPr>
        <w:t>—2016 Transaction Bonus Awards</w:t>
      </w:r>
      <w:r>
        <w:rPr>
          <w:rFonts w:ascii="Times New Roman" w:cs="Times New Roman" w:eastAsia="Times New Roman" w:hAnsi="Times New Roman"/>
          <w:sz w:val="18"/>
          <w:szCs w:val="18"/>
          <w:color w:val="auto"/>
        </w:rPr>
        <w:t>.”</w:t>
      </w:r>
    </w:p>
    <w:p>
      <w:pPr>
        <w:ind w:left="460" w:right="480" w:hanging="452"/>
        <w:spacing w:after="0" w:line="250"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annual cash performance bonuses earned for 2016. For additional information, refer to the discussion in the “</w:t>
      </w:r>
      <w:r>
        <w:rPr>
          <w:rFonts w:ascii="Times New Roman" w:cs="Times New Roman" w:eastAsia="Times New Roman" w:hAnsi="Times New Roman"/>
          <w:sz w:val="18"/>
          <w:szCs w:val="18"/>
          <w:i w:val="1"/>
          <w:iCs w:val="1"/>
          <w:color w:val="auto"/>
        </w:rPr>
        <w:t>Narrative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to 2016 Summary Compensation Table</w:t>
      </w:r>
      <w:r>
        <w:rPr>
          <w:rFonts w:ascii="Times New Roman" w:cs="Times New Roman" w:eastAsia="Times New Roman" w:hAnsi="Times New Roman"/>
          <w:sz w:val="18"/>
          <w:szCs w:val="18"/>
          <w:color w:val="auto"/>
        </w:rPr>
        <w:t>” below under the heading “</w:t>
      </w:r>
      <w:r>
        <w:rPr>
          <w:rFonts w:ascii="Times New Roman" w:cs="Times New Roman" w:eastAsia="Times New Roman" w:hAnsi="Times New Roman"/>
          <w:sz w:val="18"/>
          <w:szCs w:val="18"/>
          <w:i w:val="1"/>
          <w:iCs w:val="1"/>
          <w:color w:val="auto"/>
        </w:rPr>
        <w:t>—2016 Annual Incentive Compensation</w:t>
      </w:r>
      <w:r>
        <w:rPr>
          <w:rFonts w:ascii="Times New Roman" w:cs="Times New Roman" w:eastAsia="Times New Roman" w:hAnsi="Times New Roman"/>
          <w:sz w:val="18"/>
          <w:szCs w:val="18"/>
          <w:color w:val="auto"/>
        </w:rPr>
        <w:t>.”</w:t>
      </w:r>
    </w:p>
    <w:p>
      <w:pPr>
        <w:ind w:left="460" w:right="520" w:hanging="452"/>
        <w:spacing w:after="0" w:line="261"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401(k) matching contributions. For additional information, refer to the discussion in the “Narrative Disclosure to 2016 Summary Compensation Table” below under the heading “—</w:t>
      </w:r>
      <w:r>
        <w:rPr>
          <w:rFonts w:ascii="Times New Roman" w:cs="Times New Roman" w:eastAsia="Times New Roman" w:hAnsi="Times New Roman"/>
          <w:sz w:val="18"/>
          <w:szCs w:val="18"/>
          <w:i w:val="1"/>
          <w:iCs w:val="1"/>
          <w:color w:val="auto"/>
        </w:rPr>
        <w:t>Retirement, Health, Welfare and Additional Benefits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long-term equity-based compensation awards. The named executive officers also generally participate in employee benefit plans and programs that we offer to our other full-time employees on the same basis.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We pay our named executive officers a base salary that is intended to provide a fixed component of compensation reflecting the executive’s skill set, experience, role and responsibilities. Base salaries for our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named executive officers have generally been set at levels deemed necessary to attract and retain the named executive officers and were originally established in each named executive officer’s employment agreement or offer letter. The following table shows the annual base salaries for 2016 and 2017 of our named executive officers.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 Annual</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2017 Annual</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6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173"/>
        </w:trPr>
        <w:tc>
          <w:tcPr>
            <w:tcW w:w="3720" w:type="dxa"/>
            <w:vAlign w:val="bottom"/>
            <w:gridSpan w:val="2"/>
            <w:vMerge w:val="continue"/>
          </w:tcPr>
          <w:p>
            <w:pPr>
              <w:spacing w:after="0"/>
              <w:rPr>
                <w:sz w:val="15"/>
                <w:szCs w:val="15"/>
                <w:color w:val="auto"/>
              </w:rPr>
            </w:pPr>
          </w:p>
        </w:tc>
        <w:tc>
          <w:tcPr>
            <w:tcW w:w="34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David</w:t>
            </w:r>
          </w:p>
        </w:tc>
        <w:tc>
          <w:tcPr>
            <w:tcW w:w="33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Morken</w:t>
            </w:r>
          </w:p>
        </w:tc>
        <w:tc>
          <w:tcPr>
            <w:tcW w:w="2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Murdock</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304,890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Matton</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Hoffman</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289,877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Annual Incentive Compensation</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named executive officers have the opportunity to earn annual cash bonuses to compensate them for attaining certain company and individual performance goals. The 2016 target bonus amounts for our named executive officers were 100% of annual base salary for Mr. Morken, and 50% of annual base salary for Mr. Hoffman, Mr. Matton and Mr. Murdock. Actual payout levels were determined in early 2017 based on overall 2016 performance, taking into account the Company’s achievement of its financial and strategic objectives and the named executive officer’s achievement of personal objectives established by the Company. The actual cash bonuses earned by our named executive officers for 2016 are reported under the “Non-Equity Incentive Plan Compensation” column of the 2016 Summary Compensation Table above.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2016 Transaction Bonus Awards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part of their compensation for 2016, each of our named executive officers received a one-time discretionary transaction-related bonus based on the successful Spin-Off of Republic Wireless, Inc. in November 2016. These bonus amounts were earned as of November 2016 and were paid in December 2016. The amounts awarded to our named executive officers are reported under the “Bonus” column of the 2016 Summary Compensation Table above.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generally offer stock options to our employees, including our named executive officers, as the long-term incentive component of our compensation program. We typically grant options to employees when they commence employment with us and may thereafter grant additional options in the discretion of our board of directors. Our stock options generally allow employees to purchase shares of our common stock at a price equal to the fair market value of our common stock on the date of grant, as determined by the board of directors, and may be intended to qualify as “incentive stock options” under the Internal Revenue Code.</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stock options typically vest in equal annual installments over a four-year period, with the first such installment occurring on the first anniversary of the grant date (or an earlier vesting commencement date, if determined by the board of directors), subject to the holder’s continued employment with us as of each applicable vesting date. From time to time, our board of directors may also construct alternate vesting schedules as it determines are appropriate to motivate particular employees. We did not award any stock options to our named executive officers during 2016.</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intend to adopt a 2017 Incentive Award Plan, referred to below as the 2017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2017 Plan, please see the section entitled “2017 Incentive Award Plan” below.</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80"/>
          </w:cols>
          <w:pgMar w:left="240" w:top="455" w:right="2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(other than Mr. Morken) long-term life insurance, to the same extent as our other full-time employees, subject to the terms and eligibility requirements of those plans. Our named executive officers are also eligible to participate in a separate long-term disability plan which we maintain for our senior executives. Mr. Morken also participates in a separate life insurance plan that we maintain.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Internal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Revenue Code, to the same extent as our other full-time employees. Currently, we match</w:t>
            </w:r>
          </w:p>
        </w:tc>
        <w:tc>
          <w:tcPr>
            <w:tcW w:w="4920" w:type="dxa"/>
            <w:vAlign w:val="bottom"/>
            <w:gridSpan w:val="10"/>
          </w:tcPr>
          <w:p>
            <w:pPr>
              <w:jc w:val="right"/>
              <w:ind w:right="60"/>
              <w:spacing w:after="0"/>
              <w:rPr>
                <w:sz w:val="20"/>
                <w:szCs w:val="20"/>
                <w:color w:val="auto"/>
              </w:rPr>
            </w:pPr>
            <w:r>
              <w:rPr>
                <w:rFonts w:ascii="Times New Roman" w:cs="Times New Roman" w:eastAsia="Times New Roman" w:hAnsi="Times New Roman"/>
                <w:sz w:val="18"/>
                <w:szCs w:val="18"/>
                <w:color w:val="auto"/>
              </w:rPr>
              <w:t>% of contributions made by participants in the 401(k) plan up to a</w:t>
            </w:r>
          </w:p>
        </w:tc>
        <w:tc>
          <w:tcPr>
            <w:tcW w:w="0" w:type="dxa"/>
            <w:vAlign w:val="bottom"/>
          </w:tcPr>
          <w:p>
            <w:pPr>
              <w:spacing w:after="0"/>
              <w:rPr>
                <w:sz w:val="1"/>
                <w:szCs w:val="1"/>
                <w:color w:val="auto"/>
              </w:rPr>
            </w:pPr>
          </w:p>
        </w:tc>
      </w:tr>
      <w:tr>
        <w:trPr>
          <w:trHeight w:val="234"/>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company match of</w:t>
            </w:r>
          </w:p>
        </w:tc>
        <w:tc>
          <w:tcPr>
            <w:tcW w:w="814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 All matching contributions are subject to vesting at the rate of approximately 33% per year of service.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5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2016 Fiscal Year-End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2"/>
          </w:tcPr>
          <w:p>
            <w:pPr>
              <w:jc w:val="center"/>
              <w:ind w:right="56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40" w:type="dxa"/>
            <w:vAlign w:val="bottom"/>
          </w:tcPr>
          <w:p>
            <w:pPr>
              <w:spacing w:after="0"/>
              <w:rPr>
                <w:sz w:val="12"/>
                <w:szCs w:val="12"/>
                <w:color w:val="auto"/>
              </w:rPr>
            </w:pPr>
          </w:p>
        </w:tc>
        <w:tc>
          <w:tcPr>
            <w:tcW w:w="1400" w:type="dxa"/>
            <w:vAlign w:val="bottom"/>
            <w:gridSpan w:val="2"/>
          </w:tcPr>
          <w:p>
            <w:pPr>
              <w:jc w:val="center"/>
              <w:ind w:right="56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3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2420" w:type="dxa"/>
            <w:vAlign w:val="bottom"/>
            <w:gridSpan w:val="3"/>
            <w:vMerge w:val="continue"/>
          </w:tcPr>
          <w:p>
            <w:pPr>
              <w:spacing w:after="0"/>
              <w:rPr>
                <w:sz w:val="15"/>
                <w:szCs w:val="15"/>
                <w:color w:val="auto"/>
              </w:rPr>
            </w:pPr>
          </w:p>
        </w:tc>
        <w:tc>
          <w:tcPr>
            <w:tcW w:w="3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center"/>
              <w:ind w:right="56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David</w:t>
            </w:r>
          </w:p>
        </w:tc>
        <w:tc>
          <w:tcPr>
            <w:tcW w:w="20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Morken</w:t>
            </w:r>
          </w:p>
        </w:tc>
        <w:tc>
          <w:tcPr>
            <w:tcW w:w="3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4/13/2012</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640" w:type="dxa"/>
            <w:vAlign w:val="bottom"/>
            <w:tcBorders>
              <w:top w:val="single" w:sz="8" w:color="CCEEFF"/>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w w:val="91"/>
              </w:rPr>
              <w:t>(1)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Murdock</w:t>
            </w:r>
          </w:p>
        </w:tc>
        <w:tc>
          <w:tcPr>
            <w:tcW w:w="408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10/2/2008</w:t>
            </w: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45,705</w:t>
            </w:r>
            <w:r>
              <w:rPr>
                <w:rFonts w:ascii="Times New Roman" w:cs="Times New Roman" w:eastAsia="Times New Roman" w:hAnsi="Times New Roman"/>
                <w:sz w:val="15"/>
                <w:szCs w:val="15"/>
                <w:color w:val="auto"/>
              </w:rPr>
              <w:t>(1)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10/2/2008</w:t>
            </w: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15,600</w:t>
            </w:r>
            <w:r>
              <w:rPr>
                <w:rFonts w:ascii="Times New Roman" w:cs="Times New Roman" w:eastAsia="Times New Roman" w:hAnsi="Times New Roman"/>
                <w:sz w:val="15"/>
                <w:szCs w:val="15"/>
                <w:color w:val="auto"/>
              </w:rPr>
              <w:t>(1)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8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7/26/2010</w:t>
            </w: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16,000</w:t>
            </w:r>
            <w:r>
              <w:rPr>
                <w:rFonts w:ascii="Times New Roman" w:cs="Times New Roman" w:eastAsia="Times New Roman" w:hAnsi="Times New Roman"/>
                <w:sz w:val="15"/>
                <w:szCs w:val="15"/>
                <w:color w:val="auto"/>
              </w:rPr>
              <w:t>(2)</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ind w:left="3220"/>
              <w:spacing w:after="0"/>
              <w:rPr>
                <w:sz w:val="20"/>
                <w:szCs w:val="20"/>
                <w:color w:val="auto"/>
              </w:rPr>
            </w:pPr>
            <w:r>
              <w:rPr>
                <w:rFonts w:ascii="Times New Roman" w:cs="Times New Roman" w:eastAsia="Times New Roman" w:hAnsi="Times New Roman"/>
                <w:sz w:val="18"/>
                <w:szCs w:val="18"/>
                <w:color w:val="auto"/>
              </w:rPr>
              <w:t>3/15/2011</w:t>
            </w: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120,000</w:t>
            </w:r>
            <w:r>
              <w:rPr>
                <w:rFonts w:ascii="Times New Roman" w:cs="Times New Roman" w:eastAsia="Times New Roman" w:hAnsi="Times New Roman"/>
                <w:sz w:val="15"/>
                <w:szCs w:val="15"/>
                <w:color w:val="auto"/>
              </w:rPr>
              <w:t>(1)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3/15/2021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Chris Matton</w:t>
            </w:r>
          </w:p>
        </w:tc>
        <w:tc>
          <w:tcPr>
            <w:tcW w:w="4080" w:type="dxa"/>
            <w:vAlign w:val="bottom"/>
            <w:gridSpan w:val="3"/>
            <w:shd w:val="clear" w:color="auto" w:fill="CCEEFF"/>
          </w:tcPr>
          <w:p>
            <w:pPr>
              <w:ind w:left="3220"/>
              <w:spacing w:after="0" w:line="198" w:lineRule="exact"/>
              <w:rPr>
                <w:sz w:val="20"/>
                <w:szCs w:val="20"/>
                <w:color w:val="auto"/>
              </w:rPr>
            </w:pPr>
            <w:r>
              <w:rPr>
                <w:rFonts w:ascii="Times New Roman" w:cs="Times New Roman" w:eastAsia="Times New Roman" w:hAnsi="Times New Roman"/>
                <w:sz w:val="18"/>
                <w:szCs w:val="18"/>
                <w:color w:val="auto"/>
              </w:rPr>
              <w:t>7/26/2010</w:t>
            </w:r>
          </w:p>
        </w:tc>
        <w:tc>
          <w:tcPr>
            <w:tcW w:w="1740" w:type="dxa"/>
            <w:vAlign w:val="bottom"/>
            <w:gridSpan w:val="3"/>
            <w:shd w:val="clear" w:color="auto" w:fill="CCEEFF"/>
          </w:tcPr>
          <w:p>
            <w:pPr>
              <w:jc w:val="right"/>
              <w:ind w:right="383"/>
              <w:spacing w:after="0" w:line="198" w:lineRule="exact"/>
              <w:rPr>
                <w:sz w:val="20"/>
                <w:szCs w:val="20"/>
                <w:color w:val="auto"/>
              </w:rPr>
            </w:pPr>
            <w:r>
              <w:rPr>
                <w:rFonts w:ascii="Times New Roman" w:cs="Times New Roman" w:eastAsia="Times New Roman" w:hAnsi="Times New Roman"/>
                <w:sz w:val="18"/>
                <w:szCs w:val="18"/>
                <w:color w:val="auto"/>
              </w:rPr>
              <w:t>25,000</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7/26/2020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7/26/2010</w:t>
            </w:r>
          </w:p>
        </w:tc>
        <w:tc>
          <w:tcPr>
            <w:tcW w:w="17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15"/>
                <w:szCs w:val="15"/>
                <w:color w:val="auto"/>
              </w:rPr>
              <w:t>(4)</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3/15/2011</w:t>
            </w:r>
          </w:p>
        </w:tc>
        <w:tc>
          <w:tcPr>
            <w:tcW w:w="1740" w:type="dxa"/>
            <w:vAlign w:val="bottom"/>
            <w:gridSpan w:val="3"/>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30,000</w:t>
            </w:r>
            <w:r>
              <w:rPr>
                <w:rFonts w:ascii="Times New Roman" w:cs="Times New Roman" w:eastAsia="Times New Roman" w:hAnsi="Times New Roman"/>
                <w:sz w:val="15"/>
                <w:szCs w:val="15"/>
                <w:color w:val="auto"/>
              </w:rPr>
              <w:t>(1)</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3/15/2021</w:t>
            </w:r>
          </w:p>
        </w:tc>
        <w:tc>
          <w:tcPr>
            <w:tcW w:w="0" w:type="dxa"/>
            <w:vAlign w:val="bottom"/>
          </w:tcPr>
          <w:p>
            <w:pPr>
              <w:spacing w:after="0"/>
              <w:rPr>
                <w:sz w:val="1"/>
                <w:szCs w:val="1"/>
                <w:color w:val="auto"/>
              </w:rPr>
            </w:pPr>
          </w:p>
        </w:tc>
      </w:tr>
      <w:tr>
        <w:trPr>
          <w:trHeight w:val="306"/>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 Hoffman</w:t>
            </w:r>
          </w:p>
        </w:tc>
        <w:tc>
          <w:tcPr>
            <w:tcW w:w="394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w w:val="93"/>
              </w:rPr>
              <w:t>11/1/2011</w:t>
            </w:r>
          </w:p>
        </w:tc>
        <w:tc>
          <w:tcPr>
            <w:tcW w:w="140" w:type="dxa"/>
            <w:vAlign w:val="bottom"/>
          </w:tcPr>
          <w:p>
            <w:pPr>
              <w:spacing w:after="0"/>
              <w:rPr>
                <w:sz w:val="24"/>
                <w:szCs w:val="24"/>
                <w:color w:val="auto"/>
              </w:rPr>
            </w:pP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32,609</w:t>
            </w:r>
            <w:r>
              <w:rPr>
                <w:rFonts w:ascii="Times New Roman" w:cs="Times New Roman" w:eastAsia="Times New Roman" w:hAnsi="Times New Roman"/>
                <w:sz w:val="15"/>
                <w:szCs w:val="15"/>
                <w:color w:val="auto"/>
              </w:rPr>
              <w:t>(1)</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11/1/2021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6/4/2014</w:t>
            </w:r>
          </w:p>
        </w:tc>
        <w:tc>
          <w:tcPr>
            <w:tcW w:w="1740" w:type="dxa"/>
            <w:vAlign w:val="bottom"/>
            <w:gridSpan w:val="3"/>
          </w:tcPr>
          <w:p>
            <w:pPr>
              <w:jc w:val="right"/>
              <w:ind w:right="383"/>
              <w:spacing w:after="0"/>
              <w:rPr>
                <w:sz w:val="20"/>
                <w:szCs w:val="20"/>
                <w:color w:val="auto"/>
              </w:rPr>
            </w:pPr>
            <w:r>
              <w:rPr>
                <w:rFonts w:ascii="Times New Roman" w:cs="Times New Roman" w:eastAsia="Times New Roman" w:hAnsi="Times New Roman"/>
                <w:sz w:val="18"/>
                <w:szCs w:val="18"/>
                <w:color w:val="auto"/>
              </w:rPr>
              <w:t>23,682</w:t>
            </w:r>
            <w:r>
              <w:rPr>
                <w:rFonts w:ascii="Times New Roman" w:cs="Times New Roman" w:eastAsia="Times New Roman" w:hAnsi="Times New Roman"/>
                <w:sz w:val="15"/>
                <w:szCs w:val="15"/>
                <w:color w:val="auto"/>
              </w:rPr>
              <w:t>(4)</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7,894</w:t>
            </w:r>
          </w:p>
        </w:tc>
        <w:tc>
          <w:tcPr>
            <w:tcW w:w="2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22.91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vested in equal annual installments over a four-year period, with the first such installment occurring on the first anniversary of the grant date.</w:t>
      </w:r>
    </w:p>
    <w:p>
      <w:pPr>
        <w:spacing w:after="0" w:line="3"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were fully vested as of the grant date.</w:t>
      </w:r>
    </w:p>
    <w:p>
      <w:pPr>
        <w:ind w:left="340" w:right="860" w:hanging="332"/>
        <w:spacing w:after="0" w:line="221" w:lineRule="auto"/>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vested in annual installments over a four-year period, commencing on July 6, 2010, with the first such installment occurring on the second anniversary of the vesting commencement date and the subsequent installments occurring on the third and fourth anniversaries of the vesting commencement date.</w:t>
      </w:r>
    </w:p>
    <w:p>
      <w:pPr>
        <w:ind w:left="340" w:right="20" w:hanging="332"/>
        <w:spacing w:after="0" w:line="233" w:lineRule="auto"/>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in equal annual installments over a four-year period, with the first such installment occurring on the first anniversary of the grant date, provided that in the event of a change in control or corporate reorganization, in either case, following the occurrence of any underwritten public offering by our company of its equity securities (including this offering), any unvested portion of the options shall vest and become exercisable immediately prior to such event, subject to Mr. Hoffman’s continued service to us.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or offer letters with each of our named executive officers. Certain key terms of these agreements are described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David Morken</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entered into an employment agreement with David Morken as of January 1, 2015 (as amended on March 9, 2017), which has an initial term until January 1, 2018 and which will automatically renew for additional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one year periods unless either Mr. Morken or we give at least 60 days’ notice of non-renewal to the other party. This agreement entitled Mr. Morken to receive an initial base salary of $375,000 and the opportunity to earn an annual performance-based bonus, with a target of 100% of base salary, subject to the achievement of individual and company performance goals to be mutually agreed by our board and Mr. Morken at the beginning of each calendar year.</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Mr. Morken is also entitled to receive a cash bonus of $750,000 upon the occurrence of our first firm commitment underwritten public offering resulting in gross proceeds of at least $35 million that occurs during the term of the employment agreement, which we expect will be paid in connection with this offering. Upon a liquidity event in which there is a change of control of our company with a value of at least $750 million (calculated on an enterprise basis) and the transaction commences during the term of the employment agreement and closes on or prior to December 31, 2023, Mr. Morken will additionally be entitled to receive a liquidity bonus as show in the table below (the “Liquidity Bonus”), subject to Mr. Morken’s continued employment through the date of such liquidity event (or his earlier termination by us for any reason or his resignation for “Good Reason” (as defined in his employment agreement) following the commencement of negotiations regarding the potential transaction).</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Calculated on Enterprise Basis</w:t>
            </w:r>
          </w:p>
        </w:tc>
        <w:tc>
          <w:tcPr>
            <w:tcW w:w="2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Liquidity Bonus</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$750,000,000—$999,999,999</w:t>
            </w:r>
          </w:p>
        </w:tc>
        <w:tc>
          <w:tcPr>
            <w:tcW w:w="22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$1,000,000,000—$1,249,999,999</w:t>
            </w:r>
          </w:p>
        </w:tc>
        <w:tc>
          <w:tcPr>
            <w:tcW w:w="2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$1,250,000,000—$1,499,999,999</w:t>
            </w:r>
          </w:p>
        </w:tc>
        <w:tc>
          <w:tcPr>
            <w:tcW w:w="22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$1,500,000,000—$1,749,999,999</w:t>
            </w:r>
          </w:p>
        </w:tc>
        <w:tc>
          <w:tcPr>
            <w:tcW w:w="2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$1,750,000,000—$1,999,999,999</w:t>
            </w:r>
          </w:p>
        </w:tc>
        <w:tc>
          <w:tcPr>
            <w:tcW w:w="22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80" w:type="dxa"/>
            <w:vAlign w:val="bottom"/>
            <w:shd w:val="clear" w:color="auto" w:fill="CCEEFF"/>
          </w:tcPr>
          <w:p>
            <w:pPr>
              <w:spacing w:after="0"/>
              <w:rPr>
                <w:sz w:val="18"/>
                <w:szCs w:val="18"/>
                <w:color w:val="auto"/>
              </w:rPr>
            </w:pP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$2,000,000,000 or more</w:t>
            </w:r>
          </w:p>
        </w:tc>
        <w:tc>
          <w:tcPr>
            <w:tcW w:w="2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If payments to Mr. Morken from us would constitute an “excess parachute payment” within the meaning of Section 280G of the Code, and would be subject to the excise tax imposed by Section 4999 of the Code, then such payments (including the Liquidity Bonus) would be reduced to the extent necessary to avoid the payment of any excess parachute payments and to avoid Mr. Morken being subject to the excise tax imposed by Section 4999 of the Code.</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employment agreement with Mr. Morken provides that any then outstanding and unvested stock options or shares of restricted stock will immediately vest, and the options will be exercisable for the remainder of their full original term, upon the earliest of (i) Mr. Morken’s death during the term of the agreement, (ii) a change in control of our company, or (iii) the termination of Mr. Morken’s employment by us other than for “Cause” (as defined in his employment agreement and including our decision to not renew the term of the employment agreement) or by Mr. Morken for Good Reason. If Mr. Morken’s employment is terminated (i) by us other than for Cause, (ii) by Mr. Morken for Good Reason, or (iii) by Mr. Morken for any reason within 12 months following a change of control of our company that is not approved by at least a majority of our board of directors, then, subject to his execution of a general release of claims in our favor, Mr. Morken is entitled to receive 150% of his then-current base salary plus 150% of his target bonus for the year of termination, payable over an 18 month period following the termination. If Mr. Morken is terminated by us other than for Cause, he will also be entitled to receive company-paid basic medical insurance premiums for 18 months following his termination and a lump sum equal to 18 months of premiums for the term life insurance coverage then in effect. Mr. Morken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John Murdock</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John Murdock, effective October 1, 2008, which has a current term that will expire on January 1, 2018 and which will automatically renew for additional one year periods unless either Mr. Murdock or we give at least 90 days’ notice of non-renewal to the other party. This agreement entitled Mr. Murdock to receive an initial base salary of $250,000 and the opportunity to earn 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performance-based bonus, with a target of $100,000, which will be considered and paid in 4 quarterly installments, subject to the achievement of individual and company performance goals.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employment agreement provides that if we terminate Mr. Murdock without cause (as generally described in his employment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Murdock will be entitled to receive 12 months of his then-current base salary. If Mr. Murdock terminates the employment agreement, he is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six months of his then-current base salary. In the event of a termination of the employment agreement without cause, Mr. Murdock will be eligible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 on a prorated basis in the portion of his stock options that would have otherwise vested in the twelve months following such termination.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Chris Matton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entered into an employment agreement with Chris Matton, effective as of May 3, 2010, which has a current term that will expire on July 6, 2018, and which will automatically renew for additional one year periods unless either Mr. Matton or we give at least 90 days’ notice of non-renewal to the other party. This agreement entitled Mr. Matton to receive an initial base salary of $250,000 and the opportunity to earn an annual performance-based bonus, with a target of $125,000, subject to the achievement of individual and company performance goals.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employment agreement provides that if Mr. Matton’s employment is terminated (i) by us without Cause or (ii) by Mr. Matton for “Good Reason” (as such capitalized terms are defined in his employment agreement), then Mr. Matton will be entitled to receive 12 months of base salary continuation. In the event of a termination of his employment without Cause, Mr. Matton will be eligible to vest on a prorated basis in the portion of his stock options that would have otherwise vested in the twelve months following such termination. Upon a sale or merger of our company, a stock exchange listing or public trading of our company’s stock (including this offering), or other similar material event, all stock options shall vest in full.</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Jeff Hoffman</w:t>
      </w:r>
    </w:p>
    <w:p>
      <w:pPr>
        <w:spacing w:after="0" w:line="121" w:lineRule="exact"/>
        <w:rPr>
          <w:sz w:val="20"/>
          <w:szCs w:val="20"/>
          <w:color w:val="auto"/>
        </w:rPr>
      </w:pPr>
    </w:p>
    <w:p>
      <w:pPr>
        <w:ind w:right="140" w:firstLine="456"/>
        <w:spacing w:after="0" w:line="276" w:lineRule="auto"/>
        <w:rPr>
          <w:sz w:val="20"/>
          <w:szCs w:val="20"/>
          <w:color w:val="auto"/>
        </w:rPr>
      </w:pPr>
      <w:r>
        <w:rPr>
          <w:rFonts w:ascii="Times New Roman" w:cs="Times New Roman" w:eastAsia="Times New Roman" w:hAnsi="Times New Roman"/>
          <w:sz w:val="17"/>
          <w:szCs w:val="17"/>
          <w:color w:val="auto"/>
        </w:rPr>
        <w:t>We entered into an offer letter agreement with Mr. Hoffman, dated as of September 16, 2011, which provides for at-will employment. This agreement entitled Mr. Hoffman to an initial base salary of $250,000 and the opportunity to earn an annual performance-based bonus, with a target of 50% of</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Hoffman’s base salary, subject to the achievement of management by objective performance goals. Pursuant to the terms of his offer letter agreement, if Mr. Hoffman’s employment is terminated (i) by us without “Cause,” or (ii) by Mr. Hoffman for “Good Reason,” (as such capitalized terms are defined in his employment agreement), then, subject to his execution of a general release of claims in our favor, Mr. Hoffman is entitled to receive six months of base salary continuation.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Plans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2017 Incentive Award Plan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Effective prior to the first public trading date of our Class A common stock, we expect to have adopted and, our stockholders are expected to have approved, the 2017 Incentive Award Plan (the “2017 Plan”), under which we may grant cash and equity-based incentive awards to eligible service providers in order to attract, retain and motivate the persons who make important contributions to our company. The material terms of the 2017 Plan are summarized below.</w:t>
      </w:r>
    </w:p>
    <w:p>
      <w:pPr>
        <w:spacing w:after="0" w:line="178" w:lineRule="exact"/>
        <w:rPr>
          <w:sz w:val="20"/>
          <w:szCs w:val="20"/>
          <w:color w:val="auto"/>
        </w:rPr>
      </w:pPr>
    </w:p>
    <w:p>
      <w:pPr>
        <w:jc w:val="both"/>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and Administration. </w:t>
      </w:r>
      <w:r>
        <w:rPr>
          <w:rFonts w:ascii="Times New Roman" w:cs="Times New Roman" w:eastAsia="Times New Roman" w:hAnsi="Times New Roman"/>
          <w:sz w:val="18"/>
          <w:szCs w:val="18"/>
          <w:color w:val="auto"/>
        </w:rPr>
        <w:t>Our employees, consultants and directors, and employees and consultants of our subsidiaries, will be eligible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2017 Plan. The 2017 Plan will be administered by our board of directors, which may delegate its duties and responsibilities to one or more committees of our directors and/or officers (referred to collectively as the plan administrator below), subject to the limitations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80"/>
          </w:cols>
          <w:pgMar w:left="240" w:top="455" w:right="2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imposed under the 2017 Plan, Section 16 of the Exchange Act, stock exchange rules and other applicable laws. The plan administrator will have the authority to take all actions and make all determinations under the 2017 Plan, to interpret the 2017 Plan and award agreements and to adopt, amend and repeal rules for the administration of the 2017 Plan as it deems advisable. The plan administrator will also have the authority to determine which eligible service providers receive awards, grant awards and set the terms and conditions of all awards under the 2017 Plan, including any vesting and vesting acceleration provisions, subject to the conditions and limitations in the 2017 Plan.</w:t>
      </w:r>
    </w:p>
    <w:p>
      <w:pPr>
        <w:spacing w:after="0" w:line="18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Shares Available for Awards. </w:t>
      </w:r>
      <w:r>
        <w:rPr>
          <w:rFonts w:ascii="Times New Roman" w:cs="Times New Roman" w:eastAsia="Times New Roman" w:hAnsi="Times New Roman"/>
          <w:sz w:val="18"/>
          <w:szCs w:val="18"/>
          <w:color w:val="auto"/>
        </w:rPr>
        <w:t>An aggregate of shares of our Class A common stock will initially be available for issuance under the 2017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more than shares of Class A common stock may be issued under the 2017 Plan upon the exercise of incentive stock options. Shares of Class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issued under the 2017 Plan may be authorized but unissued shares, shares purchased on the open market or treasury shares.</w:t>
      </w:r>
    </w:p>
    <w:p>
      <w:pPr>
        <w:spacing w:after="0" w:line="20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an award under the 2017 Plan expires, lapses or is terminated, exchanged for cash, surrendered, repurchased, canceled without having been fully exercised or forfeited, any unused shares subject to the award will again be available for new grants under the 2017 Plan. Awards granted under the 2017 Plan in substitution for any options or other stock or stock-based awards granted by an entity before the entity’s merger or consolidation with us or our acquisition of the entity’s property or stock will not reduce the shares of Class A common stock available for grant under the 2017 Plan, but will count against the maximum number of shares of Class A common stock that may be issued upon the exercise of incentive stock options.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maximum aggregate grant date fair value as determined in accordance with FASB ASC Topic 718 (or any successor thereto), of awards</w:t>
      </w:r>
    </w:p>
    <w:p>
      <w:pPr>
        <w:spacing w:after="0" w:line="27" w:lineRule="exact"/>
        <w:rPr>
          <w:sz w:val="20"/>
          <w:szCs w:val="20"/>
          <w:color w:val="auto"/>
        </w:rPr>
      </w:pPr>
    </w:p>
    <w:p>
      <w:pPr>
        <w:spacing w:after="0"/>
        <w:tabs>
          <w:tab w:leader="none" w:pos="9880" w:val="left"/>
        </w:tabs>
        <w:rPr>
          <w:sz w:val="20"/>
          <w:szCs w:val="20"/>
          <w:color w:val="auto"/>
        </w:rPr>
      </w:pPr>
      <w:r>
        <w:rPr>
          <w:rFonts w:ascii="Times New Roman" w:cs="Times New Roman" w:eastAsia="Times New Roman" w:hAnsi="Times New Roman"/>
          <w:sz w:val="18"/>
          <w:szCs w:val="18"/>
          <w:color w:val="auto"/>
        </w:rPr>
        <w:t>granted to any non-employee director for services as a director pursuant to the 2017 Plan during any fiscal year may not exceed $</w:t>
      </w:r>
      <w:r>
        <w:rPr>
          <w:sz w:val="20"/>
          <w:szCs w:val="20"/>
          <w:color w:val="auto"/>
        </w:rPr>
        <w:tab/>
      </w:r>
      <w:r>
        <w:rPr>
          <w:rFonts w:ascii="Times New Roman" w:cs="Times New Roman" w:eastAsia="Times New Roman" w:hAnsi="Times New Roman"/>
          <w:sz w:val="18"/>
          <w:szCs w:val="18"/>
          <w:color w:val="auto"/>
        </w:rPr>
        <w:t>(or, in the fiscal year</w:t>
      </w:r>
    </w:p>
    <w:p>
      <w:pPr>
        <w:spacing w:after="0" w:line="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of any director’s initial service, $ ). The plan administrator may, however, make exceptions to such limit on director compensation in extraordinary circumstances, subject to the limitations in the 2017 Plan.</w:t>
      </w:r>
    </w:p>
    <w:p>
      <w:pPr>
        <w:spacing w:after="0" w:line="17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2017 Plan provides for the grant of stock options, including incentive stock options (“ISOs”) and nonqualified stock options (“NSOs”),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(“SARs”), restricted stock, dividend equivalents, restricted stock units, (“RSUs”), and other stock or cash based awards. Certain awards under the 2017 Plan may constitute or provide for payment of “nonqualified deferred compensation” under Section 409A of the Code. All awards under the 2017 Plan will be set forth in award agreements, which will detail the terms and conditions of awards, including any applicable vesting and payment terms and post-termination exercise limitations. A brief description of each award type follows.</w:t>
      </w:r>
    </w:p>
    <w:p>
      <w:pPr>
        <w:spacing w:after="0" w:line="85" w:lineRule="exact"/>
        <w:rPr>
          <w:sz w:val="20"/>
          <w:szCs w:val="20"/>
          <w:color w:val="auto"/>
        </w:rPr>
      </w:pPr>
    </w:p>
    <w:p>
      <w:pPr>
        <w:ind w:left="900" w:hanging="446"/>
        <w:spacing w:after="0" w:line="253"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Stock options provide for the purchase of shares of our Class A common stock in the future at an exercise price set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ISOs, by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plan administrator will determine the number of shares of Class A common stock covered by each option and SAR, the exercise price of each option and SAR and the conditions and limitations applicable to the exercise of each option and SAR. The exercise price of a stock option or SAR will not be less than 100% of the fair market value of the underlying share on the grant date (or 110% in the case of ISOs granted to certain significant stockholders), except with</w:t>
      </w:r>
    </w:p>
    <w:p>
      <w:pPr>
        <w:spacing w:after="0" w:line="6" w:lineRule="exact"/>
        <w:rPr>
          <w:sz w:val="20"/>
          <w:szCs w:val="20"/>
          <w:color w:val="auto"/>
        </w:rPr>
      </w:pPr>
    </w:p>
    <w:p>
      <w:pPr>
        <w:ind w:left="900" w:right="60"/>
        <w:spacing w:after="0" w:line="250" w:lineRule="auto"/>
        <w:rPr>
          <w:sz w:val="20"/>
          <w:szCs w:val="20"/>
          <w:color w:val="auto"/>
        </w:rPr>
      </w:pPr>
      <w:r>
        <w:rPr>
          <w:rFonts w:ascii="Times New Roman" w:cs="Times New Roman" w:eastAsia="Times New Roman" w:hAnsi="Times New Roman"/>
          <w:sz w:val="18"/>
          <w:szCs w:val="18"/>
          <w:color w:val="auto"/>
        </w:rPr>
        <w:t>respect to certain substitute awards granted in connection with a corporate transaction. The term of a stock option or SAR may not be longer than ten years (or five years in the case of ISOs granted to certain significant stockholders). The maximum aggregate number of shares of Class A common stock with respect to one or more options or SARs that may be granted to any one person during any fiscal year of the company will</w:t>
      </w:r>
    </w:p>
    <w:p>
      <w:pPr>
        <w:spacing w:after="0" w:line="1" w:lineRule="exact"/>
        <w:rPr>
          <w:sz w:val="20"/>
          <w:szCs w:val="20"/>
          <w:color w:val="auto"/>
        </w:rPr>
      </w:pPr>
    </w:p>
    <w:p>
      <w:pPr>
        <w:ind w:left="900"/>
        <w:spacing w:after="0"/>
        <w:tabs>
          <w:tab w:leader="none" w:pos="1640" w:val="left"/>
        </w:tabs>
        <w:rPr>
          <w:sz w:val="20"/>
          <w:szCs w:val="20"/>
          <w:color w:val="auto"/>
        </w:rPr>
      </w:pPr>
      <w:r>
        <w:rPr>
          <w:rFonts w:ascii="Times New Roman" w:cs="Times New Roman" w:eastAsia="Times New Roman" w:hAnsi="Times New Roman"/>
          <w:sz w:val="18"/>
          <w:szCs w:val="18"/>
          <w:color w:val="auto"/>
        </w:rPr>
        <w:t>be</w:t>
      </w:r>
      <w:r>
        <w:rPr>
          <w:sz w:val="20"/>
          <w:szCs w:val="20"/>
          <w:color w:val="auto"/>
        </w:rPr>
        <w:tab/>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900" w:right="300" w:hanging="446"/>
        <w:spacing w:after="0" w:line="284"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Restricted stock is an award of nontransferable shares of our Class A common stock that remain forfeitable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until specified conditions are met and which may be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subject to a purchase price. RSUs are contractual promises to deliver shares of our Class A common stock in the future, which may also remain forfeitable unless and until specified conditions are met and may be accompanied by the right to receive the equivalent value of dividends paid on shares of our Class A common stock prior to the delivery of the underlying shares. The plan administrator may provide that the delivery of the shares of Class A common stock underlying RSUs will be deferred on a mandatory basis or at the election of the participant. The terms and conditions applicable to restricted stock and RSUs will be determined by the plan administrator, subject to the conditions and limitations contained in the 2017 Plan.</w:t>
      </w:r>
    </w:p>
    <w:p>
      <w:pPr>
        <w:spacing w:after="0" w:line="91" w:lineRule="exact"/>
        <w:rPr>
          <w:sz w:val="20"/>
          <w:szCs w:val="20"/>
          <w:color w:val="auto"/>
        </w:rPr>
      </w:pPr>
    </w:p>
    <w:p>
      <w:pPr>
        <w:ind w:left="900" w:right="40" w:hanging="446"/>
        <w:spacing w:after="0" w:line="257"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 or Cash Based Awards</w:t>
      </w:r>
      <w:r>
        <w:rPr>
          <w:rFonts w:ascii="Times New Roman" w:cs="Times New Roman" w:eastAsia="Times New Roman" w:hAnsi="Times New Roman"/>
          <w:sz w:val="18"/>
          <w:szCs w:val="18"/>
          <w:color w:val="auto"/>
        </w:rPr>
        <w:t>. Other stock or cash based awards are awards of cash, fully vested shares of our Class A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awards valued wholly or partially by referring to, or otherwise based on, shares of our Class A common stock or other property. Other stock or cash based awards may be granted to participants and may also be available as a payment form in the settlement of other awards, as standalone payments and as payment in lieu of compensation to which a participant is otherwise entitled. The plan administrator will determine the terms and conditions of other stock or cash based awards, which may include any purchase price, performance goal, transfer restrictions and vesting conditions.</w:t>
      </w:r>
    </w:p>
    <w:p>
      <w:pPr>
        <w:spacing w:after="0" w:line="18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Performance Criteria. </w:t>
      </w:r>
      <w:r>
        <w:rPr>
          <w:rFonts w:ascii="Times New Roman" w:cs="Times New Roman" w:eastAsia="Times New Roman" w:hAnsi="Times New Roman"/>
          <w:sz w:val="18"/>
          <w:szCs w:val="18"/>
          <w:color w:val="auto"/>
        </w:rPr>
        <w:t>The plan administrator may select performance criteria for an award to establish performance goals for a performance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criteria under the 2017 Plan may include, but are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When determining performance goals, the plan administrator may provide for exclusion of the impact of an event or occurrence which the plan administrator determines should appropriately be excluded, including, without limitation, non-recurring charges or events, acquisitions or divestitures, changes in the corporate or capital structure, events unrelated to the business or outside of the control of management, foreign exchange considerations, and legal, regulatory, tax or accounting changes.</w:t>
      </w:r>
    </w:p>
    <w:p>
      <w:pPr>
        <w:spacing w:after="0" w:line="191"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Certain Transactions. </w:t>
      </w:r>
      <w:r>
        <w:rPr>
          <w:rFonts w:ascii="Times New Roman" w:cs="Times New Roman" w:eastAsia="Times New Roman" w:hAnsi="Times New Roman"/>
          <w:sz w:val="18"/>
          <w:szCs w:val="18"/>
          <w:color w:val="auto"/>
        </w:rPr>
        <w:t>In connection with certain corporate transactions and events affecting our Class A common stock, including a 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change in any applicable laws or accounting principles, the plan administrator has broad discretion to take action under the 2017 Plan to prevent the dilution or enlargement of intended benefits, facilitate the transaction or event or give effect to the change in applicable laws or accounting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principles. This includes canceling awards for cash or property, accelerating the vesting of awards, providing for the assumption or substitution of awards by a successor entity, adjusting the number and type of shares subject to outstanding awards and/or with respect to which awards may be granted under the 2017 Plan and replacing or terminating awards under the 2017 Plan. In addition, in the event of certain non-reciprocal transactions with our stockholders, the plan administrator will make equitable adjustments to the 2017 Plan and outstanding awards as it deems appropriate to reflect the transaction.</w:t>
      </w:r>
    </w:p>
    <w:p>
      <w:pPr>
        <w:spacing w:after="0" w:line="178"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Amendment and Termination. </w:t>
      </w:r>
      <w:r>
        <w:rPr>
          <w:rFonts w:ascii="Times New Roman" w:cs="Times New Roman" w:eastAsia="Times New Roman" w:hAnsi="Times New Roman"/>
          <w:sz w:val="18"/>
          <w:szCs w:val="18"/>
          <w:color w:val="auto"/>
        </w:rPr>
        <w:t>Our board of directors may amend or terminate the 2017 Plan at any time; however, no amendment, other than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that increases the number of shares available under the 2017 Plan, may materially and adversely affect an award outstanding under the 2017 Plan without the consent of the affected participant and stockholder approval will be obtained for any amendment to the extent necessary to comply with applicable laws. Further, the plan administrator can, without the approval of our stockholders, amend any outstanding stock option or SAR to reduce its price per share. The 2017 Plan will remain in effect until the tenth anniversary of its effective date, unless earlier terminated by our board of directors. No awards may be granted under the 2017 Plan after its termination.</w:t>
      </w:r>
    </w:p>
    <w:p>
      <w:pPr>
        <w:spacing w:after="0" w:line="18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Participants, Claw-Back Provisions, Transferability and Participant Payments. </w:t>
      </w:r>
      <w:r>
        <w:rPr>
          <w:rFonts w:ascii="Times New Roman" w:cs="Times New Roman" w:eastAsia="Times New Roman" w:hAnsi="Times New Roman"/>
          <w:sz w:val="18"/>
          <w:szCs w:val="18"/>
          <w:color w:val="auto"/>
        </w:rPr>
        <w:t>The plan administrator may modify awards granted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who are foreign nationals or employed outside the United States or establish subplans or procedures to address differences in laws, rules, regulations or customs of such foreign jurisdictions. All awards will be subject to any company claw-back policy as set forth in such claw-back policy or the applicable award agreement. Except as the plan administrator may determine or provide in an award agreement, awards under the 2017 Plan are generally non-transferrable, except by will or the laws of descent and distribution, or, subject to the plan administrator’s consent, pursuant to a domestic relations order, and are generally exercisable only by the participant. With regard to tax withholding obligations arising in connection with awards under the 2017 Plan, and exercise price obligations arising in connection with the exercise of stock options under the 2017 Plan, the plan administrator may, in its discretion, accept cash, wire transfer or check, shares of our common stock that meet specified conditions, a promissory note, a “market sell order,” such other consideration as the plan administrator deems suitable or any combination of the foregoing.</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2010 Equity Compensation Plan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and stockholders have approved our 2010 Equity Compensation Plan (the “2010 Plan”), under which we may grant stock options and other stock-based awards to employees, directors and consultants of our company or its affiliates. We have reserved a total of 1,336,510 shares of our Class A common stock for issuance under the 2010 Plan.</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2017 Plan, we will not make any further grants under the 2010 Plan. However, the 2010 Plan will continue to govern the terms and conditions of the outstanding awards granted under it. As discussed above, we anticipate that shares of our Class A common stock subject to awards granted under the 2010 Plan that are forfeited, lapse unexercised or are settled in cash and which following the effective date of the 2017 Plan are not issued under the 2010 Plan will be available for issuance under the 2017 Plan.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administers the 2010 Plan and has the authority to determine recipients of awards and the terms of awards granted under the 2010 Plan, to interpret the 2010 Plan and awards outstanding thereunder, and to make changes to awards outstanding under the 2010 Plan. The board of directors may delegate its authority under the 2010 Plan to a committee.</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2010 Plan provides for the grant of non-qualified and incentive stock options, restricted stock and other stock-based awards to employees, officers, directors, consultants and other service providers of our company.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of this prospectus, only awards of incentive stock options and non-qualified stock options are outstanding under the 2010 Plan.</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certain changes are made in, or events occur with respect to, our Class A common stock, the 2010 Plan and outstanding awards will be appropriately adjusted in the class, number and, as applicable, exercise price of securities as determined by the 2010 Plan administrator. In the event of certain corporate transactions of our company, including a consolidation, merger, or a liquidation, the 2010 Plan administrator may make equitable adjustments in the class, number, terms and conditions, and, as applicable, exercise price of securities of outstanding awards.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at any time and from time to time, may amend or terminate the 2010 Plan or any portion thereof from time to time, provided that no amendment or discontinuance of the 2010 Plan or any provision thereof shall, without the written consent of the participant, adversely affect (as determined by the 2010 Plan administrator) any award previously granted to such participant under the 2010 Plan. Furthermore, no amendment, without approval by our stockholders, shall alter the group of persons eligible to participate in the 2010 Plan, increase the maximum number of shares available for issuance pursuant to awards granted under the 2010 Plan, extend the period during which incentive stock options may be granted beyond the date that is 10 years following the effective date of the 2010 Plan, limit or restrict the powers of the 2010 Plan administrator with respect to the administration of the plan, change the eligibility of who may be granted incentive stock options or increase the limit or value of shares for which an eligible participant may be granted an incentive stock option, materially increase the benefits accruing to the participants under the 2010 Plan or change any provisions of the 2010 Plan related to amending or terminating the 2010 Plan.</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2001 Stock Option Plan</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and stockholders have approved our 2001 Stock Option Plan (the “2001 Plan”), under which we may grant stock options (both non-qualified and incentive stock options) to purchase shares of our Class B common stock to employees, directors and consultants of our company or its affiliates. Following the effectiveness of the 2010 Plan, we did not make any further grants under the 2001 Plan. However, the 2001 Plan will continue to govern the terms and conditions of the outstanding awards granted under it.</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administers the 2001 Plan and has the authority to determine recipients of awards and the terms of awards granted under the 2001 Plan, to interpret the 2001 Plan and awards outstanding thereunder, and to make changes to awards outstanding under the 2001 Plan. The board of directors may delegate its authority under the 2001 Plan to a committee.</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1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If certain changes are made in, or events occur with respect to, our Class B common stock, the 2001 Plan and outstanding awards will be appropriately adjusted in the class, number and, as applicable, exercise price of securities to the extent that the 2001 Plan administrator determines, in good faith, that such an adjustment is necessary or appropriate.</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may, at any time, terminate the 2001 Plan or make such changes in or additions to the 2001 Plan as we deem advisable without further action on the part of our stockholders, provided that no such termination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80"/>
          </w:cols>
          <w:pgMar w:left="240" w:top="455" w:right="2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amendment shall adversely affect or impair any then-outstanding option without the consent of such holder and provided further that any increase in the number of shares of stock covered by the 2001 Plan shall be subject to the approval of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or our subsidiaries’ officers, employees, consultants or advisors who also serve as directors do not receive additional compensation for their service as directors. Our directors who are not our or our subsidiaries’ officers, employees, consultants or advisors, who we refer to as our non-employee directors, will receive cash and equity-based compensation for their services as directors.</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 summary form information concerning the compensation that we paid or awarded during the year ended December 31, 2016 to each of our non-employee directors: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520" w:type="dxa"/>
            <w:vAlign w:val="bottom"/>
            <w:gridSpan w:val="2"/>
          </w:tcPr>
          <w:p>
            <w:pPr>
              <w:jc w:val="center"/>
              <w:ind w:left="264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6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5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gridSpan w:val="2"/>
            <w:vMerge w:val="continue"/>
          </w:tcPr>
          <w:p>
            <w:pPr>
              <w:spacing w:after="0"/>
              <w:rPr>
                <w:sz w:val="15"/>
                <w:szCs w:val="15"/>
                <w:color w:val="auto"/>
              </w:rPr>
            </w:pPr>
          </w:p>
        </w:tc>
        <w:tc>
          <w:tcPr>
            <w:tcW w:w="352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4"/>
              </w:rPr>
              <w:t>Brian</w:t>
            </w:r>
          </w:p>
        </w:tc>
        <w:tc>
          <w:tcPr>
            <w:tcW w:w="34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Bailey</w:t>
            </w:r>
            <w:r>
              <w:rPr>
                <w:rFonts w:ascii="Times New Roman" w:cs="Times New Roman" w:eastAsia="Times New Roman" w:hAnsi="Times New Roman"/>
                <w:sz w:val="15"/>
                <w:szCs w:val="15"/>
                <w:color w:val="auto"/>
              </w:rPr>
              <w:t>(1)</w:t>
            </w:r>
          </w:p>
        </w:tc>
        <w:tc>
          <w:tcPr>
            <w:tcW w:w="27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$ 120,000</w:t>
            </w: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380" w:hanging="452"/>
        <w:spacing w:after="0" w:line="282" w:lineRule="auto"/>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in respect of Mr. Bailey’s service as a director were paid to Carmichael Partners, a private investment firm based in Charlotte, North Carolina.</w:t>
      </w:r>
    </w:p>
    <w:p>
      <w:pPr>
        <w:spacing w:after="0" w:line="162"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will approve the initial terms of our non-employee director compensation program, which is expected to consist of the following:</w:t>
      </w:r>
    </w:p>
    <w:p>
      <w:pPr>
        <w:sectPr>
          <w:pgSz w:w="11900" w:h="16838" w:orient="portrait"/>
          <w:cols w:equalWidth="0" w:num="1">
            <w:col w:w="11420"/>
          </w:cols>
          <w:pgMar w:left="240" w:top="455" w:right="239" w:bottom="1440" w:gutter="0" w:footer="0" w:header="0"/>
        </w:sectPr>
      </w:pP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annual retainer of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76" w:lineRule="exact"/>
        <w:rPr>
          <w:sz w:val="20"/>
          <w:szCs w:val="20"/>
          <w:color w:val="auto"/>
        </w:rPr>
      </w:pPr>
    </w:p>
    <w:p>
      <w:pPr>
        <w:sectPr>
          <w:pgSz w:w="11900" w:h="16838" w:orient="portrait"/>
          <w:cols w:equalWidth="0" w:num="3">
            <w:col w:w="520" w:space="380"/>
            <w:col w:w="1620" w:space="540"/>
            <w:col w:w="836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additional annual retainer of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 service as the chair of any standing committee; and</w:t>
      </w:r>
    </w:p>
    <w:p>
      <w:pPr>
        <w:spacing w:after="0" w:line="131" w:lineRule="exact"/>
        <w:rPr>
          <w:sz w:val="20"/>
          <w:szCs w:val="20"/>
          <w:color w:val="auto"/>
        </w:rPr>
      </w:pPr>
    </w:p>
    <w:p>
      <w:pPr>
        <w:sectPr>
          <w:pgSz w:w="11900" w:h="16838" w:orient="portrait"/>
          <w:cols w:equalWidth="0" w:num="3">
            <w:col w:w="520" w:space="380"/>
            <w:col w:w="2380" w:space="580"/>
            <w:col w:w="756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annual equity-based award granted under our 2017 Plan, having a value as of the grant date of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520" w:space="380"/>
            <w:col w:w="8200" w:space="540"/>
            <w:col w:w="1780"/>
          </w:cols>
          <w:pgMar w:left="240" w:top="455" w:right="239" w:bottom="1440" w:gutter="0" w:footer="0" w:header="0"/>
          <w:type w:val="continuous"/>
        </w:sectPr>
      </w:pPr>
    </w:p>
    <w:p>
      <w:pPr>
        <w:spacing w:after="0" w:line="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Non-employee directors will also receive reimbursement for out-of-pocket expenses associated with attending board or committee meetings and director and officer liability insurance coverage. Each director will be fully indemnified by us for actions associated with being a director to the fullest extent permitted under Delaware law.</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type w:val="continuous"/>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expects to adopt a written statement of policy, effective upon completion of this offering, for the evaluation of and the approval, disapproval and monitoring of transactions involving us and “related persons.” For the purposes of the policy, “related persons” will include our executive officers, directors and director nominees or their immediate family members, or shareholders owning five percent or more of our outstanding common shares and their immediate family members.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Republic Wireless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Agreement</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Spin-Off, we and Republic Wireless entered into a Reorganization Agreement (the “Reorganization Agreement”) to provide for, among other things, the principal corporate transactions (including the internal restructuring) required to effect the Spin-Off, certain conditions to the Spin-Off and provisions governing the relationship between us and Republic Wireless with respect to and resulting from the Spin-Off.</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Reorganization Agreement provides for mutual indemnification obligations, which are designed to make Republic Wireless financially responsible for substantially all of the liabilities that existed relating to the Republic Wireless business at the time of the Spin-Off together with certain other specified liabilities, as well as for all liabilities incurred by Republic Wireless after the Spin-Off, and to make us financially responsible for all potential liabilities of Republic Wireless which are not related to the Republic Wireless business, including, for example, any liabilities arising as a result of Republic Wireless having been a division of Bandwidth, together with certain other specified liabilities. These indemnification obligations exclude any matters relating to taxes, employee matters and other intercompany agreements. For a description of the allocation of tax-related obligations, please see “—Tax Sharing Agreement” below.</w:t>
      </w:r>
    </w:p>
    <w:p>
      <w:pPr>
        <w:spacing w:after="0" w:line="18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the Reorganization Agreement provided for each of Republic Wireless and us to preserve the confidentiality of all confidential or proprietary information of the other party for five years following the Spin-Off, subject to customary exceptions, including disclosures required by law, court order or government regulation.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w:t>
      </w:r>
    </w:p>
    <w:p>
      <w:pPr>
        <w:spacing w:after="0" w:line="121" w:lineRule="exact"/>
        <w:rPr>
          <w:sz w:val="20"/>
          <w:szCs w:val="20"/>
          <w:color w:val="auto"/>
        </w:rPr>
      </w:pPr>
    </w:p>
    <w:p>
      <w:pPr>
        <w:ind w:right="100" w:firstLine="456"/>
        <w:spacing w:after="0" w:line="281" w:lineRule="auto"/>
        <w:rPr>
          <w:sz w:val="20"/>
          <w:szCs w:val="20"/>
          <w:color w:val="auto"/>
        </w:rPr>
      </w:pPr>
      <w:r>
        <w:rPr>
          <w:rFonts w:ascii="Times New Roman" w:cs="Times New Roman" w:eastAsia="Times New Roman" w:hAnsi="Times New Roman"/>
          <w:sz w:val="17"/>
          <w:szCs w:val="17"/>
          <w:color w:val="auto"/>
        </w:rPr>
        <w:t>We entered into a Tax Sharing Agreement with Republic Wireless that governs our and Republic Wireless’ respective rights, responsibilities and obligations with respect to taxes and tax benefits, the filing of tax returns, the control of audits and other tax matters. References in this summary (i) to the terms “tax” or “taxes” mean U.S. federal, state, local and foreign taxes as well as any interest, penalties, additions to tax or additional amounts in respect of such taxes and (ii) to the term “Tax-related losses” refer to losses arising from the failure of the Spin-Off and related restructuring transactions to be tax-free.</w:t>
      </w:r>
    </w:p>
    <w:p>
      <w:pPr>
        <w:spacing w:after="0" w:line="16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Under the Tax Sharing Agreement, except as described below, (i) we are allocated all taxes attributable to Bandwidth (excluding Republic Wireless) and all taxes attributable to Republic Wireless for a pre-Spin-Off period, that are reported on any consolidated, combined or unitary tax return, and (ii) each of Bandwidth and Republic Wireless is allocated all taxes attributable to it that are reported on any tax return (including any consolidated, combined or unitary tax return) that includes only itself or any of its respective affiliates and subsidiaries. Special rules apply, however, as follows:</w:t>
      </w:r>
    </w:p>
    <w:p>
      <w:pPr>
        <w:spacing w:after="0" w:line="86" w:lineRule="exact"/>
        <w:rPr>
          <w:sz w:val="20"/>
          <w:szCs w:val="20"/>
          <w:color w:val="auto"/>
        </w:rPr>
      </w:pPr>
    </w:p>
    <w:p>
      <w:pPr>
        <w:ind w:left="900" w:hanging="446"/>
        <w:spacing w:after="0" w:line="258"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allocated any taxes and Tax-related losses that result from the Spin-Off and related restructuring transactions, except that Republic Wireless is allocated any such taxes or Tax-related losses that (i) result primarily from, individually or in the aggregate, a breach by Republic Wireless of any of its covenants relating to the Spin-Off and related restructuring transactions, or (ii) result from the application of Section 355(e) of the Code to the Spin-Off as a result of the treatment of the Spin-Off as part of a plan (or series of related transactions) pursuant to which one or more persons acquire, directly or indirectly, a 50% or greater interest in the stock of Republic Wireless;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Republic Wireless are each allocated 50% of any transfer taxes arising from the Spin-Off and related restructuring transactions.</w:t>
      </w:r>
    </w:p>
    <w:p>
      <w:pPr>
        <w:spacing w:after="0" w:line="225" w:lineRule="exact"/>
        <w:rPr>
          <w:sz w:val="20"/>
          <w:szCs w:val="20"/>
          <w:color w:val="auto"/>
        </w:rPr>
      </w:pPr>
    </w:p>
    <w:p>
      <w:pPr>
        <w:ind w:right="60" w:firstLine="456"/>
        <w:spacing w:after="0" w:line="313" w:lineRule="auto"/>
        <w:rPr>
          <w:sz w:val="20"/>
          <w:szCs w:val="20"/>
          <w:color w:val="auto"/>
        </w:rPr>
      </w:pPr>
      <w:r>
        <w:rPr>
          <w:rFonts w:ascii="Times New Roman" w:cs="Times New Roman" w:eastAsia="Times New Roman" w:hAnsi="Times New Roman"/>
          <w:sz w:val="17"/>
          <w:szCs w:val="17"/>
          <w:color w:val="auto"/>
        </w:rPr>
        <w:t>We and Republic Wireless are restricted by certain covenants related to the Spin-Off and related restructuring transactions. These restrictive covenants require that neither we, Republic Wireless nor any member of our or their respective group take, or fail to take, any action if such action, or failure to act:</w:t>
      </w:r>
    </w:p>
    <w:p>
      <w:pPr>
        <w:spacing w:after="0" w:line="44" w:lineRule="exact"/>
        <w:rPr>
          <w:sz w:val="20"/>
          <w:szCs w:val="20"/>
          <w:color w:val="auto"/>
        </w:rPr>
      </w:pPr>
    </w:p>
    <w:p>
      <w:pPr>
        <w:ind w:left="900" w:right="26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inconsistent with or prohibit certain restructuring transactions related to the Spin-Off from qualifying for tax-free treatment for U.S. federal income tax purposes to us and our subsidiaries;</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inconsistent with or prohibit the Spin-Off from qualifying as a tax-free transaction under Section 355, Section 368(a)(1)(D) and related provisions of the Code to us, our subsidiaries and our stockholders; or</w:t>
      </w:r>
    </w:p>
    <w:p>
      <w:pPr>
        <w:spacing w:after="0" w:line="67" w:lineRule="exact"/>
        <w:rPr>
          <w:rFonts w:ascii="Times New Roman" w:cs="Times New Roman" w:eastAsia="Times New Roman" w:hAnsi="Times New Roman"/>
          <w:sz w:val="18"/>
          <w:szCs w:val="18"/>
          <w:color w:val="auto"/>
        </w:rPr>
      </w:pPr>
    </w:p>
    <w:p>
      <w:pPr>
        <w:ind w:left="900" w:right="580" w:hanging="446"/>
        <w:spacing w:after="0" w:line="26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inconsistent with, or otherwise cause any person to be in breach of, any representation, covenant, or material statement made in connection with the tax opinion delivered to us relating to the qualification of the Spin-Off as a tax-free transaction under Section 355, Section 368(a)(1)(D) and related provisions of the Code.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 each party is restricted from taking any position for tax purposes that is inconsistent with the tax opinion obtained in connection with the Spin-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parties must indemnify each other for taxes and losses allocated to them under the Tax Sharing Agreement and for taxes and losses arising from a breach by them of their respective covenants and obligations under the Tax Sharing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Agreements</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Spin-Off, we and Republic Wireless entered into the Transition Services Agreements, pursuant to which we provide Republic Wireless with specified services, including:</w:t>
      </w:r>
    </w:p>
    <w:p>
      <w:pPr>
        <w:spacing w:after="0" w:line="67" w:lineRule="exact"/>
        <w:rPr>
          <w:sz w:val="20"/>
          <w:szCs w:val="20"/>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administration;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typically performed by our legal, tax, accounting, and internal audit departments; and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we may obtain from our officers, employees and consultants in the management of our operations that Republic Wireless may from time to time request or require.</w:t>
      </w:r>
    </w:p>
    <w:p>
      <w:pPr>
        <w:spacing w:after="0" w:line="162"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In addition, we provide to Republic Wireless certain technical and information technology services (including management information systems, computer, data storage, and network services).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Republic Wireless provides us with specified services, including insurance administration support, billing and collections support, certain customer support related to high customer impacting events associated with our Phonebooth service, other technical support and certain legal services related to intellectual property.</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Republic Wireless pay us, and we pay Republic Wireless, an agreed-upon services fee under the Transition Services Agreements. We and Republic Wireless each also reimburse the other for direct out-of-pocket costs incurred by the other party for third-party services. We and Republic Wireless evaluate all charges for reasonableness semi-annually and make adjustments to these charges as we mutually agree. For the six months ended June 30, 2017, we paid Republic Wireless $0.1 million and Republic Wireless paid us $0.5 million under the Transition Services Agreement. Prior to January 1, 2017, the Transition Services Agreement did not exist and as a result, prior to January 1, 2017, no payments were made or due.</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Transition Services Agreements continue in effect until the close of business on the second anniversary of the Spin-Off, unless earlier terminated (1) by Republic Wireless at any time on at least 30 days’ prior written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60"/>
          </w:cols>
          <w:pgMar w:left="240" w:top="455" w:right="2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notice, (2) by us upon written notice to Republic Wireless following a change in control or certain bankruptcy or insolvency-related events affecting Republic Wireless or (3) by Republic Wireless, upon written notice to us, following certain changes in control of us or our being the subject of certain bankruptcy or insolvency—related events. However, Republic Wireless’ obligation to provide certain customer support related to high customer-impacting events associated with our Phonebooth service continues in effect only until the close of business on the first anniversary of the Spin-Off.</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 Sharing Agreement</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Spin-Off, we entered into a Facilities Sharing Agreement (the “Facilities Sharing Agreement”) with Republic Wireless pursuant to which Republic Wireless shares our office facilities located at 940 Main Campus Drive, Raleigh, North Carolina through May 2022. Republic Wireless pays a sharing fee for use of the office facilities based on the amounts paid by us to our landlord and sublandlord, respectively, and an estimate of the usage of the office facilities by or on behalf of Republic Wireless. For the six months ended June 30, 2017, Republic Wireless paid us $0.4 million pursuant to the Facilities Sharing Agreement. The Facilities Sharing Agreement will continue in effect until May 2022, unless earlier terminated (1) by us upon written notice to Republic Wireless following a default by Republic Wireless of any of its material obligations under the Facilities Sharing Agreement, which default remains unremedied for 30 days after written notice of such default is provided, (2) by Republic Wireless upon written notice to us, following certain changes in control of us or our being the subject of certain bankruptcy or insolvency-related events or (3) by us upon written notice to Republic Wireless, following certain changes in control of Republic Wireless or Republic Wireless being the subject of certain bankruptcy or insolvency-related events.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Spin-Off, we entered into an Employee Matters Agreement (the “Employee Matters Agreement”) with Republic Wireless. The Employee Matters Agreement addresses customary matters associated with the transition of employees from employment with us to employment with Republic Wireless, including health, welfare and other similar benefits provided to such employees prior to and following the Spin-Off.</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Spin-Off, we entered into a Master Services Agreement (the “Master Services Agreement”) with Republic Wireless pursuant to which, on a month-to-month basis, we provide Republic Wireless with certain telecommunications services. These telecommunications services include inbound calling, outbound calling, text messaging and 911 services. The Master Services Agreement, as well as the related service order form, rate sheet, and terms and conditions each is consistent with the terms and conditions we make available to our other customers and prospective customers. We provide Republic Wireless with these telecommunications services pursuant to the Master Services Agreement at fair market value. For the six months ended June 30, 2017, Republic Wireless paid us $1.1 million pursuant to the Master Services Agreement. Republic Wireless can choose to terminate the Master Services Agreement at any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On February 22, 2010, we entered into a consulting agreement with Carmichael Investment Partners, LLC (“Carmichael”), pursuant to which we pay Carmichael a monthly fee of $10,000 for consulting and strategic advisory services. This agreement is expected to be terminated in connection with this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Bowen-Carmichael Letter Agreement</w:t>
      </w:r>
    </w:p>
    <w:p>
      <w:pPr>
        <w:spacing w:after="0" w:line="121"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We are party to a letter agreement, dated as of November 23, 2016, by and among James A. Bowen, Susan Bowen and Carmichael. The letter agreement gives each of Mr. Bowen, Ms. Bowen and Carmichael the right 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purchase a number of shares equal to his, her or its pro rata portion of any shares issued by us upon the exercise of certain options previously granted to our employees, directors, officers and consultants. The applicable pro rata portion is determined as of the date of exercise of any applicable option and equals the percentage of our outstanding capital stock owned by Mr. Bowen, Ms. Bowen or Carmichael. The letter agreement will expire upon the completion of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are party to an Investors’ Rights Agreement, dated as of February 22, 2011, which provides, among other things, that certain holders of our capital stock have the right to demand that we file a registration statement or request that their shares of our capital stock be covered by a registration statement that we are otherwise filing. The parties to the Investors’ Rights Agreement include Carmichael, entities affiliated with James Bowen and Susan Bowen, and certain non-executive employees. See the section titled “Description of Capital Stock—Registration Rights.” Additionally, the Investors’ Rights Agreement provides that the stockholders party thereto have a right of first refusal for any proposed offering of securities in an amount up to such stockholder’s then-current ownership percentage, in accordance with the terms of the agreement. The right of first refusal will terminate immediately prior to the completion of this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Buy-Sell Agreements</w:t>
      </w:r>
    </w:p>
    <w:p>
      <w:pPr>
        <w:spacing w:after="0" w:line="12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Substantially all of our stockholders who are not parties to the Investors’ Rights Agreement are parties to buy-sell agreements by and between such stockholder and Bandwidth.com, Inc. Each buy-sell agreement provides, among other things, that such stockholder agrees to vote all of its shares of our capital stock in the manner described therein with respect to the size and composition of our board of directors. These agreements will terminate upon the closing of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party to a voting agreement, dated as of February 22, 2011, which provides, among other things, that each of the parties thereto agrees to vote all of the shares of our capital stock they hold in the manner described therein with respect to the size and composition of our board of directors. This agreement will terminate upon the closing of this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indemnify our directors and officers to the fullest extent permitted by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expect to enter into indemnification agreements with all of our directors and executive officers prior to the completion of this offering.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and Employment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a description of the compensation arrangements we have with our executive officers, please read the section titled “Executive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460"/>
        <w:spacing w:after="0"/>
        <w:tabs>
          <w:tab w:leader="none" w:pos="6980" w:val="left"/>
          <w:tab w:leader="none" w:pos="10880" w:val="left"/>
        </w:tabs>
        <w:rPr>
          <w:sz w:val="20"/>
          <w:szCs w:val="20"/>
          <w:color w:val="auto"/>
        </w:rPr>
      </w:pPr>
      <w:r>
        <w:rPr>
          <w:rFonts w:ascii="Times New Roman" w:cs="Times New Roman" w:eastAsia="Times New Roman" w:hAnsi="Times New Roman"/>
          <w:sz w:val="18"/>
          <w:szCs w:val="18"/>
          <w:color w:val="auto"/>
        </w:rPr>
        <w:t>The underwriters have reserved for sale, at the initial public offering price, up to</w:t>
      </w:r>
      <w:r>
        <w:rPr>
          <w:sz w:val="20"/>
          <w:szCs w:val="20"/>
          <w:color w:val="auto"/>
        </w:rPr>
        <w:tab/>
      </w:r>
      <w:r>
        <w:rPr>
          <w:rFonts w:ascii="Times New Roman" w:cs="Times New Roman" w:eastAsia="Times New Roman" w:hAnsi="Times New Roman"/>
          <w:sz w:val="18"/>
          <w:szCs w:val="18"/>
          <w:color w:val="auto"/>
        </w:rPr>
        <w:t>shares of Class A common stock, or approximately</w:t>
      </w:r>
      <w:r>
        <w:rPr>
          <w:sz w:val="20"/>
          <w:szCs w:val="20"/>
          <w:color w:val="auto"/>
        </w:rPr>
        <w:tab/>
      </w:r>
      <w:r>
        <w:rPr>
          <w:rFonts w:ascii="Times New Roman" w:cs="Times New Roman" w:eastAsia="Times New Roman" w:hAnsi="Times New Roman"/>
          <w:sz w:val="17"/>
          <w:szCs w:val="17"/>
          <w:color w:val="auto"/>
        </w:rPr>
        <w:t>% of</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being offered by us pursuant to this prospectus, for sale to our directors, officers and employees and certain other persons associated with us, as designated by us. The directed share program will not limit the ability of our directors, officers and their family members, or holders of more than 5% of our capital stock, to purchase more than $120,000 in value of our Class A common stock. We do not currently know the extent to which these related persons will participate in our directed share program, if at all, or the extent to which they will purchase more than $120,000 in value of our Class A common stock.</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80"/>
          </w:cols>
          <w:pgMar w:left="240" w:top="455" w:right="2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460"/>
        <w:spacing w:after="0"/>
        <w:tabs>
          <w:tab w:leader="none" w:pos="3780" w:val="left"/>
        </w:tabs>
        <w:rPr>
          <w:sz w:val="20"/>
          <w:szCs w:val="20"/>
          <w:color w:val="auto"/>
        </w:rPr>
      </w:pPr>
      <w:r>
        <w:rPr>
          <w:rFonts w:ascii="Times New Roman" w:cs="Times New Roman" w:eastAsia="Times New Roman" w:hAnsi="Times New Roman"/>
          <w:sz w:val="18"/>
          <w:szCs w:val="18"/>
          <w:color w:val="auto"/>
        </w:rPr>
        <w:t>The following table sets forth, as of</w:t>
      </w:r>
      <w:r>
        <w:rPr>
          <w:sz w:val="20"/>
          <w:szCs w:val="20"/>
          <w:color w:val="auto"/>
        </w:rPr>
        <w:tab/>
      </w:r>
      <w:r>
        <w:rPr>
          <w:rFonts w:ascii="Times New Roman" w:cs="Times New Roman" w:eastAsia="Times New Roman" w:hAnsi="Times New Roman"/>
          <w:sz w:val="18"/>
          <w:szCs w:val="18"/>
          <w:color w:val="auto"/>
        </w:rPr>
        <w:t>, 2017, information regarding beneficial ownership of our capital stock by:</w:t>
      </w:r>
    </w:p>
    <w:p>
      <w:pPr>
        <w:spacing w:after="0" w:line="131" w:lineRule="exact"/>
        <w:rPr>
          <w:sz w:val="20"/>
          <w:szCs w:val="20"/>
          <w:color w:val="auto"/>
        </w:rPr>
      </w:pPr>
    </w:p>
    <w:p>
      <w:pPr>
        <w:ind w:left="900" w:right="340" w:hanging="446"/>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Class A common stock or Class B common stock;</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w:t>
      </w:r>
    </w:p>
    <w:p>
      <w:pPr>
        <w:ind w:firstLine="548"/>
        <w:spacing w:after="0" w:line="254" w:lineRule="auto"/>
        <w:tabs>
          <w:tab w:leader="none" w:pos="6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Except as indicated by the footnotes below, we believe, based on the information furnished to us, that the persons named in the table below have sole voting and investment power with respect to all shares of Class B common stock shown that they beneficially own, subject to community property laws where applicable. The information does not necessarily indicate beneficial ownership for any other purpose, including for purposes of Sections 13(d) and 13(g) of the Securities Act of 1933, as amended (the “Securities Act”).</w:t>
      </w:r>
    </w:p>
    <w:p>
      <w:pPr>
        <w:spacing w:after="0" w:line="186" w:lineRule="exact"/>
        <w:rPr>
          <w:sz w:val="20"/>
          <w:szCs w:val="20"/>
          <w:color w:val="auto"/>
        </w:rPr>
      </w:pPr>
    </w:p>
    <w:p>
      <w:pPr>
        <w:ind w:left="460"/>
        <w:spacing w:after="0"/>
        <w:tabs>
          <w:tab w:leader="none" w:pos="10940" w:val="left"/>
        </w:tabs>
        <w:rPr>
          <w:sz w:val="20"/>
          <w:szCs w:val="20"/>
          <w:color w:val="auto"/>
        </w:rPr>
      </w:pPr>
      <w:r>
        <w:rPr>
          <w:rFonts w:ascii="Times New Roman" w:cs="Times New Roman" w:eastAsia="Times New Roman" w:hAnsi="Times New Roman"/>
          <w:sz w:val="18"/>
          <w:szCs w:val="18"/>
          <w:color w:val="auto"/>
        </w:rPr>
        <w:t>Our calculation of the percentage of beneficial ownership prior to this offering gives effect to the Pre-IPO Reorganization and is based on</w:t>
      </w:r>
      <w:r>
        <w:rPr>
          <w:sz w:val="20"/>
          <w:szCs w:val="20"/>
          <w:color w:val="auto"/>
        </w:rPr>
        <w:tab/>
      </w:r>
      <w:r>
        <w:rPr>
          <w:rFonts w:ascii="Times New Roman" w:cs="Times New Roman" w:eastAsia="Times New Roman" w:hAnsi="Times New Roman"/>
          <w:sz w:val="17"/>
          <w:szCs w:val="17"/>
          <w:color w:val="auto"/>
        </w:rPr>
        <w:t>shares</w:t>
      </w:r>
    </w:p>
    <w:p>
      <w:pPr>
        <w:spacing w:after="0" w:line="27" w:lineRule="exact"/>
        <w:rPr>
          <w:sz w:val="20"/>
          <w:szCs w:val="20"/>
          <w:color w:val="auto"/>
        </w:rPr>
      </w:pPr>
    </w:p>
    <w:p>
      <w:pPr>
        <w:spacing w:after="0"/>
        <w:tabs>
          <w:tab w:leader="none" w:pos="3020" w:val="left"/>
          <w:tab w:leader="none" w:pos="7500" w:val="left"/>
        </w:tabs>
        <w:rPr>
          <w:sz w:val="20"/>
          <w:szCs w:val="20"/>
          <w:color w:val="auto"/>
        </w:rPr>
      </w:pPr>
      <w:r>
        <w:rPr>
          <w:rFonts w:ascii="Times New Roman" w:cs="Times New Roman" w:eastAsia="Times New Roman" w:hAnsi="Times New Roman"/>
          <w:sz w:val="18"/>
          <w:szCs w:val="18"/>
          <w:color w:val="auto"/>
        </w:rPr>
        <w:t>of our Class A common stock and</w:t>
      </w:r>
      <w:r>
        <w:rPr>
          <w:sz w:val="20"/>
          <w:szCs w:val="20"/>
          <w:color w:val="auto"/>
        </w:rPr>
        <w:tab/>
      </w:r>
      <w:r>
        <w:rPr>
          <w:rFonts w:ascii="Times New Roman" w:cs="Times New Roman" w:eastAsia="Times New Roman" w:hAnsi="Times New Roman"/>
          <w:sz w:val="18"/>
          <w:szCs w:val="18"/>
          <w:color w:val="auto"/>
        </w:rPr>
        <w:t>shares of our Class B common stock outstanding as of</w:t>
      </w:r>
      <w:r>
        <w:rPr>
          <w:sz w:val="20"/>
          <w:szCs w:val="20"/>
          <w:color w:val="auto"/>
        </w:rPr>
        <w:tab/>
      </w:r>
      <w:r>
        <w:rPr>
          <w:rFonts w:ascii="Times New Roman" w:cs="Times New Roman" w:eastAsia="Times New Roman" w:hAnsi="Times New Roman"/>
          <w:sz w:val="17"/>
          <w:szCs w:val="17"/>
          <w:color w:val="auto"/>
        </w:rPr>
        <w:t>, 2017. We have based our calculation of the</w:t>
      </w:r>
    </w:p>
    <w:p>
      <w:pPr>
        <w:spacing w:after="0" w:line="9" w:lineRule="exact"/>
        <w:rPr>
          <w:sz w:val="20"/>
          <w:szCs w:val="20"/>
          <w:color w:val="auto"/>
        </w:rPr>
      </w:pPr>
    </w:p>
    <w:p>
      <w:pPr>
        <w:spacing w:after="0"/>
        <w:tabs>
          <w:tab w:leader="none" w:pos="8740" w:val="left"/>
        </w:tabs>
        <w:rPr>
          <w:sz w:val="20"/>
          <w:szCs w:val="20"/>
          <w:color w:val="auto"/>
        </w:rPr>
      </w:pPr>
      <w:r>
        <w:rPr>
          <w:rFonts w:ascii="Times New Roman" w:cs="Times New Roman" w:eastAsia="Times New Roman" w:hAnsi="Times New Roman"/>
          <w:sz w:val="18"/>
          <w:szCs w:val="18"/>
          <w:color w:val="auto"/>
        </w:rPr>
        <w:t>percentage of beneficial ownership after this offering and assuming completion of the Pre-IPO Reorganization on</w:t>
      </w:r>
      <w:r>
        <w:rPr>
          <w:sz w:val="20"/>
          <w:szCs w:val="20"/>
          <w:color w:val="auto"/>
        </w:rPr>
        <w:tab/>
      </w:r>
      <w:r>
        <w:rPr>
          <w:rFonts w:ascii="Times New Roman" w:cs="Times New Roman" w:eastAsia="Times New Roman" w:hAnsi="Times New Roman"/>
          <w:sz w:val="17"/>
          <w:szCs w:val="17"/>
          <w:color w:val="auto"/>
        </w:rPr>
        <w:t>shares of our Class A common stock</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shares of our Class B common stock outstanding immediately after the completion of this offering (assuming no exercise of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7" w:lineRule="exact"/>
        <w:rPr>
          <w:sz w:val="20"/>
          <w:szCs w:val="20"/>
          <w:color w:val="auto"/>
        </w:rPr>
      </w:pPr>
    </w:p>
    <w:p>
      <w:pPr>
        <w:ind w:left="460"/>
        <w:spacing w:after="0"/>
        <w:tabs>
          <w:tab w:leader="none" w:pos="7760" w:val="left"/>
        </w:tabs>
        <w:rPr>
          <w:sz w:val="20"/>
          <w:szCs w:val="20"/>
          <w:color w:val="auto"/>
        </w:rPr>
      </w:pPr>
      <w:r>
        <w:rPr>
          <w:rFonts w:ascii="Times New Roman" w:cs="Times New Roman" w:eastAsia="Times New Roman" w:hAnsi="Times New Roman"/>
          <w:sz w:val="18"/>
          <w:szCs w:val="18"/>
          <w:color w:val="auto"/>
        </w:rPr>
        <w:t>Common stock subject to stock options currently exercisable or exercisable within 60 days of</w:t>
      </w:r>
      <w:r>
        <w:rPr>
          <w:sz w:val="20"/>
          <w:szCs w:val="20"/>
          <w:color w:val="auto"/>
        </w:rPr>
        <w:tab/>
      </w:r>
      <w:r>
        <w:rPr>
          <w:rFonts w:ascii="Times New Roman" w:cs="Times New Roman" w:eastAsia="Times New Roman" w:hAnsi="Times New Roman"/>
          <w:sz w:val="18"/>
          <w:szCs w:val="18"/>
          <w:color w:val="auto"/>
        </w:rPr>
        <w:t>, 2017, are deemed to be outstanding for purposes</w:t>
      </w:r>
    </w:p>
    <w:p>
      <w:pPr>
        <w:spacing w:after="0" w:line="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of computing the percentage ownership of the person holding these options and the percentage ownership of any group of which the holder is a member but are not deemed outstanding for computing the percentage of any other person.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of the stockholders in the table below is c/o Bandwidth.com, Inc., 900 Main Campus Drive, Suite 500, Raleigh, North Carolina 27606.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12"/>
                <w:szCs w:val="12"/>
                <w:b w:val="1"/>
                <w:bCs w:val="1"/>
                <w:color w:val="auto"/>
              </w:rPr>
              <w:t>(1)</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2"/>
                <w:szCs w:val="12"/>
                <w:b w:val="1"/>
                <w:bCs w:val="1"/>
                <w:color w:val="auto"/>
              </w:rPr>
              <w:t>(1)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6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3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420" w:type="dxa"/>
            <w:vAlign w:val="bottom"/>
          </w:tcPr>
          <w:p>
            <w:pPr>
              <w:spacing w:after="0"/>
              <w:rPr>
                <w:sz w:val="10"/>
                <w:szCs w:val="10"/>
                <w:color w:val="auto"/>
              </w:rPr>
            </w:pPr>
          </w:p>
        </w:tc>
        <w:tc>
          <w:tcPr>
            <w:tcW w:w="1380" w:type="dxa"/>
            <w:vAlign w:val="bottom"/>
            <w:gridSpan w:val="3"/>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420" w:type="dxa"/>
            <w:vAlign w:val="bottom"/>
          </w:tcPr>
          <w:p>
            <w:pPr>
              <w:spacing w:after="0"/>
              <w:rPr>
                <w:sz w:val="10"/>
                <w:szCs w:val="10"/>
                <w:color w:val="auto"/>
              </w:rPr>
            </w:pPr>
          </w:p>
        </w:tc>
        <w:tc>
          <w:tcPr>
            <w:tcW w:w="1780" w:type="dxa"/>
            <w:vAlign w:val="bottom"/>
            <w:gridSpan w:val="4"/>
          </w:tcPr>
          <w:p>
            <w:pPr>
              <w:jc w:val="right"/>
              <w:ind w:right="800"/>
              <w:spacing w:after="0" w:line="118"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1360" w:type="dxa"/>
            <w:vAlign w:val="bottom"/>
            <w:gridSpan w:val="3"/>
          </w:tcPr>
          <w:p>
            <w:pPr>
              <w:jc w:val="right"/>
              <w:ind w:right="311"/>
              <w:spacing w:after="0" w:line="118"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40" w:type="dxa"/>
            <w:vAlign w:val="bottom"/>
            <w:gridSpan w:val="2"/>
            <w:vMerge w:val="continue"/>
          </w:tcPr>
          <w:p>
            <w:pPr>
              <w:spacing w:after="0"/>
              <w:rPr>
                <w:sz w:val="15"/>
                <w:szCs w:val="15"/>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20" w:type="dxa"/>
            <w:vAlign w:val="bottom"/>
          </w:tcPr>
          <w:p>
            <w:pPr>
              <w:spacing w:after="0"/>
              <w:rPr>
                <w:sz w:val="15"/>
                <w:szCs w:val="15"/>
                <w:color w:val="auto"/>
              </w:rPr>
            </w:pP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20" w:type="dxa"/>
            <w:vAlign w:val="bottom"/>
          </w:tcPr>
          <w:p>
            <w:pPr>
              <w:spacing w:after="0"/>
              <w:rPr>
                <w:sz w:val="15"/>
                <w:szCs w:val="15"/>
                <w:color w:val="auto"/>
              </w:rPr>
            </w:pPr>
          </w:p>
        </w:tc>
        <w:tc>
          <w:tcPr>
            <w:tcW w:w="17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Class A    Class B</w:t>
            </w:r>
          </w:p>
        </w:tc>
        <w:tc>
          <w:tcPr>
            <w:tcW w:w="260" w:type="dxa"/>
            <w:vAlign w:val="bottom"/>
          </w:tcPr>
          <w:p>
            <w:pPr>
              <w:spacing w:after="0"/>
              <w:rPr>
                <w:sz w:val="12"/>
                <w:szCs w:val="12"/>
                <w:color w:val="auto"/>
              </w:rPr>
            </w:pPr>
          </w:p>
        </w:tc>
        <w:tc>
          <w:tcPr>
            <w:tcW w:w="136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Class AClass B</w:t>
            </w:r>
          </w:p>
        </w:tc>
        <w:tc>
          <w:tcPr>
            <w:tcW w:w="4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Morken</w:t>
            </w:r>
            <w:r>
              <w:rPr>
                <w:rFonts w:ascii="Times New Roman" w:cs="Times New Roman" w:eastAsia="Times New Roman" w:hAnsi="Times New Roman"/>
                <w:sz w:val="15"/>
                <w:szCs w:val="15"/>
                <w:color w:val="auto"/>
              </w:rPr>
              <w:t>(2)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C. Murdock</w:t>
            </w:r>
            <w:r>
              <w:rPr>
                <w:rFonts w:ascii="Times New Roman" w:cs="Times New Roman" w:eastAsia="Times New Roman" w:hAnsi="Times New Roman"/>
                <w:sz w:val="15"/>
                <w:szCs w:val="15"/>
                <w:color w:val="auto"/>
              </w:rPr>
              <w:t>(3)</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Hoffman</w:t>
            </w:r>
            <w:r>
              <w:rPr>
                <w:rFonts w:ascii="Times New Roman" w:cs="Times New Roman" w:eastAsia="Times New Roman" w:hAnsi="Times New Roman"/>
                <w:sz w:val="15"/>
                <w:szCs w:val="15"/>
                <w:color w:val="auto"/>
              </w:rPr>
              <w:t>(4)</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Leonard</w:t>
            </w:r>
            <w:r>
              <w:rPr>
                <w:rFonts w:ascii="Times New Roman" w:cs="Times New Roman" w:eastAsia="Times New Roman" w:hAnsi="Times New Roman"/>
                <w:sz w:val="15"/>
                <w:szCs w:val="15"/>
                <w:color w:val="auto"/>
              </w:rPr>
              <w:t>(5)</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Christopher Matton</w:t>
            </w:r>
            <w:r>
              <w:rPr>
                <w:rFonts w:ascii="Times New Roman" w:cs="Times New Roman" w:eastAsia="Times New Roman" w:hAnsi="Times New Roman"/>
                <w:sz w:val="15"/>
                <w:szCs w:val="15"/>
                <w:color w:val="auto"/>
              </w:rPr>
              <w:t>(6)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R. Kaestner</w:t>
            </w:r>
            <w:r>
              <w:rPr>
                <w:rFonts w:ascii="Times New Roman" w:cs="Times New Roman" w:eastAsia="Times New Roman" w:hAnsi="Times New Roman"/>
                <w:sz w:val="15"/>
                <w:szCs w:val="15"/>
                <w:color w:val="auto"/>
              </w:rPr>
              <w:t>(7)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D. Bailey</w:t>
            </w:r>
            <w:r>
              <w:rPr>
                <w:rFonts w:ascii="Times New Roman" w:cs="Times New Roman" w:eastAsia="Times New Roman" w:hAnsi="Times New Roman"/>
                <w:sz w:val="15"/>
                <w:szCs w:val="15"/>
                <w:color w:val="auto"/>
              </w:rPr>
              <w:t>(8)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 group</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Carmichael Investment Partners</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LLC</w:t>
            </w:r>
            <w:r>
              <w:rPr>
                <w:rFonts w:ascii="Times New Roman" w:cs="Times New Roman" w:eastAsia="Times New Roman" w:hAnsi="Times New Roman"/>
                <w:sz w:val="15"/>
                <w:szCs w:val="15"/>
                <w:color w:val="auto"/>
              </w:rPr>
              <w:t>(9)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Bowen</w:t>
            </w:r>
            <w:r>
              <w:rPr>
                <w:rFonts w:ascii="Times New Roman" w:cs="Times New Roman" w:eastAsia="Times New Roman" w:hAnsi="Times New Roman"/>
                <w:sz w:val="15"/>
                <w:szCs w:val="15"/>
                <w:color w:val="auto"/>
              </w:rPr>
              <w:t>(10)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Bowen</w:t>
            </w:r>
            <w:r>
              <w:rPr>
                <w:rFonts w:ascii="Times New Roman" w:cs="Times New Roman" w:eastAsia="Times New Roman" w:hAnsi="Times New Roman"/>
                <w:sz w:val="15"/>
                <w:szCs w:val="15"/>
                <w:color w:val="auto"/>
              </w:rPr>
              <w:t>(11)</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after giving effect to the Pre-IPO Reorganization</w:t>
      </w:r>
    </w:p>
    <w:tbl>
      <w:tblPr>
        <w:tblLayout w:type="fixed"/>
        <w:tblInd w:w="0" w:type="dxa"/>
        <w:tblCellMar>
          <w:top w:w="0" w:type="dxa"/>
          <w:left w:w="0" w:type="dxa"/>
          <w:bottom w:w="0" w:type="dxa"/>
          <w:right w:w="0" w:type="dxa"/>
        </w:tblCellMar>
      </w:tblPr>
      <w:tr>
        <w:trPr>
          <w:trHeight w:val="136"/>
        </w:trPr>
        <w:tc>
          <w:tcPr>
            <w:tcW w:w="260" w:type="dxa"/>
            <w:vAlign w:val="bottom"/>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97"/>
              </w:rPr>
              <w:t>(2)</w:t>
            </w:r>
          </w:p>
        </w:tc>
        <w:tc>
          <w:tcPr>
            <w:tcW w:w="90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Consists of (i)</w:t>
            </w:r>
          </w:p>
        </w:tc>
        <w:tc>
          <w:tcPr>
            <w:tcW w:w="4540" w:type="dxa"/>
            <w:vAlign w:val="bottom"/>
            <w:gridSpan w:val="6"/>
          </w:tcPr>
          <w:p>
            <w:pPr>
              <w:ind w:left="620"/>
              <w:spacing w:after="0" w:line="136" w:lineRule="exact"/>
              <w:rPr>
                <w:sz w:val="20"/>
                <w:szCs w:val="20"/>
                <w:color w:val="auto"/>
              </w:rPr>
            </w:pPr>
            <w:r>
              <w:rPr>
                <w:rFonts w:ascii="Times New Roman" w:cs="Times New Roman" w:eastAsia="Times New Roman" w:hAnsi="Times New Roman"/>
                <w:sz w:val="14"/>
                <w:szCs w:val="14"/>
                <w:color w:val="auto"/>
              </w:rPr>
              <w:t>shares of Class B common stock held of record by Mr. Morken, (ii)</w:t>
            </w:r>
          </w:p>
        </w:tc>
        <w:tc>
          <w:tcPr>
            <w:tcW w:w="300" w:type="dxa"/>
            <w:vAlign w:val="bottom"/>
          </w:tcPr>
          <w:p>
            <w:pPr>
              <w:spacing w:after="0"/>
              <w:rPr>
                <w:sz w:val="11"/>
                <w:szCs w:val="11"/>
                <w:color w:val="auto"/>
              </w:rPr>
            </w:pPr>
          </w:p>
        </w:tc>
        <w:tc>
          <w:tcPr>
            <w:tcW w:w="5400" w:type="dxa"/>
            <w:vAlign w:val="bottom"/>
            <w:gridSpan w:val="5"/>
          </w:tcPr>
          <w:p>
            <w:pPr>
              <w:ind w:left="260"/>
              <w:spacing w:after="0" w:line="136" w:lineRule="exact"/>
              <w:rPr>
                <w:sz w:val="20"/>
                <w:szCs w:val="20"/>
                <w:color w:val="auto"/>
              </w:rPr>
            </w:pPr>
            <w:r>
              <w:rPr>
                <w:rFonts w:ascii="Times New Roman" w:cs="Times New Roman" w:eastAsia="Times New Roman" w:hAnsi="Times New Roman"/>
                <w:sz w:val="14"/>
                <w:szCs w:val="14"/>
                <w:color w:val="auto"/>
              </w:rPr>
              <w:t>shares of Class B common stock held of record by Mr. Morken, as trustee of the David</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Morken 2014 Charitable Remainder Unitrust, (iii)</w:t>
            </w:r>
          </w:p>
        </w:tc>
        <w:tc>
          <w:tcPr>
            <w:tcW w:w="440" w:type="dxa"/>
            <w:vAlign w:val="bottom"/>
          </w:tcPr>
          <w:p>
            <w:pPr>
              <w:spacing w:after="0"/>
              <w:rPr>
                <w:sz w:val="12"/>
                <w:szCs w:val="12"/>
                <w:color w:val="auto"/>
              </w:rPr>
            </w:pPr>
          </w:p>
        </w:tc>
        <w:tc>
          <w:tcPr>
            <w:tcW w:w="7600" w:type="dxa"/>
            <w:vAlign w:val="bottom"/>
            <w:gridSpan w:val="8"/>
          </w:tcPr>
          <w:p>
            <w:pPr>
              <w:ind w:left="4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Morken, as trustee of the 2014 David Morken Irrevocable GST Trust,</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(iv)</w:t>
            </w:r>
          </w:p>
        </w:tc>
        <w:tc>
          <w:tcPr>
            <w:tcW w:w="704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the 2015 Irrevocable GST Trust, Chrishelle Morken, as trustee, and (v)</w:t>
            </w:r>
          </w:p>
        </w:tc>
        <w:tc>
          <w:tcPr>
            <w:tcW w:w="3200" w:type="dxa"/>
            <w:vAlign w:val="bottom"/>
            <w:gridSpan w:val="2"/>
          </w:tcPr>
          <w:p>
            <w:pPr>
              <w:jc w:val="center"/>
              <w:ind w:left="38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w:t>
            </w:r>
          </w:p>
        </w:tc>
        <w:tc>
          <w:tcPr>
            <w:tcW w:w="0" w:type="dxa"/>
            <w:vAlign w:val="bottom"/>
          </w:tcPr>
          <w:p>
            <w:pPr>
              <w:spacing w:after="0"/>
              <w:rPr>
                <w:sz w:val="1"/>
                <w:szCs w:val="1"/>
                <w:color w:val="auto"/>
              </w:rPr>
            </w:pPr>
          </w:p>
        </w:tc>
      </w:tr>
      <w:tr>
        <w:trPr>
          <w:trHeight w:val="149"/>
        </w:trPr>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7"/>
              </w:rPr>
              <w:t>(3)</w:t>
            </w:r>
          </w:p>
        </w:tc>
        <w:tc>
          <w:tcPr>
            <w:tcW w:w="354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color w:val="auto"/>
              </w:rPr>
              <w:t>outstanding options that are exercisable within 60 days of</w:t>
            </w:r>
          </w:p>
        </w:tc>
        <w:tc>
          <w:tcPr>
            <w:tcW w:w="1900" w:type="dxa"/>
            <w:vAlign w:val="bottom"/>
            <w:gridSpan w:val="2"/>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rPr>
              <w:t>, 2017.</w:t>
            </w:r>
          </w:p>
        </w:tc>
        <w:tc>
          <w:tcPr>
            <w:tcW w:w="300" w:type="dxa"/>
            <w:vAlign w:val="bottom"/>
          </w:tcPr>
          <w:p>
            <w:pPr>
              <w:spacing w:after="0"/>
              <w:rPr>
                <w:sz w:val="12"/>
                <w:szCs w:val="12"/>
                <w:color w:val="auto"/>
              </w:rPr>
            </w:pPr>
          </w:p>
        </w:tc>
        <w:tc>
          <w:tcPr>
            <w:tcW w:w="54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color w:val="auto"/>
              </w:rPr>
              <w:t>shares of Class B common stock held of record by Mr. Murdock, as trustee of the John</w:t>
            </w:r>
          </w:p>
        </w:tc>
        <w:tc>
          <w:tcPr>
            <w:tcW w:w="0" w:type="dxa"/>
            <w:vAlign w:val="bottom"/>
          </w:tcPr>
          <w:p>
            <w:pPr>
              <w:spacing w:after="0"/>
              <w:rPr>
                <w:sz w:val="1"/>
                <w:szCs w:val="1"/>
                <w:color w:val="auto"/>
              </w:rPr>
            </w:pPr>
          </w:p>
        </w:tc>
      </w:tr>
      <w:tr>
        <w:trPr>
          <w:trHeight w:val="149"/>
        </w:trPr>
        <w:tc>
          <w:tcPr>
            <w:tcW w:w="260" w:type="dxa"/>
            <w:vAlign w:val="bottom"/>
            <w:vMerge w:val="continue"/>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Consists of (i)</w:t>
            </w:r>
          </w:p>
        </w:tc>
        <w:tc>
          <w:tcPr>
            <w:tcW w:w="4840" w:type="dxa"/>
            <w:vAlign w:val="bottom"/>
            <w:gridSpan w:val="7"/>
          </w:tcPr>
          <w:p>
            <w:pPr>
              <w:ind w:left="6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Murdock, (ii)</w:t>
            </w:r>
          </w:p>
        </w:tc>
        <w:tc>
          <w:tcPr>
            <w:tcW w:w="5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C. Murdock Family Line Trust, (iii)</w:t>
            </w:r>
          </w:p>
        </w:tc>
        <w:tc>
          <w:tcPr>
            <w:tcW w:w="8880" w:type="dxa"/>
            <w:vAlign w:val="bottom"/>
            <w:gridSpan w:val="10"/>
          </w:tcPr>
          <w:p>
            <w:pPr>
              <w:ind w:left="50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Murdock, as trustee of Murdock Trust ‘D’ u/a dated May 16, 2005, as amended,</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(iv)</w:t>
            </w:r>
          </w:p>
        </w:tc>
        <w:tc>
          <w:tcPr>
            <w:tcW w:w="59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options that are exercisable within 60 days of</w:t>
            </w:r>
          </w:p>
        </w:tc>
        <w:tc>
          <w:tcPr>
            <w:tcW w:w="480" w:type="dxa"/>
            <w:vAlign w:val="bottom"/>
          </w:tcPr>
          <w:p>
            <w:pPr>
              <w:spacing w:after="0"/>
              <w:rPr>
                <w:sz w:val="12"/>
                <w:szCs w:val="12"/>
                <w:color w:val="auto"/>
              </w:rPr>
            </w:pPr>
          </w:p>
        </w:tc>
        <w:tc>
          <w:tcPr>
            <w:tcW w:w="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 2017, (v)</w:t>
            </w:r>
          </w:p>
        </w:tc>
        <w:tc>
          <w:tcPr>
            <w:tcW w:w="3200" w:type="dxa"/>
            <w:vAlign w:val="bottom"/>
            <w:gridSpan w:val="2"/>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warrants that are exercisable within 60 days of</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 2017 and (vi)</w:t>
            </w:r>
          </w:p>
        </w:tc>
        <w:tc>
          <w:tcPr>
            <w:tcW w:w="6940" w:type="dxa"/>
            <w:vAlign w:val="bottom"/>
            <w:gridSpan w:val="7"/>
          </w:tcPr>
          <w:p>
            <w:pPr>
              <w:ind w:left="50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that Mr. Murdock has the option to purchase from Mr. Morken that are</w:t>
            </w:r>
          </w:p>
        </w:tc>
        <w:tc>
          <w:tcPr>
            <w:tcW w:w="0" w:type="dxa"/>
            <w:vAlign w:val="bottom"/>
          </w:tcPr>
          <w:p>
            <w:pPr>
              <w:spacing w:after="0"/>
              <w:rPr>
                <w:sz w:val="1"/>
                <w:szCs w:val="1"/>
                <w:color w:val="auto"/>
              </w:rPr>
            </w:pPr>
          </w:p>
        </w:tc>
      </w:tr>
      <w:tr>
        <w:trPr>
          <w:trHeight w:val="149"/>
        </w:trPr>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7"/>
              </w:rPr>
              <w:t>(4)</w:t>
            </w:r>
          </w:p>
        </w:tc>
        <w:tc>
          <w:tcPr>
            <w:tcW w:w="1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exercisable within 60 days of</w:t>
            </w:r>
          </w:p>
        </w:tc>
        <w:tc>
          <w:tcPr>
            <w:tcW w:w="420" w:type="dxa"/>
            <w:vAlign w:val="bottom"/>
          </w:tcPr>
          <w:p>
            <w:pPr>
              <w:spacing w:after="0"/>
              <w:rPr>
                <w:sz w:val="12"/>
                <w:szCs w:val="12"/>
                <w:color w:val="auto"/>
              </w:rPr>
            </w:pPr>
          </w:p>
        </w:tc>
        <w:tc>
          <w:tcPr>
            <w:tcW w:w="84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 2017.</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2"/>
            <w:vMerge w:val="restart"/>
          </w:tcPr>
          <w:p>
            <w:pPr>
              <w:jc w:val="right"/>
              <w:ind w:right="1088"/>
              <w:spacing w:after="0"/>
              <w:rPr>
                <w:sz w:val="20"/>
                <w:szCs w:val="20"/>
                <w:color w:val="auto"/>
              </w:rPr>
            </w:pPr>
            <w:r>
              <w:rPr>
                <w:rFonts w:ascii="Times New Roman" w:cs="Times New Roman" w:eastAsia="Times New Roman" w:hAnsi="Times New Roman"/>
                <w:sz w:val="14"/>
                <w:szCs w:val="14"/>
                <w:color w:val="auto"/>
              </w:rPr>
              <w:t>, 2017.</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vMerge w:val="continue"/>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Consists of</w:t>
            </w:r>
          </w:p>
        </w:tc>
        <w:tc>
          <w:tcPr>
            <w:tcW w:w="6440" w:type="dxa"/>
            <w:vAlign w:val="bottom"/>
            <w:gridSpan w:val="9"/>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options that are exercisable within 60 days of</w:t>
            </w:r>
          </w:p>
        </w:tc>
        <w:tc>
          <w:tcPr>
            <w:tcW w:w="19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97"/>
              </w:rPr>
              <w:t>(5)</w:t>
            </w: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Consists of</w:t>
            </w:r>
          </w:p>
        </w:tc>
        <w:tc>
          <w:tcPr>
            <w:tcW w:w="6440" w:type="dxa"/>
            <w:vAlign w:val="bottom"/>
            <w:gridSpan w:val="9"/>
          </w:tcPr>
          <w:p>
            <w:pPr>
              <w:ind w:left="44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options that are exercisable within 60 days of</w:t>
            </w:r>
          </w:p>
        </w:tc>
        <w:tc>
          <w:tcPr>
            <w:tcW w:w="1980" w:type="dxa"/>
            <w:vAlign w:val="bottom"/>
            <w:gridSpan w:val="2"/>
          </w:tcPr>
          <w:p>
            <w:pPr>
              <w:jc w:val="right"/>
              <w:ind w:right="1088"/>
              <w:spacing w:after="0" w:line="149" w:lineRule="exact"/>
              <w:rPr>
                <w:sz w:val="20"/>
                <w:szCs w:val="20"/>
                <w:color w:val="auto"/>
              </w:rPr>
            </w:pPr>
            <w:r>
              <w:rPr>
                <w:rFonts w:ascii="Times New Roman" w:cs="Times New Roman" w:eastAsia="Times New Roman" w:hAnsi="Times New Roman"/>
                <w:sz w:val="14"/>
                <w:szCs w:val="14"/>
                <w:color w:val="auto"/>
              </w:rPr>
              <w:t>, 2017.</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Consists of (i)</w:t>
            </w:r>
          </w:p>
        </w:tc>
        <w:tc>
          <w:tcPr>
            <w:tcW w:w="6440" w:type="dxa"/>
            <w:vAlign w:val="bottom"/>
            <w:gridSpan w:val="9"/>
          </w:tcPr>
          <w:p>
            <w:pPr>
              <w:ind w:left="6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options that are exercisable within 60 days of</w:t>
            </w:r>
          </w:p>
        </w:tc>
        <w:tc>
          <w:tcPr>
            <w:tcW w:w="600" w:type="dxa"/>
            <w:vAlign w:val="bottom"/>
          </w:tcPr>
          <w:p>
            <w:pPr>
              <w:spacing w:after="0"/>
              <w:rPr>
                <w:sz w:val="12"/>
                <w:szCs w:val="12"/>
                <w:color w:val="auto"/>
              </w:rPr>
            </w:pPr>
          </w:p>
        </w:tc>
        <w:tc>
          <w:tcPr>
            <w:tcW w:w="138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color w:val="auto"/>
              </w:rPr>
              <w:t>, 2017 and (ii)</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7"/>
              </w:rPr>
              <w:t>(7)</w:t>
            </w:r>
          </w:p>
        </w:tc>
        <w:tc>
          <w:tcPr>
            <w:tcW w:w="4200" w:type="dxa"/>
            <w:vAlign w:val="bottom"/>
            <w:gridSpan w:val="6"/>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subject to warrants that are exercisable within 60 days of</w:t>
            </w:r>
          </w:p>
        </w:tc>
        <w:tc>
          <w:tcPr>
            <w:tcW w:w="1240" w:type="dxa"/>
            <w:vAlign w:val="bottom"/>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 2017.</w:t>
            </w:r>
          </w:p>
        </w:tc>
        <w:tc>
          <w:tcPr>
            <w:tcW w:w="300" w:type="dxa"/>
            <w:vAlign w:val="bottom"/>
          </w:tcPr>
          <w:p>
            <w:pPr>
              <w:spacing w:after="0"/>
              <w:rPr>
                <w:sz w:val="12"/>
                <w:szCs w:val="12"/>
                <w:color w:val="auto"/>
              </w:rPr>
            </w:pPr>
          </w:p>
        </w:tc>
        <w:tc>
          <w:tcPr>
            <w:tcW w:w="54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color w:val="auto"/>
              </w:rPr>
              <w:t>shares of Class B common stock held of record by Mr. Kaestner, as custodian for Ford</w:t>
            </w:r>
          </w:p>
        </w:tc>
        <w:tc>
          <w:tcPr>
            <w:tcW w:w="0" w:type="dxa"/>
            <w:vAlign w:val="bottom"/>
          </w:tcPr>
          <w:p>
            <w:pPr>
              <w:spacing w:after="0"/>
              <w:rPr>
                <w:sz w:val="1"/>
                <w:szCs w:val="1"/>
                <w:color w:val="auto"/>
              </w:rPr>
            </w:pPr>
          </w:p>
        </w:tc>
      </w:tr>
      <w:tr>
        <w:trPr>
          <w:trHeight w:val="149"/>
        </w:trPr>
        <w:tc>
          <w:tcPr>
            <w:tcW w:w="260" w:type="dxa"/>
            <w:vAlign w:val="bottom"/>
            <w:vMerge w:val="continue"/>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Consists of (i)</w:t>
            </w:r>
          </w:p>
        </w:tc>
        <w:tc>
          <w:tcPr>
            <w:tcW w:w="4540" w:type="dxa"/>
            <w:vAlign w:val="bottom"/>
            <w:gridSpan w:val="6"/>
          </w:tcPr>
          <w:p>
            <w:pPr>
              <w:ind w:left="6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(ii)</w:t>
            </w:r>
          </w:p>
        </w:tc>
        <w:tc>
          <w:tcPr>
            <w:tcW w:w="300" w:type="dxa"/>
            <w:vAlign w:val="bottom"/>
          </w:tcPr>
          <w:p>
            <w:pPr>
              <w:spacing w:after="0"/>
              <w:rPr>
                <w:sz w:val="12"/>
                <w:szCs w:val="12"/>
                <w:color w:val="auto"/>
              </w:rPr>
            </w:pPr>
          </w:p>
        </w:tc>
        <w:tc>
          <w:tcPr>
            <w:tcW w:w="5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Evans Young IV, (iii)</w:t>
            </w:r>
          </w:p>
        </w:tc>
        <w:tc>
          <w:tcPr>
            <w:tcW w:w="6100" w:type="dxa"/>
            <w:vAlign w:val="bottom"/>
            <w:gridSpan w:val="9"/>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as custodian for Caroline Young, (iv)</w:t>
            </w:r>
          </w:p>
        </w:tc>
        <w:tc>
          <w:tcPr>
            <w:tcW w:w="3200" w:type="dxa"/>
            <w:vAlign w:val="bottom"/>
            <w:gridSpan w:val="2"/>
          </w:tcPr>
          <w:p>
            <w:pPr>
              <w:jc w:val="center"/>
              <w:ind w:left="40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1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rPr>
              <w:t>by Mr. Kaestner, as custodian for Kate Young, (v)</w:t>
            </w:r>
          </w:p>
        </w:tc>
        <w:tc>
          <w:tcPr>
            <w:tcW w:w="440" w:type="dxa"/>
            <w:vAlign w:val="bottom"/>
          </w:tcPr>
          <w:p>
            <w:pPr>
              <w:spacing w:after="0"/>
              <w:rPr>
                <w:sz w:val="12"/>
                <w:szCs w:val="12"/>
                <w:color w:val="auto"/>
              </w:rPr>
            </w:pPr>
          </w:p>
        </w:tc>
        <w:tc>
          <w:tcPr>
            <w:tcW w:w="5780" w:type="dxa"/>
            <w:vAlign w:val="bottom"/>
            <w:gridSpan w:val="7"/>
          </w:tcPr>
          <w:p>
            <w:pPr>
              <w:jc w:val="right"/>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as custodian for Alice Young, (vi)</w:t>
            </w:r>
          </w:p>
        </w:tc>
        <w:tc>
          <w:tcPr>
            <w:tcW w:w="182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shares of Class B</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44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color w:val="auto"/>
              </w:rPr>
              <w:t>common stock held of record by Mr. Kaestner, as custodian for Eloise Young, (vii)</w:t>
            </w:r>
          </w:p>
        </w:tc>
        <w:tc>
          <w:tcPr>
            <w:tcW w:w="57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as custodian for Henry Young,</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(viii)</w:t>
            </w:r>
          </w:p>
        </w:tc>
        <w:tc>
          <w:tcPr>
            <w:tcW w:w="8420" w:type="dxa"/>
            <w:vAlign w:val="bottom"/>
            <w:gridSpan w:val="11"/>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as trustee of the 2007 Benjamin Henry Kaestner IV Irrevocable Trust, (ix)</w:t>
            </w:r>
          </w:p>
        </w:tc>
        <w:tc>
          <w:tcPr>
            <w:tcW w:w="182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860" w:type="dxa"/>
            <w:vAlign w:val="bottom"/>
            <w:gridSpan w:val="9"/>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 held of record by Mr. Kaestner, as trustee of the 2007 Graham Reed Kaestner Irrevocable Trust, and (x)</w:t>
            </w:r>
          </w:p>
        </w:tc>
        <w:tc>
          <w:tcPr>
            <w:tcW w:w="4280" w:type="dxa"/>
            <w:vAlign w:val="bottom"/>
            <w:gridSpan w:val="4"/>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Kaestner, as</w:t>
            </w:r>
          </w:p>
        </w:tc>
        <w:tc>
          <w:tcPr>
            <w:tcW w:w="0" w:type="dxa"/>
            <w:vAlign w:val="bottom"/>
          </w:tcPr>
          <w:p>
            <w:pPr>
              <w:spacing w:after="0"/>
              <w:rPr>
                <w:sz w:val="1"/>
                <w:szCs w:val="1"/>
                <w:color w:val="auto"/>
              </w:rPr>
            </w:pPr>
          </w:p>
        </w:tc>
      </w:tr>
      <w:tr>
        <w:trPr>
          <w:trHeight w:val="165"/>
        </w:trPr>
        <w:tc>
          <w:tcPr>
            <w:tcW w:w="260" w:type="dxa"/>
            <w:vAlign w:val="bottom"/>
          </w:tcPr>
          <w:p>
            <w:pPr>
              <w:spacing w:after="0"/>
              <w:rPr>
                <w:sz w:val="14"/>
                <w:szCs w:val="14"/>
                <w:color w:val="auto"/>
              </w:rPr>
            </w:pPr>
          </w:p>
        </w:tc>
        <w:tc>
          <w:tcPr>
            <w:tcW w:w="354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trustee of the 2007 Joseph Rice Kaestner Irrevocable Trust.</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460" w:hanging="332"/>
        <w:spacing w:after="0" w:line="239" w:lineRule="auto"/>
        <w:tabs>
          <w:tab w:leader="none" w:pos="3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held by the Carmichael Entities identified in Note (8). Brian D. Bailey and Kevin J. Martin are the managing partners of Carmichael Bandwidth LLC and Carmichael Partners LLC and share voting and dispositive power with respect to the shares held by the Carmichael Entities and Carmichael Partners LLC.</w:t>
      </w:r>
    </w:p>
    <w:p>
      <w:pPr>
        <w:sectPr>
          <w:pgSz w:w="11900" w:h="16838" w:orient="portrait"/>
          <w:cols w:equalWidth="0" w:num="1">
            <w:col w:w="11420"/>
          </w:cols>
          <w:pgMar w:left="240" w:top="455" w:right="239" w:bottom="1440" w:gutter="0" w:footer="0" w:header="0"/>
        </w:sectPr>
      </w:pPr>
    </w:p>
    <w:p>
      <w:pPr>
        <w:spacing w:after="0" w:line="221" w:lineRule="auto"/>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br w:type="column"/>
      </w:r>
    </w:p>
    <w:p>
      <w:pPr>
        <w:ind w:right="200"/>
        <w:spacing w:after="0" w:line="221" w:lineRule="auto"/>
        <w:rPr>
          <w:sz w:val="20"/>
          <w:szCs w:val="20"/>
          <w:color w:val="auto"/>
        </w:rPr>
      </w:pPr>
      <w:r>
        <w:rPr>
          <w:rFonts w:ascii="Times New Roman" w:cs="Times New Roman" w:eastAsia="Times New Roman" w:hAnsi="Times New Roman"/>
          <w:sz w:val="14"/>
          <w:szCs w:val="14"/>
          <w:color w:val="auto"/>
        </w:rPr>
        <w:t>Consists of (i) shares of Series A preferred stock held by Carmichael Investment Partners LLC (“CIP”) that will be converted into shares of Class B common stock immediately after the completion of this offering, (ii) shares of Class B common stock held by CIP, (iii) shares of Class B common stock held by Carmichael Investment Partners II, LLC (“CIP II”), (iv) shares of Class B common stock held by Carmichael Investment Partners III, LLC (“CIP III” and, together with CIP and CIP II, the “Carmichael Entities”), (v) shares of Class B common stock held by Carmichael Partners LLC and</w:t>
      </w:r>
    </w:p>
    <w:p>
      <w:pPr>
        <w:spacing w:after="0" w:line="114" w:lineRule="exact"/>
        <w:rPr>
          <w:sz w:val="20"/>
          <w:szCs w:val="20"/>
          <w:color w:val="auto"/>
        </w:rPr>
      </w:pPr>
    </w:p>
    <w:p>
      <w:pPr>
        <w:sectPr>
          <w:pgSz w:w="11900" w:h="16838" w:orient="portrait"/>
          <w:cols w:equalWidth="0" w:num="2">
            <w:col w:w="180" w:space="160"/>
            <w:col w:w="1108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420"/>
          </w:cols>
          <w:pgMar w:left="240" w:top="455" w:right="23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(vi)</w:t>
            </w:r>
          </w:p>
        </w:tc>
        <w:tc>
          <w:tcPr>
            <w:tcW w:w="63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shares of Class B common stock subject to outstanding options that are exercisable within 60 days of</w:t>
            </w:r>
          </w:p>
        </w:tc>
        <w:tc>
          <w:tcPr>
            <w:tcW w:w="3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2017, which are held personally by Kevin J. Martin, but the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980" w:type="dxa"/>
            <w:vAlign w:val="bottom"/>
            <w:gridSpan w:val="7"/>
          </w:tcPr>
          <w:p>
            <w:pPr>
              <w:ind w:left="40"/>
              <w:spacing w:after="0" w:line="149" w:lineRule="exact"/>
              <w:rPr>
                <w:sz w:val="20"/>
                <w:szCs w:val="20"/>
                <w:color w:val="auto"/>
              </w:rPr>
            </w:pPr>
            <w:r>
              <w:rPr>
                <w:rFonts w:ascii="Times New Roman" w:cs="Times New Roman" w:eastAsia="Times New Roman" w:hAnsi="Times New Roman"/>
                <w:sz w:val="14"/>
                <w:szCs w:val="14"/>
                <w:color w:val="auto"/>
              </w:rPr>
              <w:t>economic value of which will transfer to Carmichael Partners LLC. Carmichael Bandwidth LLC is the managing member of each of the Carmichael Entities. The address for each of the</w:t>
            </w:r>
          </w:p>
        </w:tc>
        <w:tc>
          <w:tcPr>
            <w:tcW w:w="0" w:type="dxa"/>
            <w:vAlign w:val="bottom"/>
          </w:tcPr>
          <w:p>
            <w:pPr>
              <w:spacing w:after="0"/>
              <w:rPr>
                <w:sz w:val="1"/>
                <w:szCs w:val="1"/>
                <w:color w:val="auto"/>
              </w:rPr>
            </w:pPr>
          </w:p>
        </w:tc>
      </w:tr>
      <w:tr>
        <w:trPr>
          <w:trHeight w:val="149"/>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4"/>
              </w:rPr>
              <w:t>(10)</w:t>
            </w:r>
          </w:p>
        </w:tc>
        <w:tc>
          <w:tcPr>
            <w:tcW w:w="10980" w:type="dxa"/>
            <w:vAlign w:val="bottom"/>
            <w:gridSpan w:val="7"/>
          </w:tcPr>
          <w:p>
            <w:pPr>
              <w:ind w:left="40"/>
              <w:spacing w:after="0" w:line="149" w:lineRule="exact"/>
              <w:rPr>
                <w:sz w:val="20"/>
                <w:szCs w:val="20"/>
                <w:color w:val="auto"/>
              </w:rPr>
            </w:pPr>
            <w:r>
              <w:rPr>
                <w:rFonts w:ascii="Times New Roman" w:cs="Times New Roman" w:eastAsia="Times New Roman" w:hAnsi="Times New Roman"/>
                <w:sz w:val="14"/>
                <w:szCs w:val="14"/>
                <w:color w:val="auto"/>
              </w:rPr>
              <w:t>Carmichael Entities and Carmichael Partners LLC is c/o Carmichael Investment Partners LLC, 4725 Piedmont Row Drive, Suite 210, Charlotte, NC 28210.</w:t>
            </w: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Consists of (i)</w:t>
            </w:r>
          </w:p>
        </w:tc>
        <w:tc>
          <w:tcPr>
            <w:tcW w:w="400" w:type="dxa"/>
            <w:vAlign w:val="bottom"/>
          </w:tcPr>
          <w:p>
            <w:pPr>
              <w:spacing w:after="0"/>
              <w:rPr>
                <w:sz w:val="12"/>
                <w:szCs w:val="12"/>
                <w:color w:val="auto"/>
              </w:rPr>
            </w:pPr>
          </w:p>
        </w:tc>
        <w:tc>
          <w:tcPr>
            <w:tcW w:w="4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Mr. Bowen, (ii)</w:t>
            </w:r>
          </w:p>
        </w:tc>
        <w:tc>
          <w:tcPr>
            <w:tcW w:w="5260" w:type="dxa"/>
            <w:vAlign w:val="bottom"/>
            <w:gridSpan w:val="3"/>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warrants that are exercisable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within 60 days of</w:t>
            </w:r>
          </w:p>
        </w:tc>
        <w:tc>
          <w:tcPr>
            <w:tcW w:w="11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 2017, (iii)</w:t>
            </w:r>
          </w:p>
        </w:tc>
        <w:tc>
          <w:tcPr>
            <w:tcW w:w="522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by First Trust Capital Partners, LLC, (iv)</w:t>
            </w:r>
          </w:p>
        </w:tc>
        <w:tc>
          <w:tcPr>
            <w:tcW w:w="3340" w:type="dxa"/>
            <w:vAlign w:val="bottom"/>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by FT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4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Bandwidth Ventures, LLC, and (v)</w:t>
            </w:r>
          </w:p>
        </w:tc>
        <w:tc>
          <w:tcPr>
            <w:tcW w:w="8560" w:type="dxa"/>
            <w:vAlign w:val="bottom"/>
            <w:gridSpan w:val="4"/>
          </w:tcPr>
          <w:p>
            <w:pPr>
              <w:jc w:val="right"/>
              <w:ind w:right="428"/>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by FT Bandwidth Ventures II, LLC. The address for each of First Trust Capital Partners, LLC, FT</w:t>
            </w:r>
          </w:p>
        </w:tc>
        <w:tc>
          <w:tcPr>
            <w:tcW w:w="0" w:type="dxa"/>
            <w:vAlign w:val="bottom"/>
          </w:tcPr>
          <w:p>
            <w:pPr>
              <w:spacing w:after="0"/>
              <w:rPr>
                <w:sz w:val="1"/>
                <w:szCs w:val="1"/>
                <w:color w:val="auto"/>
              </w:rPr>
            </w:pPr>
          </w:p>
        </w:tc>
      </w:tr>
      <w:tr>
        <w:trPr>
          <w:trHeight w:val="149"/>
        </w:trPr>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4"/>
              </w:rPr>
              <w:t>(11)</w:t>
            </w:r>
          </w:p>
        </w:tc>
        <w:tc>
          <w:tcPr>
            <w:tcW w:w="7160" w:type="dxa"/>
            <w:vAlign w:val="bottom"/>
            <w:gridSpan w:val="5"/>
          </w:tcPr>
          <w:p>
            <w:pPr>
              <w:ind w:left="40"/>
              <w:spacing w:after="0" w:line="149" w:lineRule="exact"/>
              <w:rPr>
                <w:sz w:val="20"/>
                <w:szCs w:val="20"/>
                <w:color w:val="auto"/>
              </w:rPr>
            </w:pPr>
            <w:r>
              <w:rPr>
                <w:rFonts w:ascii="Times New Roman" w:cs="Times New Roman" w:eastAsia="Times New Roman" w:hAnsi="Times New Roman"/>
                <w:sz w:val="14"/>
                <w:szCs w:val="14"/>
                <w:color w:val="auto"/>
              </w:rPr>
              <w:t>Bandwidth Ventures, LLC and FT Bandwidth Ventures II, LLC is 120 East Liberty Drive, Suite 400, Wheaton, IL 60187.</w:t>
            </w:r>
          </w:p>
        </w:tc>
        <w:tc>
          <w:tcPr>
            <w:tcW w:w="4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vMerge w:val="continue"/>
          </w:tcPr>
          <w:p>
            <w:pPr>
              <w:spacing w:after="0"/>
              <w:rPr>
                <w:sz w:val="12"/>
                <w:szCs w:val="12"/>
                <w:color w:val="auto"/>
              </w:rPr>
            </w:pP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Consists of (i)</w:t>
            </w:r>
          </w:p>
        </w:tc>
        <w:tc>
          <w:tcPr>
            <w:tcW w:w="400" w:type="dxa"/>
            <w:vAlign w:val="bottom"/>
          </w:tcPr>
          <w:p>
            <w:pPr>
              <w:spacing w:after="0"/>
              <w:rPr>
                <w:sz w:val="12"/>
                <w:szCs w:val="12"/>
                <w:color w:val="auto"/>
              </w:rPr>
            </w:pPr>
          </w:p>
        </w:tc>
        <w:tc>
          <w:tcPr>
            <w:tcW w:w="44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of Class B common stock held of record by Ms. Bowen and (ii)</w:t>
            </w:r>
          </w:p>
        </w:tc>
        <w:tc>
          <w:tcPr>
            <w:tcW w:w="52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shares of Class B common stock subject to outstanding warrants that are exercisable</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within 60 days of</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2017.</w:t>
            </w:r>
          </w:p>
        </w:tc>
        <w:tc>
          <w:tcPr>
            <w:tcW w:w="3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80"/>
          </w:cols>
          <w:pgMar w:left="240" w:top="455" w:right="37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3980" w:type="dxa"/>
            <w:vAlign w:val="bottom"/>
            <w:gridSpan w:val="2"/>
          </w:tcPr>
          <w:p>
            <w:pPr>
              <w:spacing w:after="0"/>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Table of Contents</w:t>
              </w:r>
            </w:hyperlink>
          </w:p>
        </w:tc>
        <w:tc>
          <w:tcPr>
            <w:tcW w:w="6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tc>
        <w:tc>
          <w:tcPr>
            <w:tcW w:w="1280" w:type="dxa"/>
            <w:vAlign w:val="bottom"/>
          </w:tcPr>
          <w:p>
            <w:pPr>
              <w:spacing w:after="0"/>
              <w:rPr>
                <w:sz w:val="24"/>
                <w:szCs w:val="24"/>
                <w:color w:val="auto"/>
              </w:rPr>
            </w:pPr>
          </w:p>
        </w:tc>
      </w:tr>
      <w:tr>
        <w:trPr>
          <w:trHeight w:val="432"/>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6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6"/>
        </w:trPr>
        <w:tc>
          <w:tcPr>
            <w:tcW w:w="10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As of the closing of this offering, after giving effect to the Pre-IPO Reorganization, our authorized capital stock will consist of</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$0.001 per share, and</w:t>
            </w:r>
          </w:p>
        </w:tc>
        <w:tc>
          <w:tcPr>
            <w:tcW w:w="7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of preferred stock, par value $0.001 per share. Our common stock will be divided into two</w:t>
            </w:r>
          </w:p>
        </w:tc>
      </w:tr>
      <w:tr>
        <w:trPr>
          <w:trHeight w:val="216"/>
        </w:trPr>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classes, Class A common stock and Class B common stock. Following this offering, our authorized Class A common stock will consist of</w:t>
            </w:r>
          </w:p>
        </w:tc>
        <w:tc>
          <w:tcPr>
            <w:tcW w:w="12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shares and</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authorized Class B common stock will consist of</w:t>
            </w:r>
          </w:p>
        </w:tc>
        <w:tc>
          <w:tcPr>
            <w:tcW w:w="6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amended and restated certificate of incorporation and amended and restated bylaws are summaries and are qualified by reference to the amended and restated certificate of incorporation and amended and restated bylaws that will become effective immediately prior to the closing of this offering. Copies of these documents will be filed with the Securities and Exchange Commission as exhibits to our registration statement, of which this prospectus forms a part. The description of our capital stock reflects changes to our capital structure that will occur upon the closing of this offering.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21" w:lineRule="exact"/>
        <w:rPr>
          <w:sz w:val="20"/>
          <w:szCs w:val="20"/>
          <w:color w:val="auto"/>
        </w:rPr>
      </w:pPr>
    </w:p>
    <w:p>
      <w:pPr>
        <w:ind w:left="460"/>
        <w:spacing w:after="0"/>
        <w:tabs>
          <w:tab w:leader="none" w:pos="1560" w:val="left"/>
          <w:tab w:leader="none" w:pos="3780" w:val="left"/>
          <w:tab w:leader="none" w:pos="960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2017, there were (i)</w:t>
      </w:r>
      <w:r>
        <w:rPr>
          <w:sz w:val="20"/>
          <w:szCs w:val="20"/>
          <w:color w:val="auto"/>
        </w:rPr>
        <w:tab/>
      </w:r>
      <w:r>
        <w:rPr>
          <w:rFonts w:ascii="Times New Roman" w:cs="Times New Roman" w:eastAsia="Times New Roman" w:hAnsi="Times New Roman"/>
          <w:sz w:val="18"/>
          <w:szCs w:val="18"/>
          <w:color w:val="auto"/>
        </w:rPr>
        <w:t>shares of our Class A common stock outstanding and held of record by</w:t>
      </w:r>
      <w:r>
        <w:rPr>
          <w:sz w:val="20"/>
          <w:szCs w:val="20"/>
          <w:color w:val="auto"/>
        </w:rPr>
        <w:tab/>
      </w:r>
      <w:r>
        <w:rPr>
          <w:rFonts w:ascii="Times New Roman" w:cs="Times New Roman" w:eastAsia="Times New Roman" w:hAnsi="Times New Roman"/>
          <w:sz w:val="18"/>
          <w:szCs w:val="18"/>
          <w:color w:val="auto"/>
        </w:rPr>
        <w:t>stockholders and</w:t>
      </w:r>
    </w:p>
    <w:p>
      <w:pPr>
        <w:spacing w:after="0" w:line="27" w:lineRule="exact"/>
        <w:rPr>
          <w:sz w:val="20"/>
          <w:szCs w:val="20"/>
          <w:color w:val="auto"/>
        </w:rPr>
      </w:pPr>
    </w:p>
    <w:p>
      <w:pPr>
        <w:spacing w:after="0"/>
        <w:tabs>
          <w:tab w:leader="none" w:pos="920" w:val="left"/>
          <w:tab w:leader="none" w:pos="64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shares of Class B common stock outstanding and held of record by</w:t>
      </w:r>
      <w:r>
        <w:rPr>
          <w:sz w:val="20"/>
          <w:szCs w:val="20"/>
          <w:color w:val="auto"/>
        </w:rPr>
        <w:tab/>
      </w:r>
      <w:r>
        <w:rPr>
          <w:rFonts w:ascii="Times New Roman" w:cs="Times New Roman" w:eastAsia="Times New Roman" w:hAnsi="Times New Roman"/>
          <w:sz w:val="18"/>
          <w:szCs w:val="18"/>
          <w:color w:val="auto"/>
        </w:rPr>
        <w:t>stockholders, assuming completion of the Pre-IPO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closing of this offering.</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93" w:lineRule="exact"/>
        <w:rPr>
          <w:sz w:val="20"/>
          <w:szCs w:val="20"/>
          <w:color w:val="auto"/>
        </w:rPr>
      </w:pPr>
    </w:p>
    <w:p>
      <w:pPr>
        <w:ind w:left="900" w:right="80" w:hanging="446"/>
        <w:spacing w:after="0" w:line="282"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common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900" w:right="100" w:hanging="446"/>
        <w:spacing w:after="0" w:line="266"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not provided for cumulative voting for the election of directors in our amended and restated certificate of incorporation.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80"/>
          </w:cols>
          <w:pgMar w:left="240" w:top="446"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w:t>
      </w:r>
    </w:p>
    <w:p>
      <w:pPr>
        <w:spacing w:after="0" w:line="174"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Any dividend or distributions paid or payable to the holders of shares of Class A common stock and Class B common stock shall be paid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rata, on an equal priority,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83" w:lineRule="exact"/>
        <w:rPr>
          <w:sz w:val="20"/>
          <w:szCs w:val="20"/>
          <w:color w:val="auto"/>
        </w:rPr>
      </w:pPr>
    </w:p>
    <w:p>
      <w:pPr>
        <w:jc w:val="both"/>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In the event of our liquidation, dissolution or winding-up, upon the completion of the distributions required with respect to any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that may then be outstanding, our remaining assets legally available for distribution to stockholders shall be distributed on an equal priority, pro rata basis to the holders of Class A common stock and Class B common stock.</w:t>
      </w:r>
    </w:p>
    <w:p>
      <w:pPr>
        <w:spacing w:after="0" w:line="174"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the outstanding shares of all common stock will be subdivided or combined in the same proportion and manner.</w:t>
      </w:r>
    </w:p>
    <w:p>
      <w:pPr>
        <w:spacing w:after="0" w:line="15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Change of Control Transaction</w:t>
      </w:r>
      <w:r>
        <w:rPr>
          <w:rFonts w:ascii="Times New Roman" w:cs="Times New Roman" w:eastAsia="Times New Roman" w:hAnsi="Times New Roman"/>
          <w:sz w:val="18"/>
          <w:szCs w:val="18"/>
          <w:color w:val="auto"/>
        </w:rPr>
        <w:t>. In connection with any change of control, the holders of Class A common stock and Class B common stock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that will become effective upon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closing of this offering, there will be no shares of preferred stock outstanding, and we have no present plans to issue any shares of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outstanding options to purchase (i) an aggregate of 146,985 shares of our Class B common stock under our 2001 Plan, at a weighted-average exercise price of $14.36 per share, (ii) an aggregate of 1,294,969 shares of our Class A common stock under our 2010 Plan, at a weighted-average exercise price of $16.75 per share and (iii) zero shares of our Class A common stock under out 2017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left="460"/>
        <w:spacing w:after="0"/>
        <w:tabs>
          <w:tab w:leader="none" w:pos="1560" w:val="left"/>
        </w:tabs>
        <w:rPr>
          <w:sz w:val="20"/>
          <w:szCs w:val="20"/>
          <w:color w:val="auto"/>
        </w:rPr>
      </w:pP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2017, we had no restricted stock units outstanding under our 2010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We entered into an Investors’ Rights Agreement with the holders of shares of our common stock issuable upon conversion of the shares of our Series A preferred stock and certain holders of our Old Class A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7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after 180 days after the closing of this offering, the holders of registrable shares entitled to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rights may request that we register all or a portion of their 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85"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Incidental Registration Rights</w:t>
      </w:r>
      <w:r>
        <w:rPr>
          <w:rFonts w:ascii="Times New Roman" w:cs="Times New Roman" w:eastAsia="Times New Roman" w:hAnsi="Times New Roman"/>
          <w:sz w:val="18"/>
          <w:szCs w:val="18"/>
          <w:color w:val="auto"/>
        </w:rPr>
        <w:t>. In addition, if at any time after this offering we register any shares of our common stock, the holders of all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entitled to notice of the registration and to include all or a portion of their registrable shares in the registration.</w:t>
      </w:r>
    </w:p>
    <w:p>
      <w:pPr>
        <w:spacing w:after="0" w:line="158"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In the event that any registration in which the holders of registrable shares participate pursuant to the Investors’ Rights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underwritten public offering, the number of registrable shares to be included may, in specified circumstances, be limited due to market conditions.</w:t>
      </w:r>
    </w:p>
    <w:p>
      <w:pPr>
        <w:spacing w:after="0" w:line="16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Upon the closing of this offering, we will be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ind w:right="20" w:firstLine="456"/>
        <w:spacing w:after="0" w:line="219"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and our amended and restated bylaws provide that a director may be removed only for cause and only by the affirmative vote of the holders of at least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19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limitations on the removal of directors and filling of vacancies could make it more difficult for a third party to acquire, or discourage a third party from seeking to acquire, control of our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Voting</w:t>
      </w:r>
    </w:p>
    <w:p>
      <w:pPr>
        <w:spacing w:after="0" w:line="121" w:lineRule="exact"/>
        <w:rPr>
          <w:sz w:val="20"/>
          <w:szCs w:val="20"/>
          <w:color w:val="auto"/>
        </w:rPr>
      </w:pPr>
    </w:p>
    <w:p>
      <w:pPr>
        <w:ind w:right="180" w:firstLine="456"/>
        <w:spacing w:after="0" w:line="213" w:lineRule="auto"/>
        <w:rPr>
          <w:sz w:val="20"/>
          <w:szCs w:val="20"/>
          <w:color w:val="auto"/>
        </w:rPr>
      </w:pPr>
      <w:r>
        <w:rPr>
          <w:rFonts w:ascii="Times New Roman" w:cs="Times New Roman" w:eastAsia="Times New Roman" w:hAnsi="Times New Roman"/>
          <w:sz w:val="18"/>
          <w:szCs w:val="18"/>
          <w:color w:val="auto"/>
        </w:rPr>
        <w:t xml:space="preserve">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xml:space="preserve">% of the votes that all of our stockholders would be entitled to cast in an annual election of directors. In addition, the affirmative vote of the holders of at least 66 </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3</w:t>
      </w:r>
      <w:r>
        <w:rPr>
          <w:rFonts w:ascii="Times New Roman" w:cs="Times New Roman" w:eastAsia="Times New Roman" w:hAnsi="Times New Roman"/>
          <w:sz w:val="18"/>
          <w:szCs w:val="18"/>
          <w:color w:val="auto"/>
        </w:rPr>
        <w:t>% of the votes which all our stockholders would be entitled to cast in an election of directors is required to amend or repeal or to adopt any provisions inconsistent with any of the provisions of our amended and restated certificate of incorporation described in this paragraph and the prior two paragraphs.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Special Meeting of Stockholders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amended and restated certificate of incorporation and our amended and restated bylaws also provide that, except as otherwise required by law, special meetings of our stockholders can only be called by our chairman of the board, our Chief Executive Officer or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authorized but unissued shares of our common stock and preferred stock are available for future issuance without stockholder approval, subject to</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limitations imposed by the listing standards of .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80"/>
          </w:cols>
          <w:pgMar w:left="240" w:top="455" w:right="2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tabs>
          <w:tab w:leader="none" w:pos="6200" w:val="left"/>
        </w:tabs>
        <w:rPr>
          <w:sz w:val="20"/>
          <w:szCs w:val="20"/>
          <w:color w:val="auto"/>
        </w:rPr>
      </w:pPr>
      <w:r>
        <w:rPr>
          <w:rFonts w:ascii="Times New Roman" w:cs="Times New Roman" w:eastAsia="Times New Roman" w:hAnsi="Times New Roman"/>
          <w:sz w:val="18"/>
          <w:szCs w:val="18"/>
          <w:color w:val="auto"/>
        </w:rPr>
        <w:t>The transfer agent and registrar for our Class A common stock will be</w:t>
      </w:r>
      <w:r>
        <w:rPr>
          <w:sz w:val="20"/>
          <w:szCs w:val="20"/>
          <w:color w:val="auto"/>
        </w:rPr>
        <w:tab/>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tabs>
          <w:tab w:leader="none" w:pos="5760" w:val="left"/>
          <w:tab w:leader="none" w:pos="7860" w:val="left"/>
        </w:tabs>
        <w:rPr>
          <w:sz w:val="20"/>
          <w:szCs w:val="20"/>
          <w:color w:val="auto"/>
        </w:rPr>
      </w:pPr>
      <w:r>
        <w:rPr>
          <w:rFonts w:ascii="Times New Roman" w:cs="Times New Roman" w:eastAsia="Times New Roman" w:hAnsi="Times New Roman"/>
          <w:sz w:val="18"/>
          <w:szCs w:val="18"/>
          <w:color w:val="auto"/>
        </w:rPr>
        <w:t>Our Class A common stock has been approved for listing on the</w:t>
      </w:r>
      <w:r>
        <w:rPr>
          <w:sz w:val="20"/>
          <w:szCs w:val="20"/>
          <w:color w:val="auto"/>
        </w:rPr>
        <w:tab/>
      </w:r>
      <w:r>
        <w:rPr>
          <w:rFonts w:ascii="Times New Roman" w:cs="Times New Roman" w:eastAsia="Times New Roman" w:hAnsi="Times New Roman"/>
          <w:sz w:val="18"/>
          <w:szCs w:val="18"/>
          <w:color w:val="auto"/>
        </w:rPr>
        <w:t>under the symbol “</w:t>
      </w:r>
      <w:r>
        <w:rPr>
          <w:sz w:val="20"/>
          <w:szCs w:val="20"/>
          <w:color w:val="auto"/>
        </w:rPr>
        <w:tab/>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219"/>
          </w:cols>
          <w:pgMar w:left="240" w:top="455" w:right="1440"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of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89" w:lineRule="exact"/>
        <w:rPr>
          <w:sz w:val="20"/>
          <w:szCs w:val="20"/>
          <w:color w:val="auto"/>
        </w:rPr>
      </w:pPr>
    </w:p>
    <w:p>
      <w:pPr>
        <w:ind w:left="720" w:right="140" w:hanging="263"/>
        <w:spacing w:after="0" w:line="261" w:lineRule="auto"/>
        <w:rPr>
          <w:sz w:val="20"/>
          <w:szCs w:val="20"/>
          <w:color w:val="auto"/>
        </w:rPr>
      </w:pPr>
      <w:r>
        <w:rPr>
          <w:rFonts w:ascii="Times New Roman" w:cs="Times New Roman" w:eastAsia="Times New Roman" w:hAnsi="Times New Roman"/>
          <w:sz w:val="18"/>
          <w:szCs w:val="18"/>
          <w:color w:val="auto"/>
        </w:rPr>
        <w:t>After giving effect to the Pre-IPO Reorganization, based on the number of shares outstanding as of</w:t>
      </w:r>
      <w:r>
        <w:rPr>
          <w:sz w:val="20"/>
          <w:szCs w:val="20"/>
          <w:color w:val="auto"/>
        </w:rPr>
        <w:t xml:space="preserve"> </w:t>
      </w:r>
      <w:r>
        <w:rPr>
          <w:rFonts w:ascii="Times New Roman" w:cs="Times New Roman" w:eastAsia="Times New Roman" w:hAnsi="Times New Roman"/>
          <w:sz w:val="18"/>
          <w:szCs w:val="18"/>
          <w:color w:val="auto"/>
        </w:rPr>
        <w:t>, 2017, upon the completion of this offering, shares of Class A common stock and shares of Class B common stock will be outstanding (or shares of Class A common stock</w:t>
      </w: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Class A common stock in full). Of the outstanding shares, all the shares of Class A common stock sold in this offering will be freely transferrable without restriction or registration under the Securities Act, except that any shares held by our affiliates, as that term is defined in Rule 144 under the Securities Act, may only be sold in compliance with the limitations described below.</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shares of Class B common stock outstanding as of , 2017 will be restricted as a result of securities laws or lock-up agreements as described below. “Restricted securities” as defined under Rule 144 were issued and sold by us in reliance on exemptions from the registration requirements of the Securities Act. These shares of Class B common stock may be sold in the public market only if registered or pursuant to an exemption from registration, such as Rule 144 or Rule 701 under the Securities Act. Subject to the volume and other restrictions of Rule 144 or Rule 701, these shares will be available for sale in the public market as follows:</w:t>
      </w:r>
    </w:p>
    <w:p>
      <w:pPr>
        <w:spacing w:after="0" w:line="89" w:lineRule="exact"/>
        <w:rPr>
          <w:sz w:val="20"/>
          <w:szCs w:val="20"/>
          <w:color w:val="auto"/>
        </w:rPr>
      </w:pPr>
    </w:p>
    <w:p>
      <w:pPr>
        <w:ind w:left="1660" w:hanging="1206"/>
        <w:spacing w:after="0"/>
        <w:tabs>
          <w:tab w:leader="none" w:pos="1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will be immediately available for sale in the public market, following conversion to Class A common</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w:t>
      </w:r>
    </w:p>
    <w:p>
      <w:pPr>
        <w:sectPr>
          <w:pgSz w:w="11900" w:h="16838" w:orient="portrait"/>
          <w:cols w:equalWidth="0" w:num="1">
            <w:col w:w="11420"/>
          </w:cols>
          <w:pgMar w:left="240" w:top="455" w:right="239" w:bottom="1440" w:gutter="0" w:footer="0" w:header="0"/>
        </w:sectPr>
      </w:pP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on the date of this prospectus, all the public market; and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sold in this offering will be immediately available for sale in</w:t>
      </w:r>
    </w:p>
    <w:p>
      <w:pPr>
        <w:spacing w:after="0" w:line="346" w:lineRule="exact"/>
        <w:rPr>
          <w:sz w:val="20"/>
          <w:szCs w:val="20"/>
          <w:color w:val="auto"/>
        </w:rPr>
      </w:pPr>
    </w:p>
    <w:p>
      <w:pPr>
        <w:sectPr>
          <w:pgSz w:w="11900" w:h="16838" w:orient="portrait"/>
          <w:cols w:equalWidth="0" w:num="3">
            <w:col w:w="520" w:space="380"/>
            <w:col w:w="3140" w:space="620"/>
            <w:col w:w="6760"/>
          </w:cols>
          <w:pgMar w:left="240" w:top="45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beginning 181 days after the date of this prospectus, the remainder of the outstanding shares of Class A common stock and shares of Class B common stock will be eligible for sale in the public market from time to time thereafter, subject in some cases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520"/>
          </w:cols>
          <w:pgMar w:left="240" w:top="455" w:right="2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All of our directors and executive officers and the holders of substantially all of our securities have entered or will enter into lock-up agreements under which they agree, subject to certain exceptions, not to sell, transfer or dispose of, directly or indirectly, any shares of our common stock or any securities convertible into or exercisable or exchangeable for shares of our common stock without the prior written consent of Morgan Stanley &amp; Co. LLC for a period of 180 days after the date of this prospectus, subject to possible extension under certain circumstances. Morgan Stanley &amp; Co. LLC may, in its discretion, release any of the securities subject to the lock-up agreements with the underwriters at any time. These agreements are described in the section titled “Underwriters.”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960" w:firstLine="456"/>
        <w:spacing w:after="0" w:line="282"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Section 13 or Section 15(d) of the Exchange Act for at least 90 days, a person who is not deemed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would be entitled to sell those shares of Class A common stock without complying with any of the requirements of Rule 144.</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Class A common stock on behalf of our affiliates are entitled to sell upon expiration of the lock-up agreements described above, within any three-month period, a number of shares of Class A common stock that does not exceed the greater of:</w:t>
      </w:r>
    </w:p>
    <w:p>
      <w:pPr>
        <w:sectPr>
          <w:pgSz w:w="11900" w:h="16838" w:orient="portrait"/>
          <w:cols w:equalWidth="0" w:num="1">
            <w:col w:w="11400"/>
          </w:cols>
          <w:pgMar w:left="240" w:top="455" w:right="259" w:bottom="1440" w:gutter="0" w:footer="0" w:header="0"/>
        </w:sectPr>
      </w:pP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Class A common stock then outstanding, which will equal approximately this offering assuming no exercise of the underwriters’ over-allotment option; and</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immediately after</w:t>
      </w:r>
    </w:p>
    <w:p>
      <w:pPr>
        <w:spacing w:after="0" w:line="346" w:lineRule="exact"/>
        <w:rPr>
          <w:sz w:val="20"/>
          <w:szCs w:val="20"/>
          <w:color w:val="auto"/>
        </w:rPr>
      </w:pPr>
    </w:p>
    <w:p>
      <w:pPr>
        <w:sectPr>
          <w:pgSz w:w="11900" w:h="16838" w:orient="portrait"/>
          <w:cols w:equalWidth="0" w:num="3">
            <w:col w:w="520" w:space="380"/>
            <w:col w:w="7820" w:space="720"/>
            <w:col w:w="1960"/>
          </w:cols>
          <w:pgMar w:left="240" w:top="455" w:right="259" w:bottom="1440" w:gutter="0" w:footer="0" w:header="0"/>
          <w:type w:val="continuous"/>
        </w:sectPr>
      </w:pPr>
    </w:p>
    <w:p>
      <w:pPr>
        <w:ind w:left="900" w:right="280" w:hanging="446"/>
        <w:spacing w:after="0" w:line="282"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with respect to that sale.</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Moreover, substantially all Rule 701 shares are subject to lock-up agreements with the underwriters as described above and under the section titled “Underwriters” and will not become eligible for sale until the expiration of those agreements.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color w:val="auto"/>
        </w:rPr>
        <w:t>The holders of approximately</w:t>
      </w:r>
      <w:r>
        <w:rPr>
          <w:sz w:val="20"/>
          <w:szCs w:val="20"/>
          <w:color w:val="auto"/>
        </w:rPr>
        <w:tab/>
      </w:r>
      <w:r>
        <w:rPr>
          <w:rFonts w:ascii="Times New Roman" w:cs="Times New Roman" w:eastAsia="Times New Roman" w:hAnsi="Times New Roman"/>
          <w:sz w:val="18"/>
          <w:szCs w:val="18"/>
          <w:color w:val="auto"/>
        </w:rPr>
        <w:t>shares of our outstanding capital stock, or their transferees, are entitled to certain rights with respect to the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registration of those shares under the Securities Act. For a description of these registration rights, please see ”Description of Capital Stock—Registration Rights.” If these shares are registered, they will be freely tradable without restriction under the Securities Act, subject to the Rule 144 limitations applicable to affiliates, and a large number of shares may be sold into the public market.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intend to file a registration statement on Form S-8 under the Securities Act promptly after the completion of this offering to register shares of our Class A common stock subject to options and restricted stock units outstanding, as well as reserved for future issuance, under our equity compensation plans. The registration statement on Form S-8 is expected to become effective immediately upon filing, and shares of our Class A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Compensation—Incentive Plans” for a description of our equity compensation plans.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00"/>
          </w:cols>
          <w:pgMar w:left="240" w:top="455" w:right="259" w:bottom="1440" w:gutter="0" w:footer="0" w:header="0"/>
          <w:type w:val="continuous"/>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7"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The following is a summary of the material U.S. federal income tax consequences to non-U.S. holders (as defined below) of the acquisition, ownership and disposition of our Class A common stock issued pursuant to this offering, but does not purport to be a complete analysis of all potential tax effects. The effects of other U.S. federal tax laws, such as estate and gift tax consequences, and any applicable state, local or non-U.S. tax laws are not discussed. This discussion is based on the Code, Treasury Regulations promulgated thereunder, judicial decisions, and published rulings and administrative pronouncements of the Internal Revenue Service (“IRS”), all as in effect as of the date of this offering. These authorities may change or be subject to differing interpretations. Any such change or differing interpretation may be applied retroactively in a manner that could adversely affect a non-U.S. holder of our Class A common stock. No ruling has been or will be sought from the IRS with respect to the matters discussed below, and there can be no assurance that the IRS or a court will not take a contrary position regarding the tax consequences of the acquisition, ownership or disposition of our Class A common stock.</w:t>
      </w:r>
    </w:p>
    <w:p>
      <w:pPr>
        <w:spacing w:after="0" w:line="17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Class A common stock issued pursuant to this offering and who hold such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including the impact of the Medicare contribution tax on net investment income. This discussion also does not consider any specific facts or circumstances that may be relevant to holders subject to special rules, including, without limitation, U.S. expatriates and former citizens or long-term residents of the United States, partnerships or other entities or arrangements treated as partnerships for U.S. federal income tax purposes (and investors therein), real estate investment trusts, regulated investment companies, “controlled foreign corporations,” “passive foreign investment companies,” corporations that accumulate earnings to avoid U.S. federal income tax, banks, financial institutions, investment funds, insurance companies, brokers, dealers or traders in securities, commodities or currencies, tax-exempt organizations or governmental organizations, tax-qualified retirement plans, persons subject to the alternative minimum tax, persons that own, or have owned, actually or constructively, more than 5% of our common stock, persons deemed to sell our common stock under the constructive sale provisions of the Code, persons who hold or receive our common stock pursuant to the exercise of any employee stock option or otherwise as compensation, “qualified foreign pension funds” as defined in Section 897(l)(2) of the Code and entities all of the interests of which are held by qualified foreign pension funds, and persons holding our common stock as part of a hedge, straddle, or other risk reduction strategy or as part of a conversion transaction or other integrated investment.</w:t>
      </w:r>
    </w:p>
    <w:p>
      <w:pPr>
        <w:spacing w:after="0" w:line="19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Class A common stock, the tax treatment of an owner in such entity will depend on the status of such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76"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ACQUISITION, OWNERSHIP AND DISPOSITION OF OUR CLASS A COMMON STOCK ARISING UNDER THE U.S. FEDERAL ESTATE OR GIFT TAX LAWS OR UNDER THE LAWS OF ANY STATE, LOCAL OR NON-U.S. TAXING JURISDICTION OR UNDER ANY APPLICABLE INCOME TAX TREATY.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Class A common stock that is not a “U.S. person” or an entity treated as partnership for U.S. federal income tax purposes. A U.S. person is any person that, for U.S. federal income tax purposes, is or is treated as any of the following:</w:t>
      </w:r>
    </w:p>
    <w:p>
      <w:pPr>
        <w:spacing w:after="0" w:line="82" w:lineRule="exact"/>
        <w:rPr>
          <w:sz w:val="20"/>
          <w:szCs w:val="20"/>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under applicable Treasury Regulations to be treated as a United States person for U.S. federal income tax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described in the section entitled “Dividend Policy,” we have never declared or paid, and do not anticipate declaring or paying, any cash dividends on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“Gain on Sale or Other Taxable Disposition of Our Class A Common Stock.”</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of our Class A common stock generally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generally furnish to the applicable withholding agent a valid IRS Form W-8ECI, certifying that the dividends are effectively connected with the non-U.S. holder’s conduct of a trade or business within the United States.</w:t>
      </w:r>
    </w:p>
    <w:p>
      <w:pPr>
        <w:spacing w:after="0" w:line="184"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Our Class A Common Stock</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on any gain realized upon the sale or other taxable disposition of our Class A common stock, unless:</w:t>
      </w:r>
    </w:p>
    <w:p>
      <w:pPr>
        <w:spacing w:after="0" w:line="67" w:lineRule="exact"/>
        <w:rPr>
          <w:sz w:val="20"/>
          <w:szCs w:val="20"/>
          <w:color w:val="auto"/>
        </w:rPr>
      </w:pPr>
    </w:p>
    <w:p>
      <w:pPr>
        <w:ind w:left="900" w:right="14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United States real property interest (“USRPI”) by reason of our status as a United States real property holding corporation (“USRPHC”), for U.S. federal income tax purposes.</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U.S. federal income tax on a net income basis at the regular graduated U.S. federal income tax rates. A non-U.S. holder that is a corporation also may be subject to branch profits tax at a rate of 30% (or such lower rate specified by an applicable income tax treaty) on such effectively connected gain, as adjusted for certain items. Non-U.S. holders should consult their tax advisors regarding any applicable income tax treaties that may provide for different rules.</w:t>
      </w:r>
    </w:p>
    <w:p>
      <w:pPr>
        <w:spacing w:after="0" w:line="180"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with the tax authorities of the country in which the non-U.S. holder resides or is established.</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Class A common stock, and will apply to payments of gross proceeds from the sale or other disposition of such stock on or after January 1, 2019.</w:t>
      </w:r>
    </w:p>
    <w:p>
      <w:pPr>
        <w:spacing w:after="0" w:line="162"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Class A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UNDERWRITERS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KeyBanc Capital Markets Inc. and Robert W. Baird &amp; Co. Incorporated are acting as representatives, have severally agreed to purchase, and we have agreed to sell to them, severally, the number of shares of Class A common stock indicated below:</w:t>
      </w:r>
    </w:p>
    <w:p>
      <w:pPr>
        <w:spacing w:after="0" w:line="184"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060" w:type="dxa"/>
            <w:vAlign w:val="bottom"/>
          </w:tcPr>
          <w:p>
            <w:pPr>
              <w:jc w:val="center"/>
              <w:ind w:left="20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060" w:type="dxa"/>
            <w:vAlign w:val="bottom"/>
          </w:tcPr>
          <w:p>
            <w:pPr>
              <w:jc w:val="center"/>
              <w:ind w:left="2048"/>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3060" w:type="dxa"/>
            <w:vAlign w:val="bottom"/>
          </w:tcPr>
          <w:p>
            <w:pPr>
              <w:jc w:val="center"/>
              <w:ind w:left="20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0" w:type="dxa"/>
            <w:vAlign w:val="bottom"/>
          </w:tcPr>
          <w:p>
            <w:pPr>
              <w:spacing w:after="0"/>
              <w:rPr>
                <w:sz w:val="1"/>
                <w:szCs w:val="1"/>
                <w:color w:val="auto"/>
              </w:rPr>
            </w:pPr>
          </w:p>
        </w:tc>
      </w:tr>
      <w:tr>
        <w:trPr>
          <w:trHeight w:val="188"/>
        </w:trPr>
        <w:tc>
          <w:tcPr>
            <w:tcW w:w="2480" w:type="dxa"/>
            <w:vAlign w:val="bottom"/>
            <w:vMerge w:val="continue"/>
          </w:tcPr>
          <w:p>
            <w:pPr>
              <w:spacing w:after="0"/>
              <w:rPr>
                <w:sz w:val="16"/>
                <w:szCs w:val="16"/>
                <w:color w:val="auto"/>
              </w:rPr>
            </w:pPr>
          </w:p>
        </w:tc>
        <w:tc>
          <w:tcPr>
            <w:tcW w:w="3060" w:type="dxa"/>
            <w:vAlign w:val="bottom"/>
          </w:tcPr>
          <w:p>
            <w:pPr>
              <w:jc w:val="center"/>
              <w:ind w:left="2048"/>
              <w:spacing w:after="0"/>
              <w:rPr>
                <w:sz w:val="20"/>
                <w:szCs w:val="20"/>
                <w:color w:val="auto"/>
              </w:rPr>
            </w:pPr>
            <w:r>
              <w:rPr>
                <w:rFonts w:ascii="Times New Roman" w:cs="Times New Roman" w:eastAsia="Times New Roman" w:hAnsi="Times New Roman"/>
                <w:sz w:val="14"/>
                <w:szCs w:val="14"/>
                <w:b w:val="1"/>
                <w:bCs w:val="1"/>
                <w:u w:val="single" w:color="auto"/>
                <w:color w:val="auto"/>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-635</wp:posOffset>
            </wp:positionV>
            <wp:extent cx="542861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Canaccord Genuity Inc.</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of Class A common stock covered by the underwriters’ over-allotment option described below.</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 us.</w:t>
      </w:r>
    </w:p>
    <w:p>
      <w:pPr>
        <w:spacing w:after="0" w:line="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option to purchase up to an additional shares of Class A common stock.</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1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w:t>
            </w:r>
          </w:p>
        </w:tc>
        <w:tc>
          <w:tcPr>
            <w:tcW w:w="7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No Exercise</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620" w:type="dxa"/>
            <w:vAlign w:val="bottom"/>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8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6">
              <w:r>
                <w:rPr>
                  <w:rFonts w:ascii="Times New Roman" w:cs="Times New Roman" w:eastAsia="Times New Roman" w:hAnsi="Times New Roman"/>
                  <w:sz w:val="18"/>
                  <w:szCs w:val="18"/>
                  <w:b w:val="1"/>
                  <w:bCs w:val="1"/>
                  <w:color w:val="0000EE"/>
                  <w:w w:val="97"/>
                </w:rPr>
                <w:t>Table of Contents</w:t>
              </w:r>
            </w:hyperlink>
          </w:p>
        </w:tc>
        <w:tc>
          <w:tcPr>
            <w:tcW w:w="8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15"/>
        </w:trPr>
        <w:tc>
          <w:tcPr>
            <w:tcW w:w="9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We have agreed</w:t>
            </w:r>
          </w:p>
        </w:tc>
      </w:tr>
      <w:tr>
        <w:trPr>
          <w:trHeight w:val="234"/>
        </w:trPr>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reimburse the underwriters for expense relating to clearance of this offering with the Financial Industry Regulatory Authority up to $</w:t>
            </w:r>
          </w:p>
        </w:tc>
        <w:tc>
          <w:tcPr>
            <w:tcW w:w="14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w:t>
      </w:r>
    </w:p>
    <w:p>
      <w:pPr>
        <w:spacing w:after="0" w:line="162" w:lineRule="exact"/>
        <w:rPr>
          <w:sz w:val="20"/>
          <w:szCs w:val="20"/>
          <w:color w:val="auto"/>
        </w:rPr>
      </w:pPr>
    </w:p>
    <w:p>
      <w:pPr>
        <w:ind w:left="460"/>
        <w:spacing w:after="0"/>
        <w:tabs>
          <w:tab w:leader="none" w:pos="5360" w:val="left"/>
          <w:tab w:leader="none" w:pos="7840" w:val="left"/>
        </w:tabs>
        <w:rPr>
          <w:sz w:val="20"/>
          <w:szCs w:val="20"/>
          <w:color w:val="auto"/>
        </w:rPr>
      </w:pPr>
      <w:r>
        <w:rPr>
          <w:rFonts w:ascii="Times New Roman" w:cs="Times New Roman" w:eastAsia="Times New Roman" w:hAnsi="Times New Roman"/>
          <w:sz w:val="18"/>
          <w:szCs w:val="18"/>
          <w:color w:val="auto"/>
        </w:rPr>
        <w:t>Our Class A common stock has been approved for listing on</w:t>
      </w:r>
      <w:r>
        <w:rPr>
          <w:sz w:val="20"/>
          <w:szCs w:val="20"/>
          <w:color w:val="auto"/>
        </w:rPr>
        <w:tab/>
      </w:r>
      <w:r>
        <w:rPr>
          <w:rFonts w:ascii="Times New Roman" w:cs="Times New Roman" w:eastAsia="Times New Roman" w:hAnsi="Times New Roman"/>
          <w:sz w:val="18"/>
          <w:szCs w:val="18"/>
          <w:color w:val="auto"/>
        </w:rPr>
        <w:t>under the trading symbol “</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56"/>
        <w:spacing w:after="0" w:line="251" w:lineRule="auto"/>
        <w:rPr>
          <w:sz w:val="20"/>
          <w:szCs w:val="20"/>
          <w:color w:val="auto"/>
        </w:rPr>
      </w:pPr>
      <w:r>
        <w:rPr>
          <w:rFonts w:ascii="Times New Roman" w:cs="Times New Roman" w:eastAsia="Times New Roman" w:hAnsi="Times New Roman"/>
          <w:sz w:val="18"/>
          <w:szCs w:val="18"/>
          <w:color w:val="auto"/>
        </w:rPr>
        <w:t xml:space="preserve">We have agreed that, during a period of 180 days from the date of this prospectus (the “restricted period”), we will not, without the prior written consent of Morgan Stanley &amp; Co. LLC on behalf of the underwriters, (i) 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Class A common stock or (2) enter into any swap or other arrangement that transfers to another, in whole or in part, any of the economic consequences of ownership of the Class A common stock, whether any such transaction described in clause (1) or (2) above is to be settled by delivery of Class A common stock or such other securities, in cash or otherwise or (3) file any registration statement with the SEC relating to the offering of any shares of Class A common stock or any securities convertible into or exercisable or exchangeable for Class A common stock. The foregoing sentence will not apply to (A) the shares of Class A common stock to be sold in this offering, (B) the issuance of shares of Class A common stock upon the exercise of an option or warrant (whether by cash exercise or “net” or “cashless exercise”) or the conversion of a security outstanding on the date of this prospectus of which the underwriters have been advised in writing (including pursuant to disclosures made herein), including shares of Class A common stock issuable upon conversion of Class B common stock or convertible preferred stock in connection with this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Class A common stock or other securities acquired in such open market transactions, (C) the establishment of a trading plan pursuant to Rule 10b5-1 under the Exchange Act for the transfer of shares of Class A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Class A common stock during the restricted period and (ii) to the extent a public announcement or filing under the Exchange Act, if any, is required of or voluntarily made by or on behalf of us regarding the establishment of such plan, such announcement or filing shall include a statement to the effect that no transfer of Class A common stock may be made under such plan during the restricted period, (D) the issuance of equity-based awards pursuant to the equity incentive award plans described in this prospectus, (E) the filing of a registration statement on Form S-8 relating to the shares of Class A common stock granted, or options to purchase, pursuant to or reserved for issuance under our equity incentive award plans or (F) the sale or issuance of or entry into an agreement to sell or issue shares of Class A common stock or securities convertible into or exercisable or exchangeable for Class A common stock in connection with (1) mergers, (2) acquisition of securities, businesses, proper or other assets, (3) joint ventures or (4) strategic alliances; provided the aggregate number of shares of Class A common stock or securities convertible into or exercisable for Class A common stock (on an as-converted or as-exercised basis, as the case may be) that we may sell or issue or agree to sell or issue pursuant to this clause (F) shall not exceed 5% of the total number of shares of our Class A common stock issued and outstanding immediately following the completion of the offering (determined on a fully-diluted basis and as adjusted for stock splits, stock dividends and other similar events after the date of the offering); and provided further, that each recipient of shares of Class A common stock or securities convertible into or exercisable for Class A common stock pursuant to this clause (F) shall be bound by those conditions applicable to our directors, officers and holders of more than 5% of our outstanding stock and stock options detailed below.</w:t>
      </w:r>
    </w:p>
    <w:p>
      <w:pPr>
        <w:spacing w:after="0" w:line="20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addition, all directors, executive officers and the holders of more than 5% of our outstanding stock and stock options and substantially all of the other holders of our stock and stock options have agreed that,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446"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prior written consent of Morgan Stanley &amp; Co. LLC on behalf of the underwriters, they will not, during the restricted period:</w:t>
      </w:r>
    </w:p>
    <w:p>
      <w:pPr>
        <w:spacing w:after="0" w:line="131" w:lineRule="exact"/>
        <w:rPr>
          <w:sz w:val="20"/>
          <w:szCs w:val="20"/>
          <w:color w:val="auto"/>
        </w:rPr>
      </w:pPr>
    </w:p>
    <w:p>
      <w:pPr>
        <w:ind w:left="900" w:right="20" w:hanging="446"/>
        <w:spacing w:after="0" w:line="261"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Class A common stock beneficially owned (as such term is used in the Exchange Act), by such person or any other securities so owned convertible into or exercisable or exchangeable for Class A common stock;</w:t>
      </w:r>
    </w:p>
    <w:p>
      <w:pPr>
        <w:spacing w:after="0" w:line="85"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Class A common stock;</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Class A common stock or such other securities, in cash or otherwise. In addition, each such person agrees that, without the prior written consent of Morgan Stanley &amp; Co. LLC on behalf of the underwriters, such other person will not, during the restricted period, make any demand for, or exercise any right with respect to, the registration of any shares of Class A common stock or any security convertible into or exercisable or exchangeable for Class A common stock.</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 immediately preceding paragraph, and subject to the conditions below, such person may transfer the lock-up securities without the prior written consent of Morgan Stanley &amp; Co. LLC on behalf of the underwriters, provided that, with respect to paragraphs (i) – (vi) below, (1) Morgan Stanley &amp; Co. LLC receives a signed lock-up agreement for the balance of the lockup period from each donee, trustee, distributee, or transferee, as the case may be and (2) no filing under Section 16(a) of the Exchange Act, reporting a reduction in beneficial ownership of shares of Class A common stock, shall be required or shall be voluntarily made during the restricted period (other than a filing on a Form 5):</w:t>
      </w:r>
    </w:p>
    <w:p>
      <w:pPr>
        <w:spacing w:after="0" w:line="76" w:lineRule="exact"/>
        <w:rPr>
          <w:sz w:val="20"/>
          <w:szCs w:val="20"/>
          <w:color w:val="auto"/>
        </w:rPr>
      </w:pPr>
    </w:p>
    <w:p>
      <w:pPr>
        <w:ind w:left="1140" w:hanging="219"/>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w:t>
      </w:r>
    </w:p>
    <w:p>
      <w:pPr>
        <w:spacing w:after="0" w:line="117" w:lineRule="exact"/>
        <w:rPr>
          <w:rFonts w:ascii="Times New Roman" w:cs="Times New Roman" w:eastAsia="Times New Roman" w:hAnsi="Times New Roman"/>
          <w:sz w:val="18"/>
          <w:szCs w:val="18"/>
          <w:color w:val="auto"/>
        </w:rPr>
      </w:pPr>
    </w:p>
    <w:p>
      <w:pPr>
        <w:ind w:left="920" w:firstLine="1"/>
        <w:spacing w:after="0" w:line="282" w:lineRule="auto"/>
        <w:tabs>
          <w:tab w:leader="none" w:pos="11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such person or the immediate family of such person (for this purpose, “immediate family” shall mean any relationship by blood, marriage or adoption, not more remote than first cousin); or</w:t>
      </w:r>
    </w:p>
    <w:p>
      <w:pPr>
        <w:spacing w:after="0" w:line="53" w:lineRule="exact"/>
        <w:rPr>
          <w:rFonts w:ascii="Times New Roman" w:cs="Times New Roman" w:eastAsia="Times New Roman" w:hAnsi="Times New Roman"/>
          <w:sz w:val="18"/>
          <w:szCs w:val="18"/>
          <w:color w:val="auto"/>
        </w:rPr>
      </w:pPr>
    </w:p>
    <w:p>
      <w:pPr>
        <w:ind w:left="920" w:right="160" w:firstLine="1"/>
        <w:spacing w:after="0" w:line="282" w:lineRule="auto"/>
        <w:tabs>
          <w:tab w:leader="none" w:pos="12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investment fund or other entity controlled or managed, or under common control or management by such person or the immediate family of such person; or</w:t>
      </w:r>
    </w:p>
    <w:p>
      <w:pPr>
        <w:spacing w:after="0" w:line="53" w:lineRule="exact"/>
        <w:rPr>
          <w:rFonts w:ascii="Times New Roman" w:cs="Times New Roman" w:eastAsia="Times New Roman" w:hAnsi="Times New Roman"/>
          <w:sz w:val="18"/>
          <w:szCs w:val="18"/>
          <w:color w:val="auto"/>
        </w:rPr>
      </w:pPr>
    </w:p>
    <w:p>
      <w:pPr>
        <w:ind w:left="920" w:right="480" w:firstLine="1"/>
        <w:spacing w:after="0" w:line="282" w:lineRule="auto"/>
        <w:tabs>
          <w:tab w:leader="none" w:pos="12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such person; or</w:t>
      </w:r>
    </w:p>
    <w:p>
      <w:pPr>
        <w:spacing w:after="0" w:line="53" w:lineRule="exact"/>
        <w:rPr>
          <w:rFonts w:ascii="Times New Roman" w:cs="Times New Roman" w:eastAsia="Times New Roman" w:hAnsi="Times New Roman"/>
          <w:sz w:val="18"/>
          <w:szCs w:val="18"/>
          <w:color w:val="auto"/>
        </w:rPr>
      </w:pPr>
    </w:p>
    <w:p>
      <w:pPr>
        <w:ind w:left="920" w:right="80" w:firstLine="1"/>
        <w:spacing w:after="0" w:line="282" w:lineRule="auto"/>
        <w:tabs>
          <w:tab w:leader="none" w:pos="11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to such person’s partners, members, stockholders or affiliates (as such term is defined in Rule 501(b) under the Securities Act or any of its affiliates’ directors, officers and employees);</w:t>
      </w:r>
    </w:p>
    <w:p>
      <w:pPr>
        <w:spacing w:after="0" w:line="53"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disposition or transfer would be permissible under (i) - (v) above; or</w:t>
      </w:r>
    </w:p>
    <w:p>
      <w:pPr>
        <w:spacing w:after="0" w:line="117" w:lineRule="exact"/>
        <w:rPr>
          <w:rFonts w:ascii="Times New Roman" w:cs="Times New Roman" w:eastAsia="Times New Roman" w:hAnsi="Times New Roman"/>
          <w:sz w:val="18"/>
          <w:szCs w:val="18"/>
          <w:color w:val="auto"/>
        </w:rPr>
      </w:pPr>
    </w:p>
    <w:p>
      <w:pPr>
        <w:ind w:left="1280" w:hanging="359"/>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 executive officer to us upon death, disability or termination of employment of such executive officer.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preceding paragraphs to do not apply to:</w:t>
      </w:r>
    </w:p>
    <w:p>
      <w:pPr>
        <w:spacing w:after="0" w:line="131" w:lineRule="exact"/>
        <w:rPr>
          <w:sz w:val="20"/>
          <w:szCs w:val="20"/>
          <w:color w:val="auto"/>
        </w:rPr>
      </w:pPr>
    </w:p>
    <w:p>
      <w:pPr>
        <w:ind w:left="900" w:right="20" w:hanging="446"/>
        <w:spacing w:after="0" w:line="258"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for the transfer of shares of Class A common stock, provided that (i) such plan does not provide for the transfer of Class A common stock during the restricted period and (ii) to the extent a public announcement or filing under the Exchange Act, if any, is required or voluntarily made by us regarding the establishment of such plan, such announcement or filing shall include a statement to the effect that no transfer of Class A common stock may be made under such plan during the restricted period; 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options to purchase shares of Class A common stock granted under any stock incentive plan or stock purchase plan, which plan is described in this prospectus, provided that the lock-up agreement shall apply to any securities issued upon such exercise and provided further that no filing under Section 16(a) of the Exchange Act shall be required or shall be voluntarily made during the restricted period (other than a filing on a Form 5); or</w:t>
      </w:r>
    </w:p>
    <w:p>
      <w:pPr>
        <w:spacing w:after="0" w:line="85"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(whether for cash, cashless, or net exercise) of warrants to purchase shares of Class A common stock (or any security convertible into or exercisable or exchangeable for Class A common stock), which are disclosed in this prospectus, provided that the lock-up agreement shall apply to any securities issued upon such exercise; or</w:t>
      </w:r>
    </w:p>
    <w:p>
      <w:pPr>
        <w:spacing w:after="0" w:line="81"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Class A common stock (or any security convertible into Class A common stock) to us in connection with a vesting event of such securities or upon the exercise of options to purchase our securities, which securities or options have been issued pursuant to an incentive plan or stock purchase plan described in this prospectus, on a “cashless” or “net exercise” basis or to cover tax withholding obligations in connection with such vesting or exercise provided that no filing under Section 16(a) of the Exchange Act shall be required or shall be voluntarily made during the restricted period (other than a filing on a Form 5); or</w:t>
      </w:r>
    </w:p>
    <w:p>
      <w:pPr>
        <w:spacing w:after="0" w:line="89"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disposition of shares of Class A common stock (or any security convertible into or exercisable or exchangeable for Class A common stock) that occurs by operation of law, pursuant to a qualified domestic order or in connection with a divorce settlement, provided that the lock-up agreement shall apply to any such securities, provided further that any associated filing under Section 16(a) of the Exchange Act shall clearly indicate in the footnotes thereto that the filing relates to the circumstances described herein; or</w:t>
      </w:r>
    </w:p>
    <w:p>
      <w:pPr>
        <w:spacing w:after="0" w:line="85"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outstanding preferred stock into shares of Class B common stock, provided that the lock-up agreement shall apply to any such securities; or</w:t>
      </w:r>
    </w:p>
    <w:p>
      <w:pPr>
        <w:spacing w:after="0" w:line="67" w:lineRule="exact"/>
        <w:rPr>
          <w:rFonts w:ascii="Times New Roman" w:cs="Times New Roman" w:eastAsia="Times New Roman" w:hAnsi="Times New Roman"/>
          <w:sz w:val="18"/>
          <w:szCs w:val="18"/>
          <w:color w:val="auto"/>
        </w:rPr>
      </w:pPr>
    </w:p>
    <w:p>
      <w:pPr>
        <w:ind w:left="900" w:right="280" w:hanging="446"/>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Class A common stock (or any security convertible into or exercisable or exchangeable for Class A common stock) pursuant to a bona fide third-party tender offer, merger, consolidation or other similar transaction made to all holders of the Class A common stock involving a change of control of us, provided that in the event that the tender offer, merger, consolidation or other such transaction is not completed, the Class A common stock shall remain subject to the lock-up agreement; or</w:t>
      </w:r>
    </w:p>
    <w:p>
      <w:pPr>
        <w:spacing w:after="0" w:line="85" w:lineRule="exact"/>
        <w:rPr>
          <w:rFonts w:ascii="Times New Roman" w:cs="Times New Roman" w:eastAsia="Times New Roman" w:hAnsi="Times New Roman"/>
          <w:sz w:val="18"/>
          <w:szCs w:val="18"/>
          <w:color w:val="auto"/>
        </w:rPr>
      </w:pPr>
    </w:p>
    <w:p>
      <w:pPr>
        <w:ind w:left="900" w:right="320" w:hanging="446"/>
        <w:spacing w:after="0" w:line="313" w:lineRule="auto"/>
        <w:tabs>
          <w:tab w:leader="none" w:pos="9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or disposal of shares of Class A common stock acquired on the open market following the offering provided that no filing under Section 16(a) of the Exchange Act shall be required or shall be voluntarily made during the restricted period (other than a filing on a Form 5).</w:t>
      </w:r>
    </w:p>
    <w:p>
      <w:pPr>
        <w:spacing w:after="0" w:line="138"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Morgan Stanley &amp; Co. LLC, in its sole discretion, may release the Class A common stock and other securities subject to the lock-up agreements described above in whole or in part at any time.</w:t>
      </w:r>
    </w:p>
    <w:p>
      <w:pPr>
        <w:spacing w:after="0" w:line="16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of the Class A common stock than they are obligated to purchase under the underwriting agreement, creating a short position. A short sale is covered if the short position is no greater than the number of shares of the Class A common stock available for purchase by the underwriters under the over-allotment option. The underwriters can close out a covered short sale by exercising the over-allotment option or purchasing shares of the Class A common stock in the open market. In determining the source of shares of the Class A common stock to close out a covered short sale, the underwriters will consider, among other things, the open market price of shares of the Class A common stock compared to the price available under the over-allotment option. The underwriters may also sell shares of the Class A common stock in excess of the over-allotment option, creating a naked short position. The underwriters must close out any naked short position by purchasing shares of the Class A common stock in the open market. A naked short position is more likely to be created if the underwriters are concerned that there may be downward pressure on the price of the Class A common stock in the open market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 of the shares of Class A common stock to be issued by the company and offered by this prospectus for sale, at the initial public offering price, to directors, officers and employees and other persons associated with us, as designated by us. The number of shares of Class A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shares of our Class A common stock</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60"/>
          </w:cols>
          <w:pgMar w:left="240" w:top="455" w:right="29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may not be made in that Relevant Member State, except that an offer to the public in that Relevant Member State of any shares of our Class A common stock may be made at any time under the following exemptions under the Prospectus Directive, if they have been implemented in that Relevant Member State:</w:t>
      </w:r>
    </w:p>
    <w:p>
      <w:pPr>
        <w:spacing w:after="0" w:line="67" w:lineRule="exact"/>
        <w:rPr>
          <w:sz w:val="20"/>
          <w:szCs w:val="20"/>
          <w:color w:val="auto"/>
        </w:rPr>
      </w:pPr>
    </w:p>
    <w:p>
      <w:pPr>
        <w:ind w:left="900" w:hanging="308"/>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 or</w:t>
      </w:r>
    </w:p>
    <w:p>
      <w:pPr>
        <w:spacing w:after="0" w:line="130" w:lineRule="exact"/>
        <w:rPr>
          <w:rFonts w:ascii="Times New Roman" w:cs="Times New Roman" w:eastAsia="Times New Roman" w:hAnsi="Times New Roman"/>
          <w:sz w:val="18"/>
          <w:szCs w:val="18"/>
          <w:color w:val="auto"/>
        </w:rPr>
      </w:pPr>
    </w:p>
    <w:p>
      <w:pPr>
        <w:jc w:val="both"/>
        <w:ind w:left="900" w:right="160" w:hanging="318"/>
        <w:spacing w:after="0" w:line="282"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of our Class A common stock shall result in a requirement for the publication by us or any underwriter of a prospectus pursuant to Article 3 of the Prospectus Directive.</w:t>
      </w:r>
    </w:p>
    <w:p>
      <w:pPr>
        <w:spacing w:after="0" w:line="162"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Class A common stock in any Relevant Member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900" w:hanging="308"/>
        <w:spacing w:after="0" w:line="261"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85" w:lineRule="exact"/>
        <w:rPr>
          <w:rFonts w:ascii="Times New Roman" w:cs="Times New Roman" w:eastAsia="Times New Roman" w:hAnsi="Times New Roman"/>
          <w:sz w:val="18"/>
          <w:szCs w:val="18"/>
          <w:color w:val="auto"/>
        </w:rPr>
      </w:pPr>
    </w:p>
    <w:p>
      <w:pPr>
        <w:ind w:left="900" w:right="280" w:hanging="318"/>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The securities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to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shares of Class A common stock have not been offered or sold and will not be offered or sold in Hong Kong, by means of any document, other than</w:t>
      </w:r>
    </w:p>
    <w:p>
      <w:pPr>
        <w:spacing w:after="0" w:line="39" w:lineRule="exact"/>
        <w:rPr>
          <w:sz w:val="20"/>
          <w:szCs w:val="20"/>
          <w:color w:val="auto"/>
        </w:rPr>
      </w:pPr>
    </w:p>
    <w:p>
      <w:pPr>
        <w:ind w:right="20" w:firstLine="8"/>
        <w:spacing w:after="0" w:line="254" w:lineRule="auto"/>
        <w:tabs>
          <w:tab w:leader="none" w:pos="2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“professional investors” as defined in the Securities and Futures Ordinance (Cap. 571) of Hong Kong and any rules made under that Ordinance; or (ii)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Class A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or QII</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240" w:top="455" w:right="31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w:t>
      </w:r>
    </w:p>
    <w:p>
      <w:pPr>
        <w:spacing w:after="0" w:line="131" w:lineRule="exact"/>
        <w:rPr>
          <w:sz w:val="20"/>
          <w:szCs w:val="20"/>
          <w:color w:val="auto"/>
        </w:rPr>
      </w:pPr>
    </w:p>
    <w:p>
      <w:pPr>
        <w:ind w:left="900" w:right="20" w:hanging="308"/>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00" w:right="360" w:hanging="318"/>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w:t>
      </w:r>
    </w:p>
    <w:p>
      <w:pPr>
        <w:spacing w:after="0" w:line="82" w:lineRule="exact"/>
        <w:rPr>
          <w:sz w:val="20"/>
          <w:szCs w:val="20"/>
          <w:color w:val="auto"/>
        </w:rPr>
      </w:pPr>
    </w:p>
    <w:p>
      <w:pPr>
        <w:ind w:left="900" w:right="500" w:hanging="308"/>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900" w:hanging="318"/>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900" w:hanging="308"/>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900" w:hanging="318"/>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900" w:hanging="308"/>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of the Securities and Futures (Offers of Investments) (Shares and Debentures) Regulations 2005 of Singapore.</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hereby will be passed upon for us by Latham &amp; Watkins LLP. The underwriters are being represented by Davis Polk &amp; Wardwell LLP, in connection with this offering.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Bandwidth.com,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and exhibits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93"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www.bandwidth.com,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Class A common stock. We have included our website address in this prospectus solely as an inactive textual reference.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60" w:type="dxa"/>
            <w:vAlign w:val="bottom"/>
            <w:gridSpan w:val="7"/>
            <w:vMerge w:val="restart"/>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60" w:type="dxa"/>
            <w:vAlign w:val="bottom"/>
            <w:gridSpan w:val="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145">
              <w:r>
                <w:rPr>
                  <w:rFonts w:ascii="Times New Roman" w:cs="Times New Roman" w:eastAsia="Times New Roman" w:hAnsi="Times New Roman"/>
                  <w:sz w:val="18"/>
                  <w:szCs w:val="18"/>
                  <w:color w:val="0000EE"/>
                  <w:w w:val="99"/>
                </w:rPr>
                <w:t>Consolidated Balance Sheets</w:t>
              </w:r>
            </w:hyperlink>
          </w:p>
        </w:tc>
        <w:tc>
          <w:tcPr>
            <w:tcW w:w="2120" w:type="dxa"/>
            <w:vAlign w:val="bottom"/>
            <w:tcBorders>
              <w:top w:val="single" w:sz="8" w:color="0000EE"/>
            </w:tcBorders>
            <w:gridSpan w:val="3"/>
          </w:tcPr>
          <w:p>
            <w:pPr>
              <w:spacing w:after="0"/>
              <w:rPr>
                <w:sz w:val="18"/>
                <w:szCs w:val="18"/>
                <w:color w:val="auto"/>
              </w:rPr>
            </w:pPr>
          </w:p>
        </w:tc>
        <w:tc>
          <w:tcPr>
            <w:tcW w:w="6840" w:type="dxa"/>
            <w:vAlign w:val="bottom"/>
            <w:gridSpan w:val="3"/>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47">
              <w:r>
                <w:rPr>
                  <w:rFonts w:ascii="Times New Roman" w:cs="Times New Roman" w:eastAsia="Times New Roman" w:hAnsi="Times New Roman"/>
                  <w:sz w:val="18"/>
                  <w:szCs w:val="18"/>
                  <w:color w:val="0000EE"/>
                  <w:w w:val="99"/>
                </w:rPr>
                <w:t>Consolidated Statements of Operations and Comprehensive Income (Loss)</w:t>
              </w:r>
            </w:hyperlink>
          </w:p>
        </w:tc>
        <w:tc>
          <w:tcPr>
            <w:tcW w:w="56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48">
              <w:r>
                <w:rPr>
                  <w:rFonts w:ascii="Times New Roman" w:cs="Times New Roman" w:eastAsia="Times New Roman" w:hAnsi="Times New Roman"/>
                  <w:sz w:val="18"/>
                  <w:szCs w:val="18"/>
                  <w:color w:val="0000EE"/>
                  <w:w w:val="99"/>
                </w:rPr>
                <w:t>Consolidated Statements of Changes in Redeemable Convertible Preferred Stock and Stockholders’ Deficit</w:t>
              </w:r>
            </w:hyperlink>
          </w:p>
        </w:tc>
        <w:tc>
          <w:tcPr>
            <w:tcW w:w="33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49">
              <w:r>
                <w:rPr>
                  <w:rFonts w:ascii="Times New Roman" w:cs="Times New Roman" w:eastAsia="Times New Roman" w:hAnsi="Times New Roman"/>
                  <w:sz w:val="18"/>
                  <w:szCs w:val="18"/>
                  <w:color w:val="0000EE"/>
                  <w:w w:val="99"/>
                </w:rPr>
                <w:t>Consolidated Statements of Cash Flows</w:t>
              </w:r>
            </w:hyperlink>
          </w:p>
        </w:tc>
        <w:tc>
          <w:tcPr>
            <w:tcW w:w="81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1060" w:type="dxa"/>
            <w:vAlign w:val="bottom"/>
            <w:gridSpan w:val="7"/>
          </w:tcPr>
          <w:p>
            <w:pPr>
              <w:spacing w:after="0" w:line="196" w:lineRule="exact"/>
              <w:rPr>
                <w:rFonts w:ascii="Times New Roman" w:cs="Times New Roman" w:eastAsia="Times New Roman" w:hAnsi="Times New Roman"/>
                <w:sz w:val="18"/>
                <w:szCs w:val="18"/>
                <w:color w:val="0000EE"/>
              </w:rPr>
            </w:pPr>
            <w:hyperlink w:anchor="page150">
              <w:r>
                <w:rPr>
                  <w:rFonts w:ascii="Times New Roman" w:cs="Times New Roman" w:eastAsia="Times New Roman" w:hAnsi="Times New Roman"/>
                  <w:sz w:val="18"/>
                  <w:szCs w:val="18"/>
                  <w:color w:val="0000EE"/>
                </w:rPr>
                <w:t>Notes to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Bandwidth.com, Inc.</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Bandwidth.com, Inc. as of December 31, 2015 and 2016, and the related consolidated statements of operations and comprehensive income (loss), changes in redeemable convertible preferred stock and stockholders’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Bandwidth.com, Inc. at December 31, 2015 and 2016, and the consolidated results of its operations and its cash flows for the years then ended in conformity with U.S. generally accepted accounting principles.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2017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10,059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6,788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12,795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16,838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assets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non-current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12,694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discontinued operations,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69,973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15,591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14,649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revenue and advanced billings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of credit,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17,000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liabilities of discontinued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17,330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59,113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30,470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37,674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36,214</w:t>
            </w:r>
          </w:p>
        </w:tc>
        <w:tc>
          <w:tcPr>
            <w:tcW w:w="0" w:type="dxa"/>
            <w:vAlign w:val="bottom"/>
          </w:tcPr>
          <w:p>
            <w:pPr>
              <w:spacing w:after="0"/>
              <w:rPr>
                <w:sz w:val="1"/>
                <w:szCs w:val="1"/>
                <w:color w:val="auto"/>
              </w:rPr>
            </w:pPr>
          </w:p>
        </w:tc>
      </w:tr>
      <w:tr>
        <w:trPr>
          <w:trHeight w:val="228"/>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60,402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70,529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12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F-3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20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$0.001 par value, 1,200,000 shares authorized; 710,000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21,818</w:t>
            </w:r>
          </w:p>
        </w:tc>
        <w:tc>
          <w:tcPr>
            <w:tcW w:w="4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21,818</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$0.001 par value, 8,000,000 shares authorized; 4,616,863, 4,711,990 and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4,716,568 shares issued and outstanding at December 31, 2015 and 2016, and June 30, 2017</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(unaudited), respectively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Class B non-voting common stock, $0.001 par value, 1,336,510 shares authorized; 7,436, 7,436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13,936 shares issued and outstanding at December 31, 2015 and 2016, and June 30, 2017 (unaudited),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35,441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9,363</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(54,520)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(31,742)</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(19,074)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(22,374)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(16,839)</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$ 63,146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$ 69,973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68,238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CPaaS revenue</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101,502</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117,078</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56,651</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36,299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35,057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15,957</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137,801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152,135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74,769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CPaaS cost of revenue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64,760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71,218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35,379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cost of revenue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14,482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7,283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0" w:type="dxa"/>
            <w:vAlign w:val="bottom"/>
          </w:tcPr>
          <w:p>
            <w:pPr>
              <w:spacing w:after="0"/>
              <w:rPr>
                <w:sz w:val="1"/>
                <w:szCs w:val="1"/>
                <w:color w:val="auto"/>
              </w:rPr>
            </w:pPr>
          </w:p>
        </w:tc>
      </w:tr>
      <w:tr>
        <w:trPr>
          <w:trHeight w:val="18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cost of revenue</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79,242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58,559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66,917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32,107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35,291</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7,375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8,620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9,294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4,458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34,602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33,859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15,672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15,894</w:t>
            </w:r>
          </w:p>
        </w:tc>
        <w:tc>
          <w:tcPr>
            <w:tcW w:w="0" w:type="dxa"/>
            <w:vAlign w:val="bottom"/>
          </w:tcPr>
          <w:p>
            <w:pPr>
              <w:spacing w:after="0"/>
              <w:rPr>
                <w:sz w:val="1"/>
                <w:szCs w:val="1"/>
                <w:color w:val="auto"/>
              </w:rPr>
            </w:pPr>
          </w:p>
        </w:tc>
      </w:tr>
      <w:tr>
        <w:trPr>
          <w:trHeight w:val="18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51,673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7,962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15,244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9,335</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stockholders’ anti-dilutive arrangement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other expense</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7,373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7,841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11,094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0" w:type="dxa"/>
            <w:vAlign w:val="bottom"/>
          </w:tcPr>
          <w:p>
            <w:pPr>
              <w:spacing w:after="0"/>
              <w:rPr>
                <w:sz w:val="1"/>
                <w:szCs w:val="1"/>
                <w:color w:val="auto"/>
              </w:rPr>
            </w:pPr>
          </w:p>
        </w:tc>
      </w:tr>
      <w:tr>
        <w:trPr>
          <w:trHeight w:val="18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continuing operations</w:t>
            </w:r>
          </w:p>
        </w:tc>
        <w:tc>
          <w:tcPr>
            <w:tcW w:w="1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income taxes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(13,665)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(loss) income</w:t>
            </w:r>
          </w:p>
        </w:tc>
        <w:tc>
          <w:tcPr>
            <w:tcW w:w="16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(6,700</w:t>
            </w:r>
          </w:p>
        </w:tc>
        <w:tc>
          <w:tcPr>
            <w:tcW w:w="24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22,358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4,561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Total comprehensive (loss) income, net of income tax</w:t>
            </w:r>
          </w:p>
        </w:tc>
        <w:tc>
          <w:tcPr>
            <w:tcW w:w="17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8"/>
              <w:spacing w:after="0" w:line="143" w:lineRule="exact"/>
              <w:rPr>
                <w:sz w:val="20"/>
                <w:szCs w:val="20"/>
                <w:color w:val="auto"/>
              </w:rPr>
            </w:pPr>
            <w:r>
              <w:rPr>
                <w:rFonts w:ascii="Times New Roman" w:cs="Times New Roman" w:eastAsia="Times New Roman" w:hAnsi="Times New Roman"/>
                <w:sz w:val="14"/>
                <w:szCs w:val="14"/>
                <w:color w:val="auto"/>
              </w:rPr>
              <w:t>(6,700)</w:t>
            </w:r>
          </w:p>
        </w:tc>
        <w:tc>
          <w:tcPr>
            <w:tcW w:w="2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22,358</w:t>
            </w:r>
          </w:p>
        </w:tc>
        <w:tc>
          <w:tcPr>
            <w:tcW w:w="2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4,561</w:t>
            </w:r>
          </w:p>
        </w:tc>
        <w:tc>
          <w:tcPr>
            <w:tcW w:w="2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Earnings (loss) per share:</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0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w:t>
            </w:r>
          </w:p>
        </w:tc>
        <w:tc>
          <w:tcPr>
            <w:tcW w:w="1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6,965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25,430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7,572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from continuing operations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6,034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22,075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6,565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from continuing operations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1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22,358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Less: (loss) income allocated to participating securities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income attributable to common stockholders</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(5,804)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19,408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3,955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4,291</w:t>
            </w:r>
          </w:p>
        </w:tc>
        <w:tc>
          <w:tcPr>
            <w:tcW w:w="0" w:type="dxa"/>
            <w:vAlign w:val="bottom"/>
          </w:tcPr>
          <w:p>
            <w:pPr>
              <w:spacing w:after="0"/>
              <w:rPr>
                <w:sz w:val="1"/>
                <w:szCs w:val="1"/>
                <w:color w:val="auto"/>
              </w:rPr>
            </w:pPr>
          </w:p>
        </w:tc>
      </w:tr>
      <w:tr>
        <w:trPr>
          <w:trHeight w:val="264"/>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income per share:</w:t>
            </w:r>
          </w:p>
        </w:tc>
        <w:tc>
          <w:tcPr>
            <w:tcW w:w="16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w w:val="99"/>
              </w:rPr>
              <w:t>4,599,518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4,671,427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4,632,313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4,722,647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9"/>
              </w:rPr>
              <w:t>4,983,138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5,144,553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5,129,768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5,190,879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186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76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60" w:type="dxa"/>
            <w:vAlign w:val="bottom"/>
          </w:tcPr>
          <w:p>
            <w:pPr>
              <w:spacing w:after="0"/>
              <w:rPr>
                <w:sz w:val="13"/>
                <w:szCs w:val="13"/>
                <w:color w:val="auto"/>
              </w:rPr>
            </w:pPr>
          </w:p>
        </w:tc>
        <w:tc>
          <w:tcPr>
            <w:tcW w:w="1860" w:type="dxa"/>
            <w:vAlign w:val="bottom"/>
            <w:gridSpan w:val="6"/>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Class A voting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Class B non-voting</w:t>
            </w:r>
          </w:p>
        </w:tc>
        <w:tc>
          <w:tcPr>
            <w:tcW w:w="8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8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4,582,246</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27,762</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1,812</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Exercise of warrants to purchase common</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6,855</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4,616,863</w:t>
            </w: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87,338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98"/>
        </w:trPr>
        <w:tc>
          <w:tcPr>
            <w:tcW w:w="3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Exercise of warrants to purchase common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7,789</w:t>
            </w:r>
          </w:p>
        </w:tc>
        <w:tc>
          <w:tcPr>
            <w:tcW w:w="3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 of Republic</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(28,899)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anti-dilutive arrangement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principle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22,358</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4,711,990</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(unaudited)</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(unaudited)</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(unaudited)</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2017 (unaudited)</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4,716,568</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13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(6,700)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22,358</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discontinued operations, net of income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13,665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net cash provided by (used in) operating activities: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7,075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6,142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3,493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shareholders’ anti-dilutive arrangement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(11,086)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of intangible asset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(4,043)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costs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2,877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(2,540)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Deferred revenue and advance billings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18,651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16,942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6"/>
              </w:rPr>
              <w:t>(22,460)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(11,788)</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5,154</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5,080</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(2,091)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(3,831)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Capitalized software development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(3,011)</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(2,230)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(6,061)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 from discontinued operations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(5,962)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(7,372)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on line of credit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43,500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56,950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29,700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line of credit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6"/>
              </w:rPr>
              <w:t>(32,500)</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(68,950)</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capital leases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on term loan</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on term loan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issuances of common stock</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exercises of warrants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distribution to Republic</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 in restricted cash</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6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 from continuing operations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11,038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6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8,792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10,059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6,788</w:t>
            </w:r>
          </w:p>
        </w:tc>
        <w:tc>
          <w:tcPr>
            <w:tcW w:w="0" w:type="dxa"/>
            <w:vAlign w:val="bottom"/>
          </w:tcPr>
          <w:p>
            <w:pPr>
              <w:spacing w:after="0"/>
              <w:rPr>
                <w:sz w:val="1"/>
                <w:szCs w:val="1"/>
                <w:color w:val="auto"/>
              </w:rPr>
            </w:pPr>
          </w:p>
        </w:tc>
      </w:tr>
      <w:tr>
        <w:trPr>
          <w:trHeight w:val="156"/>
        </w:trPr>
        <w:tc>
          <w:tcPr>
            <w:tcW w:w="6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4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10,059</w:t>
            </w: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6,788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during the year for interest</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Cash paid for taxes</w:t>
            </w:r>
          </w:p>
        </w:tc>
        <w:tc>
          <w:tcPr>
            <w:tcW w:w="14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77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activities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distribution of net liabilities to Spin-Off</w:t>
            </w:r>
          </w:p>
        </w:tc>
        <w:tc>
          <w:tcPr>
            <w:tcW w:w="1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Acquisition of equipment through capital leases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6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132</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Deferred initial public offering cost accruals</w:t>
            </w:r>
          </w:p>
        </w:tc>
        <w:tc>
          <w:tcPr>
            <w:tcW w:w="148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3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300"/>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Bandwidth.com, Inc. (together with its subsidiaries, “Bandwidth” or the “Company”) was founded in July 2000 and incorporated in Delaware on March 29, 2001. Bandwidth.com CLEC LLC (“CLEC”), a subsidiary, was formed and incorporated in Delaware in January 2007. On February 20, 2012, Bandwidth created a wholly owned subsidiary for its broadband business, Broadband LLC (“Broadband”), which is incorporated in Delaware. IP Spectrum Solutions LLC, a subsidiary, was formed and incorporated in Delaware in January 2015. The Company is a cloud-based, software-powered communications platform-as-a-service provider (“CPaaS”) that enables enterprises to create, scale and operate voice or text communications services across any mobile application or connected device or enterprises. 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 over Internet Protocol (“VoIP”). The Other segment also includes revenue from traffic generated by other carriers (“CABS”), SMS registrations fees and other miscellaneous product lines.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were prepared in accordance with accounting principles generally accepted in the United States of America (“U.S. GAAP”). The Company had no components of other comprehensive income (loss) during any of the periods presented, as such, a consolidated statement of comprehensive income (loss) is not presented.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Bandwidth.com, Inc. and its wholly-owned subsidiaries. All intercompany accounts and transactions have been eliminated in consolidation.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Statements</w:t>
      </w:r>
    </w:p>
    <w:p>
      <w:pPr>
        <w:spacing w:after="0" w:line="121" w:lineRule="exact"/>
        <w:rPr>
          <w:sz w:val="20"/>
          <w:szCs w:val="20"/>
          <w:color w:val="auto"/>
        </w:rPr>
      </w:pPr>
    </w:p>
    <w:p>
      <w:pPr>
        <w:ind w:right="20" w:firstLine="456"/>
        <w:spacing w:after="0" w:line="274"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as of June 30, 2017 and for the six months ended June 30, 2016 and 2017 and the related interim information contained within the notes to the consolidated financial statements are unaudited. The unaudited interim consolidated financial statements have been prepared on the same basis as the audited consolidated financial statements. In the opinion of the Company’s management, the accompanying unaudited interim consolidated financial statements contain all adjustments which are necessary to present fairly the Company’s financial position as of June 30, 2017 and the results of its operations and cash flows for the six months ended June 30, 2016 and 2017. Such adjustments are of a normal and recurring nature. The results for the six months ended June 30, 2017 are not indicative of the results for the year ending December 31, 2017, or for any future period.</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00"/>
          </w:cols>
          <w:pgMar w:left="240" w:top="455" w:right="2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from those estimates. These estimates in the consolidated financial statements include, but are not limited to, allowance for doubtful accounts, recoverability of long lives and intangible assets, customer relationship period, valuation allowances on tax assets, certain accrued expenses, and contingencies.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 consists primarily of the sale of communications services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Revenue recognition commences when all of the following criteria are met (i) persuasive evidence of an arrangement exists; (ii) delivery has occurred; (iii) the fee is fixed or determinable; and (iv) collection is probable.</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Customers generally enter into arrangements that are typically two to three years in length. Incremental direct costs incurred related to the acquisition of a customer contract are expensed as incurred.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00"/>
          </w:cols>
          <w:pgMar w:left="240" w:top="455" w:right="2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support personnel and executives in accounting, finance, legal, human resources and administrative functions. General and administrative expenses also include costs related to product management and reporting, data services, customer billing and collection functions, legal, information services, and other professional services fees, credit card processing fees, rent associated with the Company’s headquarters in Raleigh, North Carolina, depreciation and amortization.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or remaining maturity of three months or less at the date of purchase, as well as overnight repurchase investments, to be cash equivalents.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Accounts receivable are stated at realizable value, net of an allowance for doubtful accounts. The allowance for doubtful accounts is based on management’s assessment of the collectability of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$12,555, $22,571 and $27,513 for uncollectible accounts and customer balances that are disputed were required as of December 31, 2015, December 31, 2016 and June 30, 2017 (unaudited), respectively.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2015, December 31, 2016 and June 30, 2017 (unaudited), unbilled receivables were $5,988, $7,368 and $7,733 respectively.</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With regard to customers, credit evaluation and account monitoring procedures are used to minimize the risk of loss. The Company believes that no additional credit risk beyond amounts provided for allowance for doubtful accounts are inherent in accounts receivable.</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No individual customer represented more than 10 percent of revenues and accounts receivable at December 31, 2015, December 31, 2016 and June 30, 2017 (unaudited).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and amortization. Depreciation and amortization is calculated on a straight-line basis over the estimated useful lives of those assets as follows:</w:t>
      </w:r>
    </w:p>
    <w:p>
      <w:pPr>
        <w:sectPr>
          <w:pgSz w:w="11900" w:h="16838" w:orient="portrait"/>
          <w:cols w:equalWidth="0" w:num="1">
            <w:col w:w="11400"/>
          </w:cols>
          <w:pgMar w:left="240" w:top="455" w:right="25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hardware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Internal-use software development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7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Shorter of the estimated lease term or useful life</w:t>
      </w:r>
    </w:p>
    <w:p>
      <w:pPr>
        <w:spacing w:after="0" w:line="211" w:lineRule="exact"/>
        <w:rPr>
          <w:sz w:val="20"/>
          <w:szCs w:val="20"/>
          <w:color w:val="auto"/>
        </w:rPr>
      </w:pPr>
    </w:p>
    <w:p>
      <w:pPr>
        <w:sectPr>
          <w:pgSz w:w="11900" w:h="16838" w:orient="portrait"/>
          <w:cols w:equalWidth="0" w:num="2">
            <w:col w:w="5340" w:space="720"/>
            <w:col w:w="5340"/>
          </w:cols>
          <w:pgMar w:left="240" w:top="455" w:right="25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Maintenance and repairs are charged to expense as incurred.</w:t>
      </w:r>
    </w:p>
    <w:p>
      <w:pPr>
        <w:sectPr>
          <w:pgSz w:w="11900" w:h="16838" w:orient="portrait"/>
          <w:cols w:equalWidth="0" w:num="1">
            <w:col w:w="11400"/>
          </w:cols>
          <w:pgMar w:left="240" w:top="455" w:right="259" w:bottom="1440" w:gutter="0" w:footer="0" w:header="0"/>
          <w:type w:val="continuous"/>
        </w:sectPr>
      </w:pPr>
    </w:p>
    <w:p>
      <w:pPr>
        <w:spacing w:after="0" w:line="3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Costs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455" w:right="259" w:bottom="1440" w:gutter="0" w:footer="0" w:header="0"/>
          <w:type w:val="continuous"/>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Company incurred debt issuance costs associated with obtaining and entering into a five-year Credit and Security Agreement in November 2016, which includes a revolving credit facility and a term loan. These costs included non-refundable structuring fees, commitment fees, up-front fees and syndication expenses, which have been deferred and are being amortized based on the effective interest method over the term of the Credit and Security Agreement. The debt issuance costs associated with the revolving credit facility are recorded as a deferred asset in the accompanying consolidated balance sheets. The unamortized debt issuance costs, which are included in prepaid expenses and other current assets in the accompanying consolidated balance sheets, were $200 and $175 as of December 31, 2016 and June 30, 2017 (unaudited), respectively. Debt issuance costs associated with the term loan are recognized as an adjustment of the yield of the loan and are reflected as a reduction of the long-term debt balance. As of December 31, 2016 and June 30, 2017 (unaudited), unamortized debt issuance costs were $326 and $286, respectively.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2015, the Company had unamortized debt issuance cost of $24 from a previous credit facility that has since been repaid.</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have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9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charges. As of December 31, 2015, December 31, 2016 and June 30, 2017 (unaudited), the Company has recorded goodwill of $6,867. No goodwill impairment charges were recorded for the years ended December 31, 2015, December 31, 2016 and the six months ended June 30, 2016 and 2017 (unaudited).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jc w:val="both"/>
        <w:ind w:right="640" w:firstLine="456"/>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total $329 and $197 for the years ended December 31, 2015 and 2016, respectively, and $109 and $93 for the six months ended June 30, 2016 and 2017 (unaudited), respectively, which are included in sales and marketing expenses in the accompanying consolidated statements of operations.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Commissions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Commissions consist of variable compensation earned by sales personnel and third-party resellers. Sales commissions associated with the acquisition of a new customer contract are recognized as sales and marketing expense at the time the customer has entered into a binding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as of December 31, 2015, December 31, 2016 and June 30, 2017 (unaudited) because of the relatively short duration of these instruments. The carrying value of long-term debt approximates fair value given interest rates are based on market rates.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78" w:lineRule="exact"/>
        <w:rPr>
          <w:sz w:val="20"/>
          <w:szCs w:val="20"/>
          <w:color w:val="auto"/>
        </w:rPr>
      </w:pPr>
    </w:p>
    <w:p>
      <w:pPr>
        <w:ind w:left="900" w:hanging="44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Observable inputs based on unadjusted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for which there is little or no market data, which requires the Company to develop its own assumptions.</w:t>
      </w:r>
    </w:p>
    <w:p>
      <w:pPr>
        <w:spacing w:after="0" w:line="22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2015, December 31, 2016 and the six months ended June 30, 2017 (unaudited):</w:t>
      </w:r>
    </w:p>
    <w:p>
      <w:pPr>
        <w:spacing w:after="0" w:line="19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w:t>
      </w: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December 31, 2015</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20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12"/>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10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anti-dilutive arrangement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June 30, 2017 (Unaudited)</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9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anti-dilutive arrangement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2015, December 31, 2016 or the six months ended June 30, 2017 (unaudited).</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money market account is included in cash and cash equivalents in the consolidated balance sheets as of December 31, 2015, December 31, 2016 and June 30, 2017 (unaudited).</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On February 22, 2011, the Company entered into an anti-dilutive arrangement with the Principal Non-Founder Stockholders (“Principal Stockholders”). Under the terms of the agreement, the Principal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agreement terminates by one of the following events:</w:t>
      </w:r>
    </w:p>
    <w:p>
      <w:pPr>
        <w:spacing w:after="0" w:line="131" w:lineRule="exact"/>
        <w:rPr>
          <w:sz w:val="20"/>
          <w:szCs w:val="20"/>
          <w:color w:val="auto"/>
        </w:rPr>
      </w:pPr>
    </w:p>
    <w:p>
      <w:pPr>
        <w:ind w:left="900" w:right="80" w:hanging="446"/>
        <w:spacing w:after="0" w:line="282" w:lineRule="auto"/>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a “Qualified Public Offering,” which is defined as one resulting in aggregate net proceeds to the Company equal to or greater than $20 million,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“true sale” as defined in the Investors’ Rights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termination of the agreement, this liability would terminate.</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shareholders’ anti-dilutive arrangement is included in other liabilities in the consolidated balance sheets as of December 31, 2016 and June 30, 2017 (unaudited). The change in fair value of the Level 3 liability resulted in $553 of additional expense for the six months ending June 30, 2017 (unaudited), which is recorded in other expense in its consolidated statements of operations and comprehensive income (loss).</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The fair value of the shareholders’ anti-dilutive arrangement is estimated using the Black-Scholes-Merton option pricing model. The significant unobservable inputs used in the fair value measurement of the shareholders’ anti-dilutive arrangement are the fair value of the Company’s stock and the expected term of the options. The expected term is calculated as a weighted average of the estimated time to IPO as of the measurement date and the historical average term of options subject to the agreement which were vested and expired or were exercised. Volatility is based on the historical volatility of certain public entities that are similar to the Company as the Company does not have sufficient historical transactions of its own shares on which to base expected volatility. Significant increases (decreases) in the fair value of the Company’s stock price would result in a significantly larger (smaller) fair value liability measurement. Significant increases (decreases) in the expected term would result in a larger (smaller) fair value liability measurement.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expense related to stock-based awards based on the estimated fair value of the award on the grant date. Stock-based compensation expense is recognized on a straight-line basis over the requisite service period, which is generally four years. The Company uses the Black-Scholes option pricing model for estimating the fair value of stock options. The use of the option valuation model requires the input of the Company’s stock price and other subjective assumptions, including the expected life of the option and the expected stock price volatility. Given the absence of a public trading market for the Company’s common stock, the Company considers objective and subjective factors to determine the fair value of the Company’s common stock at each grant date. Additionally, the recognition of expense requires the estimation of the number of awards that will ultimately vest and the number of awards that will ultimately be forfeited.</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gross profit. The Company does not analyze discrete segment balance sheet information related to long-term assets, all of which are located in the United States. All other financial information is presented on a consolidated basis.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Basic earnings (loss) per share attributable to common stockholders is calculated by dividing the net income (loss) attributable to common stockholders by the weighted-average number of shares of common stock outstanding for the period.</w:t>
      </w:r>
    </w:p>
    <w:p>
      <w:pPr>
        <w:spacing w:after="0" w:line="16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Diluted net income (loss)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76"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The Company has issued securities other than common stock that participate in dividends (“Participating Securities”), and therefore utilizes the two-class method to calculate net income (loss) per share. These Participating Securities include redeemable convertible preferred stock. The two-class method requires a portion of net income (loss) to be allocated to the Participating Securities to determine the net income (loss) attributable to common stockholders. Net income (loss) attributable to the common stockholders is equal to the net income (loss) less dividends paid on preferred stock with any remaining earnings allocated in accordance with the bylaws between the outstanding common and redeemable convertible preferred stock as of the end of each period.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The effective date of ASU 2016-09 for public business entities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beginning after December 15, 2016.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 retrospectively, while other changes are required to be applied prospectively. The Company elected to continue to estimate forfeitures when recording stock-based compensation expense.</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All excess tax benefits and tax deficiencies related to the year ended December 31, 2016 were recognized in income tax expense. Prior to the adoption of this new standard, this amount would have been recorded as additional paid-in capital. This change could create future volatility in the Company’s effective tax rate depending upon the amount of exercise or vesting activity from stock based awards.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recognition of previously unrecognized excess tax benefits of $420 was recognized as a cumulative effect adjustment on a modified retrospective basis. The Company recorded a deferred tax asset for previously unrecognized excess tax benefits outstanding as of the January 1, 2016, with an offsetting adjustment to accumulated deficit.</w:t>
      </w:r>
    </w:p>
    <w:p>
      <w:pPr>
        <w:spacing w:after="0" w:line="1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 addition, cash flows related to excess tax benefits will no longer be classified as a financing activity apart from other income tax cash flows. The Company has adopted the change in presentation of excess tax benefits as an operating activity on the statements of cash flows on a prospective basis.</w:t>
      </w:r>
    </w:p>
    <w:p>
      <w:pPr>
        <w:spacing w:after="0" w:line="16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 (Topic 740)</w:t>
      </w:r>
      <w:r>
        <w:rPr>
          <w:rFonts w:ascii="Times New Roman" w:cs="Times New Roman" w:eastAsia="Times New Roman" w:hAnsi="Times New Roman"/>
          <w:sz w:val="18"/>
          <w:szCs w:val="18"/>
          <w:color w:val="auto"/>
        </w:rPr>
        <w:t>, which requires that all deferred tax assets and liabilities, including any related valuation allowance, be classified as noncurrent on the balance sheet. ASU 2015-17 is effective for fiscal years beginning after December 15, 2016 for public entities, and early adoption is permitted. The Company elected to early adopt ASU 2015-17 beginning with the year ended December 31, 2015.</w:t>
      </w:r>
    </w:p>
    <w:p>
      <w:pPr>
        <w:spacing w:after="0" w:line="18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2015-05, </w:t>
      </w:r>
      <w:r>
        <w:rPr>
          <w:rFonts w:ascii="Times New Roman" w:cs="Times New Roman" w:eastAsia="Times New Roman" w:hAnsi="Times New Roman"/>
          <w:sz w:val="18"/>
          <w:szCs w:val="18"/>
          <w:i w:val="1"/>
          <w:iCs w:val="1"/>
          <w:color w:val="auto"/>
        </w:rPr>
        <w:t>Customer’s Accounting for Fees Paid in a Cloud Computing Arrangement</w:t>
      </w:r>
      <w:r>
        <w:rPr>
          <w:rFonts w:ascii="Times New Roman" w:cs="Times New Roman" w:eastAsia="Times New Roman" w:hAnsi="Times New Roman"/>
          <w:sz w:val="18"/>
          <w:szCs w:val="18"/>
          <w:color w:val="auto"/>
        </w:rPr>
        <w:t>. This new standard, which provides guidance to customers about whether a cloud computing arrangement includes a software license, was effective January 1, 2016.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prospectively adopted this standard on January 1, 2016. The adoption of this standard did not have a material impact on its consolidated financial statements.</w:t>
      </w:r>
    </w:p>
    <w:p>
      <w:pPr>
        <w:spacing w:after="0" w:line="18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which simplifies the presentation of debt issuance costs by requiring that such costs be presented in the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2015-15. These ASUs were effective for the year ended December 31, 2016, and their adoption did not have a material impact on the Company’s financial condition, results of operations or cash flows.</w:t>
      </w:r>
    </w:p>
    <w:p>
      <w:pPr>
        <w:spacing w:after="0" w:line="183"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August 2014, the FASB issued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which amends ASC Subtopic 205-40 to provide guidance about management’s responsibility to evaluate whether there is substantial doubt about an entity’s ability to continue as a going concern and to provide related disclosures. ASU 2014-15 was effective for the year ended December 31, 2016, and its adoption did not have a material impact on the Company’s financial condition, results of operations or cash flows.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May 2017, the FASB issued ASU 2017-09, </w:t>
      </w:r>
      <w:r>
        <w:rPr>
          <w:rFonts w:ascii="Times New Roman" w:cs="Times New Roman" w:eastAsia="Times New Roman" w:hAnsi="Times New Roman"/>
          <w:sz w:val="18"/>
          <w:szCs w:val="18"/>
          <w:i w:val="1"/>
          <w:iCs w:val="1"/>
          <w:color w:val="auto"/>
        </w:rPr>
        <w:t>Scope of Modification Accounting</w:t>
      </w:r>
      <w:r>
        <w:rPr>
          <w:rFonts w:ascii="Times New Roman" w:cs="Times New Roman" w:eastAsia="Times New Roman" w:hAnsi="Times New Roman"/>
          <w:sz w:val="18"/>
          <w:szCs w:val="18"/>
          <w:color w:val="auto"/>
        </w:rPr>
        <w:t>, which amends the scope of modification 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80" w:lineRule="exact"/>
        <w:rPr>
          <w:sz w:val="20"/>
          <w:szCs w:val="20"/>
          <w:color w:val="auto"/>
        </w:rPr>
      </w:pPr>
    </w:p>
    <w:p>
      <w:pPr>
        <w:ind w:right="760" w:firstLine="456"/>
        <w:spacing w:after="0" w:line="284"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accounting for goodwill impairment. The ASU requires impairment charges to be based on the first</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step in today’s two-step impairment test under Accounting Standards Codification (ASC) 350. ASU 2017-04 is effective for annual and interim impairment tests performed in periods beginning after December 15, 2021, and early adoption is permitted. The Company is evaluating the impact of this guidance on its consolidated financial statements and related disclosures.</w:t>
      </w:r>
    </w:p>
    <w:p>
      <w:pPr>
        <w:spacing w:after="0" w:line="174"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 Clarifying the Definition of a Business</w:t>
      </w:r>
      <w:r>
        <w:rPr>
          <w:rFonts w:ascii="Times New Roman" w:cs="Times New Roman" w:eastAsia="Times New Roman" w:hAnsi="Times New Roman"/>
          <w:sz w:val="18"/>
          <w:szCs w:val="18"/>
          <w:color w:val="auto"/>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adoption of this standard is dependent upon future transactions.</w:t>
      </w:r>
    </w:p>
    <w:p>
      <w:pPr>
        <w:spacing w:after="0" w:line="18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which clarifies how entities should classify certain cash receipts and cash payments on the statement 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18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that the adoption of this standard will have on its financial statements and related disclosures.</w:t>
      </w:r>
    </w:p>
    <w:p>
      <w:pPr>
        <w:spacing w:after="0" w:line="18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September 2015, the FASB, issued ASU 2015-16, </w:t>
      </w:r>
      <w:r>
        <w:rPr>
          <w:rFonts w:ascii="Times New Roman" w:cs="Times New Roman" w:eastAsia="Times New Roman" w:hAnsi="Times New Roman"/>
          <w:sz w:val="18"/>
          <w:szCs w:val="18"/>
          <w:i w:val="1"/>
          <w:iCs w:val="1"/>
          <w:color w:val="auto"/>
        </w:rPr>
        <w:t>Business Combinations (Topic 805), Simplifying the Accounting for Measurement-Period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which eliminates the requirement for an acquirer in a business combination to account for measurement-period adjustments retrospectively.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2015-16 is effective for the year ended December 31, 2017, and interim periods within fiscal years beginning after December 15, 2017. The impact of adopting this standard is dependent upon future transactions.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This new guidance will replace most existing U.S.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Deferral of the effective date, </w:t>
      </w:r>
      <w:r>
        <w:rPr>
          <w:rFonts w:ascii="Times New Roman" w:cs="Times New Roman" w:eastAsia="Times New Roman" w:hAnsi="Times New Roman"/>
          <w:sz w:val="18"/>
          <w:szCs w:val="18"/>
          <w:color w:val="auto"/>
        </w:rPr>
        <w:t>which deferred by one year the effective date for the new revenue reporting standard for entities reporting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In accordance with the deferral, this guidance will be effective beginning January 1, 2019. This guidance can be applied either retrospectively to each period presented or as a cumulative-effect adjustment as of the date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6" w:right="2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of adoption. Early adoption is permitted beginning January 1, 2017. In December 2016, the FASB issued ASU 2016-20,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Technical Corrections and Improvements to Topic 606</w:t>
      </w:r>
      <w:r>
        <w:rPr>
          <w:rFonts w:ascii="Times New Roman" w:cs="Times New Roman" w:eastAsia="Times New Roman" w:hAnsi="Times New Roman"/>
          <w:sz w:val="18"/>
          <w:szCs w:val="18"/>
          <w:color w:val="auto"/>
        </w:rPr>
        <w:t>, which made twelve additional technical corrections and improvements to the new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 In March 2016, the FASB issued ASU 2016-08, </w:t>
      </w:r>
      <w:r>
        <w:rPr>
          <w:rFonts w:ascii="Times New Roman" w:cs="Times New Roman" w:eastAsia="Times New Roman" w:hAnsi="Times New Roman"/>
          <w:sz w:val="18"/>
          <w:szCs w:val="18"/>
          <w:i w:val="1"/>
          <w:iCs w:val="1"/>
          <w:color w:val="auto"/>
        </w:rPr>
        <w:t>Revenue from Contracts with Customers,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Gross versus Net) </w:t>
      </w:r>
      <w:r>
        <w:rPr>
          <w:rFonts w:ascii="Times New Roman" w:cs="Times New Roman" w:eastAsia="Times New Roman" w:hAnsi="Times New Roman"/>
          <w:sz w:val="18"/>
          <w:szCs w:val="18"/>
          <w:color w:val="auto"/>
        </w:rPr>
        <w:t>clarifying the implementation guidance on principal versus agent considerations. Specifically, an entity is required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Times New Roman" w:cs="Times New Roman" w:eastAsia="Times New Roman" w:hAnsi="Times New Roman"/>
          <w:sz w:val="18"/>
          <w:szCs w:val="18"/>
          <w:i w:val="1"/>
          <w:iCs w:val="1"/>
          <w:color w:val="auto"/>
        </w:rPr>
        <w:t>Revenue from Contracts with Customers, Identifying Performance Obligations and Licensing</w:t>
      </w:r>
      <w:r>
        <w:rPr>
          <w:rFonts w:ascii="Times New Roman" w:cs="Times New Roman" w:eastAsia="Times New Roman" w:hAnsi="Times New Roman"/>
          <w:sz w:val="18"/>
          <w:szCs w:val="18"/>
          <w:color w:val="auto"/>
        </w:rPr>
        <w:t xml:space="preserve">, clarifying the implementation guidance on identifying 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Narrow-Scope Improvements and Practical Expedients, </w:t>
      </w:r>
      <w:r>
        <w:rPr>
          <w:rFonts w:ascii="Times New Roman" w:cs="Times New Roman" w:eastAsia="Times New Roman" w:hAnsi="Times New Roman"/>
          <w:sz w:val="18"/>
          <w:szCs w:val="18"/>
          <w:color w:val="auto"/>
        </w:rPr>
        <w:t>clarifying guidance on assessing collectability, presentation of sales taxes,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completed contracts and contract modifications. The effective date and transition requirements for ASU 2016-20, ASU 2016-08 and ASU 2016-10 are the same as the effective date and transition requirements for ASU 2014-09.</w:t>
      </w:r>
    </w:p>
    <w:p>
      <w:pPr>
        <w:spacing w:after="0" w:line="19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still assessing all potential impacts of the new standard on its consolidated financial statements. Given the comprehensive nature of the standard, the Company has already taken steps to begin assessing the impact on its consolidated financial results. It has begun a preliminary diagnostic, in order to highlight potential differences between current accounting policies and the new standard. Additionally, the Company engaged a third-party service provider to assist in its evaluation of customer contracts to identify the attributes that could result in a different accounting treatment under ASU 2014-09. From an information technology perspective, the Company has begun assessing the business requirements and required functionality of a new technology solution and is in the process of meeting with third party software providers to determine which technology to implement. The Company has not reached a conclusion as to whether the quantitative effect of the adoption of the new standard on its revenue streams will be material. It will continue to monitor and assess the impact of the changes of the new standard and the related interpretations of its application as they become available.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6" w:right="2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455" w:right="239" w:bottom="1440" w:gutter="0" w:footer="0" w:header="0"/>
        </w:sectPr>
      </w:pP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distribution was recorded at the carrying amount of Republic’s net liabilities of $1,101 as of November 30, 2016, as follows: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revenue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8" w:hanging="188"/>
        <w:spacing w:after="0"/>
        <w:tabs>
          <w:tab w:leader="none" w:pos="18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1,199</w:t>
      </w:r>
    </w:p>
    <w:p>
      <w:pPr>
        <w:spacing w:after="0" w:line="38" w:lineRule="exact"/>
        <w:rPr>
          <w:rFonts w:ascii="Times New Roman" w:cs="Times New Roman" w:eastAsia="Times New Roman" w:hAnsi="Times New Roman"/>
          <w:sz w:val="17"/>
          <w:szCs w:val="17"/>
          <w:color w:val="auto"/>
        </w:rPr>
      </w:pPr>
    </w:p>
    <w:p>
      <w:pPr>
        <w:ind w:left="1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7,305</w:t>
      </w:r>
    </w:p>
    <w:p>
      <w:pPr>
        <w:spacing w:after="0" w:line="20" w:lineRule="exact"/>
        <w:rPr>
          <w:rFonts w:ascii="Times New Roman" w:cs="Times New Roman" w:eastAsia="Times New Roman" w:hAnsi="Times New Roman"/>
          <w:sz w:val="17"/>
          <w:szCs w:val="17"/>
          <w:color w:val="auto"/>
        </w:rPr>
      </w:pPr>
    </w:p>
    <w:p>
      <w:pPr>
        <w:ind w:left="1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1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11,044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1,898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7"/>
          <w:szCs w:val="17"/>
          <w:u w:val="single" w:color="auto"/>
          <w:color w:val="auto"/>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3771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88" w:hanging="188"/>
        <w:spacing w:after="0"/>
        <w:tabs>
          <w:tab w:leader="none" w:pos="18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7,126</w:t>
      </w:r>
    </w:p>
    <w:p>
      <w:pPr>
        <w:spacing w:after="0" w:line="38" w:lineRule="exact"/>
        <w:rPr>
          <w:rFonts w:ascii="Times New Roman" w:cs="Times New Roman" w:eastAsia="Times New Roman" w:hAnsi="Times New Roman"/>
          <w:sz w:val="17"/>
          <w:szCs w:val="17"/>
          <w:color w:val="auto"/>
        </w:rPr>
      </w:pPr>
    </w:p>
    <w:p>
      <w:pPr>
        <w:ind w:left="1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3,662</w:t>
      </w:r>
    </w:p>
    <w:p>
      <w:pPr>
        <w:spacing w:after="0" w:line="20" w:lineRule="exact"/>
        <w:rPr>
          <w:rFonts w:ascii="Times New Roman" w:cs="Times New Roman" w:eastAsia="Times New Roman" w:hAnsi="Times New Roman"/>
          <w:sz w:val="17"/>
          <w:szCs w:val="17"/>
          <w:color w:val="auto"/>
        </w:rPr>
      </w:pPr>
    </w:p>
    <w:p>
      <w:pPr>
        <w:ind w:left="18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771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14,098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141</w:t>
      </w:r>
    </w:p>
    <w:p>
      <w:pPr>
        <w:spacing w:after="0" w:line="29" w:lineRule="exact"/>
        <w:rPr>
          <w:sz w:val="20"/>
          <w:szCs w:val="20"/>
          <w:color w:val="auto"/>
        </w:rPr>
      </w:pPr>
    </w:p>
    <w:p>
      <w:pPr>
        <w:sectPr>
          <w:pgSz w:w="11900" w:h="16838" w:orient="portrait"/>
          <w:cols w:equalWidth="0" w:num="2">
            <w:col w:w="10052" w:space="720"/>
            <w:col w:w="648"/>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0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7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96"/>
              </w:rPr>
              <w:t>14,239</w:t>
            </w:r>
          </w:p>
        </w:tc>
        <w:tc>
          <w:tcPr>
            <w:tcW w:w="0" w:type="dxa"/>
            <w:vAlign w:val="bottom"/>
          </w:tcPr>
          <w:p>
            <w:pPr>
              <w:spacing w:after="0"/>
              <w:rPr>
                <w:sz w:val="1"/>
                <w:szCs w:val="1"/>
                <w:color w:val="auto"/>
              </w:rPr>
            </w:pPr>
          </w:p>
        </w:tc>
      </w:tr>
      <w:tr>
        <w:trPr>
          <w:trHeight w:val="20"/>
        </w:trPr>
        <w:tc>
          <w:tcPr>
            <w:tcW w:w="10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liabilities of Republic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7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or other support to Republic.</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Given the nature of the Spin-Off transaction, the equity holders of Bandwidth are comprised of substantially the same individuals and entities that are the equity owners of Republic. The Company has determined the equity owners of holders of Republic are related parties of Bandwidth. As described in Note 14, the Company has certain involvement with Republic via ongoing services arrangements, with these ongoing services arrangements creating a variable interest in Republic. The Company assessed the relationship with Republic under guidance for variable interest entities, and due to the fact that investors in Republic have disproportionate voting rights, the Company concluded that Republic is a variable interest entity (“VIE”).</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18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relating to this variable interest entity is limited to amounts due under the service agreements between Bandwidth and Republic as described in Notes 11 and 14.</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Spin-Off represents a strategic shift to Bandwidth’s business. The Company believes that for US Federal income tax purposes, the Spin-Off will qualify as tax-free for Republic, Bandwidth and its stockholders.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20"/>
          </w:cols>
          <w:pgMar w:left="240" w:top="455" w:right="239" w:bottom="1440" w:gutter="0" w:footer="0" w:header="0"/>
          <w:type w:val="continuous"/>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entered into a tax sharing agreement with Republic that governs rights and obligations after the Spin-Off regarding income taxes and other taxes, including tax liabilities and benefits, attributes, returns and contests.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carrying amounts of major classes of assets included as part of discontinued operations as of December 31, 2015 are as follows: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4,511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7,633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carrying amounts of major classes of liabilities included as part of discontinued operations as of December 31, 2015 are as follows:</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4,076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deferred revenue and advanced billings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17,330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provides the operating results of the discontinued operations through the date of the Spin-Off for the years ended December 31,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and the six months ended June 30, 2016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91,304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83,156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 costs of network services and equipment</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(78,922)</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(61,582)</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(31,489)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(24,692)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(25,502)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interest</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314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F-21</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Statement Components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$ 19,195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$ 31,734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5,988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$ 12,795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$ 16,838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280" w:type="dxa"/>
            <w:vAlign w:val="bottom"/>
          </w:tcPr>
          <w:p>
            <w:pPr>
              <w:spacing w:after="0"/>
              <w:rPr>
                <w:sz w:val="24"/>
                <w:szCs w:val="24"/>
                <w:color w:val="auto"/>
              </w:rPr>
            </w:pP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bad debt</w:t>
            </w:r>
          </w:p>
        </w:tc>
        <w:tc>
          <w:tcPr>
            <w:tcW w:w="2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80" w:type="dxa"/>
            <w:vAlign w:val="bottom"/>
          </w:tcPr>
          <w:p>
            <w:pPr>
              <w:spacing w:after="0"/>
              <w:rPr>
                <w:sz w:val="15"/>
                <w:szCs w:val="15"/>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10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31, 2015</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CABS revenue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3"/>
              </w:rPr>
              <w:t>7,163</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$ 12,317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7,236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$ 12,555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CABS revenue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188"/>
              <w:spacing w:after="0"/>
              <w:rPr>
                <w:sz w:val="20"/>
                <w:szCs w:val="20"/>
                <w:color w:val="auto"/>
              </w:rPr>
            </w:pPr>
            <w:r>
              <w:rPr>
                <w:rFonts w:ascii="Times New Roman" w:cs="Times New Roman" w:eastAsia="Times New Roman" w:hAnsi="Times New Roman"/>
                <w:sz w:val="18"/>
                <w:szCs w:val="18"/>
                <w:color w:val="auto"/>
              </w:rPr>
              <w:t>$ 10,494</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$ 22,316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$ 10,534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June 30, 2017 (unaudited)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CABS revenue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3"/>
              </w:rPr>
              <w:t>5,169</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$ 27,401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all other customers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allowance for doubtful accounts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5,178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$ 27,513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off of uncollectible accounts.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4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5,767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use, and telecom related taxes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951</w:t>
            </w:r>
          </w:p>
        </w:tc>
      </w:tr>
      <w:tr>
        <w:trPr>
          <w:trHeight w:val="27"/>
        </w:trPr>
        <w:tc>
          <w:tcPr>
            <w:tcW w:w="44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15,591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14,649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12,671</w:t>
            </w:r>
          </w:p>
        </w:tc>
      </w:tr>
      <w:tr>
        <w:trPr>
          <w:trHeight w:val="20"/>
        </w:trPr>
        <w:tc>
          <w:tcPr>
            <w:tcW w:w="4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414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F-22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Telecommunications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Automobile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(24,646)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(24,896)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11,180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depreciation expense, which includes amortization of capitalized software development costs,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58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4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$5,258</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$4,574</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$2,359</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4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6,167</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5,251</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2,775</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$4,843 and $4,056 as of December 31, 2015 and 2016, respectively, and $3,963 as of June 30, 2017 (unaudited). Amortization expense related to capitalized software development costs were $2,842 and $2,820 for the years ended December 31, 2015 and 2016, respectively, and $1,836 and $1,136 for the six months ended June 30, 2016 and 2017 (unaudited), respectively.</w:t>
      </w:r>
    </w:p>
    <w:p>
      <w:pPr>
        <w:spacing w:after="0" w:line="18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recognized an impairment of $71 and $91 during the years ended December 31, 2015 and 2016, respectively, related to capitalized software development costs that provided no future benefit and therefore were impaired. This expense is reflected within general and administrative expenses in the accompanying consolidated statements of operations. No indicators of impairment were identified for the six months ended June 30, 2017 (unaudited).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$10,396</w:t>
            </w:r>
          </w:p>
        </w:tc>
        <w:tc>
          <w:tcPr>
            <w:tcW w:w="4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(2,512)</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7,884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743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 and related trademarks</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Licenses, amortizable</w:t>
            </w: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3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 indefinite lives</w:t>
            </w:r>
          </w:p>
        </w:tc>
        <w:tc>
          <w:tcPr>
            <w:tcW w:w="13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16,073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Intangible assets consisted of the following as of December 31, 2016:</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Intangible assets consisted of the following as of June 30, 2017 (unaudited):</w:t>
            </w: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Domain name and related trademarks</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4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 amortizable</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Licenses, indefinite lives</w:t>
            </w:r>
          </w:p>
        </w:tc>
        <w:tc>
          <w:tcPr>
            <w:tcW w:w="30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15,093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$908 and $891 for the years ended December 31, 2015 and 2016, respectively, and $446 and $420 for the six months ended June 30, 2016 and 2017 (unaudited), respectively. The weighted average amortization period for all definite lived intangible assets is 19 years.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08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10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Future estimated amortization expense subsequent to June 30, 2017 (unaudited) is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086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10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10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4,765</w:t>
            </w:r>
          </w:p>
        </w:tc>
      </w:tr>
      <w:tr>
        <w:trPr>
          <w:trHeight w:val="27"/>
        </w:trPr>
        <w:tc>
          <w:tcPr>
            <w:tcW w:w="10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7,299</w:t>
            </w:r>
          </w:p>
        </w:tc>
      </w:tr>
      <w:tr>
        <w:trPr>
          <w:trHeight w:val="20"/>
        </w:trPr>
        <w:tc>
          <w:tcPr>
            <w:tcW w:w="10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2015 and 2016 and concluded no impairment exists.</w:t>
      </w:r>
    </w:p>
    <w:p>
      <w:pPr>
        <w:spacing w:after="0" w:line="176" w:lineRule="exact"/>
        <w:rPr>
          <w:sz w:val="20"/>
          <w:szCs w:val="20"/>
          <w:color w:val="auto"/>
        </w:rPr>
      </w:pPr>
    </w:p>
    <w:p>
      <w:pPr>
        <w:jc w:val="both"/>
        <w:ind w:right="140" w:firstLine="456"/>
        <w:spacing w:after="0" w:line="261" w:lineRule="auto"/>
        <w:rPr>
          <w:sz w:val="20"/>
          <w:szCs w:val="20"/>
          <w:color w:val="auto"/>
        </w:rPr>
      </w:pPr>
      <w:r>
        <w:rPr>
          <w:rFonts w:ascii="Times New Roman" w:cs="Times New Roman" w:eastAsia="Times New Roman" w:hAnsi="Times New Roman"/>
          <w:sz w:val="18"/>
          <w:szCs w:val="18"/>
          <w:color w:val="auto"/>
        </w:rPr>
        <w:t>As part of its annual evaluation of its intangibles, the Company re-evaluated its marketing and branding usage of the trade name assets acquired in the Dash acquisition and concluded there was no further benefit from the use of the trade name. The Company impaired the asset and recognized a loss of $695, which is reflected within general and administrative expenses in the accompanying consolidated statements of operations and comprehensive (loss) income for the year ended December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September 2008, the Company entered into a Loan and Security Agreement which included a revolving line of credit with a bank. Substantially all assets of the Company were pledged as a Security to the Loan and Security Agreement. This agreement was amended several times to increase the Company’s borrowing limit and extend the maturity date. On December 14, 2015, the Loan and Security Agreement was amended to increase the Company’s borrowing limit to $25,000 and to extend the maturity through December 14, 2017. The outstanding borrowing under the Loan and Security Agreement at December 31, 2015 was $17,000, and the Company was in compliance with all financial and non-financial covenants at December 31, 2015.</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On February 24, 2016, the Loan and Security Agreement was amended to add the ability to include an outstanding letter of credit as an advance on the revolving line of credit. On March 28, 2016 the Loan and Security Agreement was further amended to update certain covenants for 2016 performance metrics. On December 1, 2016, the Company paid the Loan and Security Agreement in full.</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November 4, 2016, the Company entered into a Credit and Security Agreement with a syndication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 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18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and June 30, 2017 (unaudited), the Company had $40,000 and $39,000, respectively, outstanding on the term loan and $5,000 and $2,500, respectively, on the revolving loan and was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compliance with all financial and non-financial covenants for all periods presented. The available borrowing under the Credit and Security Agreement was $22,500 as of June 30, 2017 (unaudited). Beginning on March 31, 2017, the term loan is payable in consecutive equal quarterly installments with the balance payable in full on the term loan maturity date. Future payments under the term loan subsequent to June 30, 2017 (unaudited)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780" w:type="dxa"/>
            <w:vAlign w:val="bottom"/>
            <w:tcBorders>
              <w:top w:val="single" w:sz="8" w:color="CCEEFF"/>
            </w:tcBorders>
            <w:shd w:val="clear" w:color="auto" w:fill="CCEEFF"/>
          </w:tcPr>
          <w:p>
            <w:pPr>
              <w:jc w:val="right"/>
              <w:ind w:right="10330"/>
              <w:spacing w:after="0"/>
              <w:rPr>
                <w:sz w:val="20"/>
                <w:szCs w:val="20"/>
                <w:color w:val="auto"/>
              </w:rPr>
            </w:pPr>
            <w:r>
              <w:rPr>
                <w:rFonts w:ascii="Times New Roman" w:cs="Times New Roman" w:eastAsia="Times New Roman" w:hAnsi="Times New Roman"/>
                <w:sz w:val="18"/>
                <w:szCs w:val="18"/>
                <w:color w:val="auto"/>
                <w:w w:val="94"/>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Times New Roman" w:cs="Times New Roman" w:eastAsia="Times New Roman" w:hAnsi="Times New Roman"/>
                <w:sz w:val="18"/>
                <w:szCs w:val="18"/>
                <w:color w:val="auto"/>
                <w:w w:val="94"/>
              </w:rPr>
              <w:t>2018</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Times New Roman" w:cs="Times New Roman" w:eastAsia="Times New Roman" w:hAnsi="Times New Roman"/>
                <w:sz w:val="18"/>
                <w:szCs w:val="18"/>
                <w:color w:val="auto"/>
                <w:w w:val="94"/>
              </w:rPr>
              <w:t>2019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40" w:type="dxa"/>
            <w:vAlign w:val="bottom"/>
            <w:shd w:val="clear" w:color="auto" w:fill="CCEEFF"/>
          </w:tcPr>
          <w:p>
            <w:pPr>
              <w:spacing w:after="0"/>
              <w:rPr>
                <w:sz w:val="18"/>
                <w:szCs w:val="18"/>
                <w:color w:val="auto"/>
              </w:rPr>
            </w:pPr>
          </w:p>
        </w:tc>
      </w:tr>
      <w:tr>
        <w:trPr>
          <w:trHeight w:val="216"/>
        </w:trPr>
        <w:tc>
          <w:tcPr>
            <w:tcW w:w="10780" w:type="dxa"/>
            <w:vAlign w:val="bottom"/>
          </w:tcPr>
          <w:p>
            <w:pPr>
              <w:jc w:val="right"/>
              <w:ind w:right="10330"/>
              <w:spacing w:after="0"/>
              <w:rPr>
                <w:sz w:val="20"/>
                <w:szCs w:val="20"/>
                <w:color w:val="auto"/>
              </w:rPr>
            </w:pPr>
            <w:r>
              <w:rPr>
                <w:rFonts w:ascii="Times New Roman" w:cs="Times New Roman" w:eastAsia="Times New Roman" w:hAnsi="Times New Roman"/>
                <w:sz w:val="18"/>
                <w:szCs w:val="18"/>
                <w:color w:val="auto"/>
                <w:w w:val="94"/>
              </w:rPr>
              <w:t>2020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tcPr>
          <w:p>
            <w:pPr>
              <w:spacing w:after="0"/>
              <w:rPr>
                <w:sz w:val="18"/>
                <w:szCs w:val="18"/>
                <w:color w:val="auto"/>
              </w:rPr>
            </w:pPr>
          </w:p>
        </w:tc>
      </w:tr>
      <w:tr>
        <w:trPr>
          <w:trHeight w:val="216"/>
        </w:trPr>
        <w:tc>
          <w:tcPr>
            <w:tcW w:w="10780" w:type="dxa"/>
            <w:vAlign w:val="bottom"/>
            <w:shd w:val="clear" w:color="auto" w:fill="CCEEFF"/>
          </w:tcPr>
          <w:p>
            <w:pPr>
              <w:jc w:val="right"/>
              <w:ind w:right="10330"/>
              <w:spacing w:after="0"/>
              <w:rPr>
                <w:sz w:val="20"/>
                <w:szCs w:val="20"/>
                <w:color w:val="auto"/>
              </w:rPr>
            </w:pPr>
            <w:r>
              <w:rPr>
                <w:rFonts w:ascii="Times New Roman" w:cs="Times New Roman" w:eastAsia="Times New Roman" w:hAnsi="Times New Roman"/>
                <w:sz w:val="18"/>
                <w:szCs w:val="18"/>
                <w:color w:val="auto"/>
                <w:w w:val="94"/>
              </w:rPr>
              <w:t>2021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28,000</w:t>
            </w:r>
          </w:p>
        </w:tc>
        <w:tc>
          <w:tcPr>
            <w:tcW w:w="4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 and Geographic Information</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Company has two operating and reportable segments. Segments are evaluated based on revenue and gross profit. The Company does not allocate operating expenses, interest expense or income tax expense to its segments. Accordingly, the Company does not report such information. Additionally, the CODM does not evaluate the Company’s operating segments using discrete asset information. The segments share the majority of the Company’s assets. Therefore, no segment asset information is reported.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6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08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CPaaS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101,502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117,078</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$56,651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63,194</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71,218</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37,147</w:t>
            </w:r>
          </w:p>
        </w:tc>
      </w:tr>
      <w:tr>
        <w:trPr>
          <w:trHeight w:val="223"/>
        </w:trPr>
        <w:tc>
          <w:tcPr>
            <w:tcW w:w="3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21,272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26,047</w:t>
            </w:r>
          </w:p>
        </w:tc>
        <w:tc>
          <w:tcPr>
            <w:tcW w:w="6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15,957</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6,713</w:t>
            </w:r>
          </w:p>
        </w:tc>
      </w:tr>
      <w:tr>
        <w:trPr>
          <w:trHeight w:val="223"/>
        </w:trPr>
        <w:tc>
          <w:tcPr>
            <w:tcW w:w="3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10,835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6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137,801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152,135</w:t>
            </w: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$74,769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79,151</w:t>
            </w:r>
          </w:p>
        </w:tc>
      </w:tr>
      <w:tr>
        <w:trPr>
          <w:trHeight w:val="216"/>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85,218</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42,662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43,860</w:t>
            </w:r>
          </w:p>
        </w:tc>
      </w:tr>
      <w:tr>
        <w:trPr>
          <w:trHeight w:val="223"/>
        </w:trPr>
        <w:tc>
          <w:tcPr>
            <w:tcW w:w="3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4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32,107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35,291</w:t>
            </w:r>
          </w:p>
        </w:tc>
        <w:tc>
          <w:tcPr>
            <w:tcW w:w="6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41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F-26</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All assets were held in the United States during the years ended December 31, 2015, December 31, 2016, and the six months ended June 30, 2017 (unaudited).</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Company generates its revenue primarily in the United States. Revenue by geographical area is detailed in the table below (which is determined based on the customer billing address):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9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6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620" w:type="dxa"/>
            <w:vAlign w:val="bottom"/>
          </w:tcPr>
          <w:p>
            <w:pPr>
              <w:spacing w:after="0"/>
              <w:rPr>
                <w:sz w:val="15"/>
                <w:szCs w:val="15"/>
                <w:color w:val="auto"/>
              </w:rPr>
            </w:pPr>
          </w:p>
        </w:tc>
        <w:tc>
          <w:tcPr>
            <w:tcW w:w="19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6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$137,514</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$151,618</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$74,541</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$78,903</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7"/>
        </w:trPr>
        <w:tc>
          <w:tcPr>
            <w:tcW w:w="7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152,135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74,769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79,151</w:t>
            </w:r>
          </w:p>
        </w:tc>
      </w:tr>
      <w:tr>
        <w:trPr>
          <w:trHeight w:val="20"/>
        </w:trPr>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 and Stockholders’ Deficit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As of January 1, 2010, the Company had authorized 5,000,000 shares of Redeemable Convertible Preferred Stock (“Series A preferred stock”). On February 22, 2011, the Company amended and restated its Certificate of Incorporation such that the Company authorized 1,200,000 shares of preferred stock, all of which have been designated as Series A preferred stock.</w:t>
      </w:r>
    </w:p>
    <w:p>
      <w:pPr>
        <w:spacing w:after="0" w:line="176"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pacing w:after="0" w:line="162"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December 31, 2016 and June 30, 2017 (unaudited), 710,000 shares of Series A preferred stock at $30.8358 per preferred share were issued and outstanding.</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is initially equal to $30.8358 and is subject to adjustment related to dilutive transactions.</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shall automatically be converted into fully paid, nonassessable shares of Class A common stock at the then effective conversion rate specified for such shares of Series A preferred stock (i) immediately prior to the closing of a firm commitment underwritten initial public offering pursuant to an effective registration statement filed under the Securities Act of 1933, as amended, covering the offer and sale of the Company’s common stock, provided that the per share price exceeds $61.37 or (ii) upon the receipt by the Company of a written request for such conversion from the holders of a majority of the preferred stock then outstanding.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6" w:right="2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event of any Liquidation Event or Deemed Liquidation Event, the holders of Series A, preferred stock shall be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w:t>
      </w:r>
    </w:p>
    <w:p>
      <w:pPr>
        <w:spacing w:after="0" w:line="18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Upon completion of the distribution referred to above, all of the remaining proceeds available for distribution shall be distributed to the holders of the Company’s common stock pro rata based on the number of common stock held by each.</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Shares of Series A preferred stock shall be redeemed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the Company shall redeem, on a pro-rata basis in accordance with the number of shares of Series A preferred stock owned by each holder, that number of outstanding shares of Series A preferred stock determined by dividing the total number of shares of Series A preferred stock outstanding by the number of remaining redemption dates (including the redemption date to which such calculation applies).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holders of Series A preferred stock shall be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 with the holders of common stock as a single class. The holders of record of the shares of Series A preferred stock, exclusively and as a separate class, shall be entitled to elect one director of the Company.</w:t>
      </w:r>
    </w:p>
    <w:p>
      <w:pPr>
        <w:spacing w:after="0" w:line="18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Company may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2015, December 31, 2016, six months ended June 30, 2017 (unaudited) and the year ended December 31, 2016, no dividends had been declared.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As of January 15, 2015, the Company had authorized 9,186,510 shares of common stock, of which 8,000,000 shares have been designated as Class A common stock and 1,186,510 have been designated Class 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non-voting stock. On May 6, 2015, the Company amended and restated its Certificate of Incorporation such that the Company authorized 9,236,510 shares of common stock, of which 8,000,000 shares have been designated as Class A common stock and 1,236,510 have been designated Class B non-voting stock.</w:t>
      </w:r>
    </w:p>
    <w:p>
      <w:pPr>
        <w:spacing w:after="0" w:line="162" w:lineRule="exact"/>
        <w:rPr>
          <w:sz w:val="20"/>
          <w:szCs w:val="20"/>
          <w:color w:val="auto"/>
        </w:rPr>
      </w:pPr>
    </w:p>
    <w:p>
      <w:pPr>
        <w:ind w:right="340" w:firstLine="456"/>
        <w:spacing w:after="0" w:line="313" w:lineRule="auto"/>
        <w:rPr>
          <w:sz w:val="20"/>
          <w:szCs w:val="20"/>
          <w:color w:val="auto"/>
        </w:rPr>
      </w:pPr>
      <w:r>
        <w:rPr>
          <w:rFonts w:ascii="Times New Roman" w:cs="Times New Roman" w:eastAsia="Times New Roman" w:hAnsi="Times New Roman"/>
          <w:sz w:val="17"/>
          <w:szCs w:val="17"/>
          <w:color w:val="auto"/>
        </w:rPr>
        <w:t>On December 28, 2015, the Company amended and restated its Certificate of Incorporation such that the Company authorized 9,336,510 shares of common stock, of which 8,000,000 shares have been designated as Class A common stock and 1,336,510 have been designated Class B non-voting stock.</w:t>
      </w:r>
    </w:p>
    <w:p>
      <w:pPr>
        <w:spacing w:after="0" w:line="138"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December 31, 2016 and June 30, 2017 (unaudited), 4,616,863 and 4,711,990 and 4,716,568 shares of Class A voting common stock were issued and outstanding at $0.001 par value per share, respectively.</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December 31, 2016 and June 30, 2017 (unaudited), 7,436, 7,436 and 13,936 shares of Class B non-voting common stock were issued and outstanding at $0.001 par value per share,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issuance in connection 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r>
      <w:tr>
        <w:trPr>
          <w:trHeight w:val="142"/>
        </w:trPr>
        <w:tc>
          <w:tcPr>
            <w:tcW w:w="5120" w:type="dxa"/>
            <w:vAlign w:val="bottom"/>
          </w:tcPr>
          <w:p>
            <w:pPr>
              <w:spacing w:after="0"/>
              <w:rPr>
                <w:sz w:val="12"/>
                <w:szCs w:val="12"/>
                <w:color w:val="auto"/>
              </w:rPr>
            </w:pPr>
          </w:p>
        </w:tc>
        <w:tc>
          <w:tcPr>
            <w:tcW w:w="1900" w:type="dxa"/>
            <w:vAlign w:val="bottom"/>
            <w:tcBorders>
              <w:top w:val="single" w:sz="8" w:color="auto"/>
            </w:tcBorders>
            <w:gridSpan w:val="5"/>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260" w:type="dxa"/>
            <w:vAlign w:val="bottom"/>
          </w:tcPr>
          <w:p>
            <w:pPr>
              <w:spacing w:after="0"/>
              <w:rPr>
                <w:sz w:val="12"/>
                <w:szCs w:val="12"/>
                <w:color w:val="auto"/>
              </w:rPr>
            </w:pPr>
          </w:p>
        </w:tc>
        <w:tc>
          <w:tcPr>
            <w:tcW w:w="2220" w:type="dxa"/>
            <w:vAlign w:val="bottom"/>
            <w:tcBorders>
              <w:top w:val="single" w:sz="8" w:color="auto"/>
            </w:tcBorders>
            <w:gridSpan w:val="5"/>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710,000</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outstanding—2001 plan</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245,080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155,726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146,985</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outstanding—2010 plan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1,218,960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1,277,180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1,294,969</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 outstanding</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33,666</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25,877</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25,877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Possible future issuances under 2010 stock option plan</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109,292</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52,708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27,605</w:t>
            </w: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holders of Class A common stock are entitled to one vote for each share of common stock and holders of Class B non-voting common stock shall have no voting rights. The holders of record of the shares of common stock, exclusively and as a separate class, shall be entitled to elect the remaining directors of the Company.</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Voting Agreement requires that each stockholder vote for and elect the Company’s two founders, who are stockholders and officers, as members of the Board of Directors.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Company shall not declare, pay or set aside any dividends on Class A voting or Class B non-voting common stock unless the holders of Series A preferred stock first receive, or simultaneously receive, a dividend on each outstanding share of Series A preferred stock. During the years ended December 31, 2015, December 31, 2016 and the six months ended June 30, 2017 (unaudited) no dividends were declared.</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As of November 30, 2016, dividend payments are subject to a restriction in the Company’s Loan and Security Agreement that the Company shall not pay any dividends or any other distribution or payment on account of or in redemption, retirement or purchase of any capital stock through the term of the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Warrants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four notes payable issued December 20, 2010, the Company granted stock purchase warrants to the previous debt holders. The warrants were exercisable for 12,188 shares of the Company’s Class A common stock at an exercise price of $14.51 per share. The outstanding warrants to purchase 6,338 shares of the Company’s Class A common stock issued with the 2010 debt expire on December 31, 2017.</w:t>
      </w:r>
    </w:p>
    <w:p>
      <w:pPr>
        <w:spacing w:after="0" w:line="176" w:lineRule="exact"/>
        <w:rPr>
          <w:sz w:val="20"/>
          <w:szCs w:val="20"/>
          <w:color w:val="auto"/>
        </w:rPr>
      </w:pPr>
    </w:p>
    <w:p>
      <w:pPr>
        <w:jc w:val="both"/>
        <w:ind w:right="280" w:firstLine="456"/>
        <w:spacing w:after="0" w:line="313" w:lineRule="auto"/>
        <w:rPr>
          <w:sz w:val="20"/>
          <w:szCs w:val="20"/>
          <w:color w:val="auto"/>
        </w:rPr>
      </w:pPr>
      <w:r>
        <w:rPr>
          <w:rFonts w:ascii="Times New Roman" w:cs="Times New Roman" w:eastAsia="Times New Roman" w:hAnsi="Times New Roman"/>
          <w:sz w:val="17"/>
          <w:szCs w:val="17"/>
          <w:color w:val="auto"/>
        </w:rPr>
        <w:t>The Company granted other stock purchase warrants in 2011 that were exercisable for 17,539 shares of the Company’s Class A common stock at an exercise price $0.001 per share. The outstanding warrants to purchase 15,600 shares of the Company’s Class A common stock expire on March 25, 2018.</w:t>
      </w:r>
    </w:p>
    <w:p>
      <w:pPr>
        <w:spacing w:after="0" w:line="138"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Further warrants to purchase 3,939 shares of the Company’s Class A common stock were granted in 2011 at an exercise price of $14.51 per share, which expire on February 22, 2018.</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Pursuant to the Spin-Off, each holder of a warrant to purchase common stock was issued a warrant to purchase shares of Republic Class A voting common stock with equivalent economic terms. As of December 31, 2015, December 31, 2016 and June 30, 2017 (unaudited), a total of 33,666, 25,877 and 25,877 shares of common stock were reserved for the issuance of stock purchase warrants.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Spin-Off</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Pursuant to the Spin-Off, (i) each holder of Class A common stock received one share of Republic Class A common stock for each share of Class A common stock held by such holder, (ii) each holder of Class B non-voting common stock received one share of Republic Class B non-voting common stock for each share of Class B non-voting common stock held by such holder and (iii) each holder of Series A preferred stock received a number of shares of Republic Class A voting common stock for each share of Series A preferred stock held by such holder equal to the number of shares of Class A common stock into which such share of Series A preferred stock is then convertible.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2001, the Company adopted the Bandwidth.com, Inc. Stock Option Plan (the 2001 Plan). As of July 26, 2010, the Company adopted the 2010 Equity Compensation Plan (the 2010 Plan). As of December 31, 2011, a total of 1,281,976 shares of common stock were reserved for issuance under the 2001 Plan and the 2010 Plan. On May 9, 2014, the 2010 Plan was amended to provide for a total of 1,186,510 shares of common stock reserved for issuance under the 2010 Plan. On May 6, 2015, the 2010 Plan was amended to provide for a total of 1,236,510 shares of common stock reserved for issuance under the 2010 Plan. On December 28, 2015, the 2010 Plan was amended to provide for a total of 1,336,510 shares of common stock reserved for issuance under the 2010 Plan. Eligible plan participants include employees, directors and consultants. The 2001 Plan and the 2010 Plan each permit the granting of incentive stock options and non-qualified stock options.</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Pursuant to the Spin-Off, (i) each holder of a Bandwidth Class A voting common stock option was granted an option to purchase Republic Class A voting common stock and (ii) each holder of a Bandwidth Class B non-voting common stock option was granted an option to purchase Republic Class B non-voting common stock (together with the Republic Class A voting common stock options). Existing Bandwidth stock options were adjusted (an Adjusted Option) as follows. The spread between the value of the Bandwidth Stock for which the Bandwidth Option was exercisable and the Bandwidth Option’s exercise price (the Bandwidth Option Spread) was allocated between the Adjusted Option based on the exercise price of and the number of shares subject to the applicable Bandwidth Class A voting common stock options or Bandwidth Class B non-voting common stock options, as the case may be, the pre-Distribution fair market value of Bandwidth Class A voting common stock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5" w:right="2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Bandwidth Class B non-voting common stock, based upon the valuation of the Company at November 30, 2016 and the fair market value of Republic Class A voting common stock or Republic Class B non-voting common stock, such that the pre-Distribution intrinsic value of each Bandwidth Class A voting common stock Option or Bandwidth Class B non-voting common stock option was allocated between the respective Republic Stock Option and the respective Adjusted Option. The other terms and conditions of the Republic Option and the Adjusted Option are the same as the Bandwidth Option in all material respects. The Adjusted Options, the Republic Class A voting common stock options and Republic Class B non-voting common stock options held by current option holders in Bandwidth became all non-qualified options at the time in which the modification took place.</w:t>
      </w:r>
    </w:p>
    <w:p>
      <w:pPr>
        <w:spacing w:after="0" w:line="188"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terms of the modification allow Company employees to continue to vest in stock options in Republic and Republic employees to continue to vest in stock options in Bandwidth, as long as the employees continue to be employed by their respective company. The Company will recognize compensation expense for all non-vested Bandwidth and Republic awards related to those employees that provide service to the Company.</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is estimated on the date of grant using the Black-Scholes-Merton option pricing model based on the assumptions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700" w:type="dxa"/>
            <w:vAlign w:val="bottom"/>
          </w:tcPr>
          <w:p>
            <w:pPr>
              <w:spacing w:after="0"/>
              <w:rPr>
                <w:sz w:val="12"/>
                <w:szCs w:val="12"/>
                <w:color w:val="auto"/>
              </w:rPr>
            </w:pPr>
          </w:p>
        </w:tc>
        <w:tc>
          <w:tcPr>
            <w:tcW w:w="27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tcPr>
          <w:p>
            <w:pPr>
              <w:jc w:val="center"/>
              <w:ind w:right="1036"/>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7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center"/>
              <w:ind w:left="1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740" w:type="dxa"/>
            <w:vAlign w:val="bottom"/>
            <w:tcBorders>
              <w:bottom w:val="single" w:sz="8" w:color="auto"/>
            </w:tcBorders>
          </w:tcPr>
          <w:p>
            <w:pPr>
              <w:jc w:val="center"/>
              <w:ind w:left="3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142"/>
        </w:trPr>
        <w:tc>
          <w:tcPr>
            <w:tcW w:w="5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8"/>
                <w:szCs w:val="18"/>
                <w:color w:val="auto"/>
                <w:w w:val="99"/>
              </w:rPr>
              <w:t>0%</w:t>
            </w:r>
          </w:p>
        </w:tc>
        <w:tc>
          <w:tcPr>
            <w:tcW w:w="174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120" w:type="dxa"/>
            <w:vAlign w:val="bottom"/>
          </w:tcPr>
          <w:p>
            <w:pPr>
              <w:jc w:val="center"/>
              <w:ind w:left="118"/>
              <w:spacing w:after="0"/>
              <w:rPr>
                <w:sz w:val="20"/>
                <w:szCs w:val="20"/>
                <w:color w:val="auto"/>
              </w:rPr>
            </w:pPr>
            <w:r>
              <w:rPr>
                <w:rFonts w:ascii="Times New Roman" w:cs="Times New Roman" w:eastAsia="Times New Roman" w:hAnsi="Times New Roman"/>
                <w:sz w:val="18"/>
                <w:szCs w:val="18"/>
                <w:color w:val="auto"/>
                <w:w w:val="96"/>
              </w:rPr>
              <w:t>44%</w:t>
            </w:r>
          </w:p>
        </w:tc>
        <w:tc>
          <w:tcPr>
            <w:tcW w:w="174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6"/>
              </w:rPr>
              <w:t>47%</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1.5%–1.9%</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1.3%–2.0%</w:t>
            </w:r>
          </w:p>
        </w:tc>
        <w:tc>
          <w:tcPr>
            <w:tcW w:w="112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8"/>
                <w:szCs w:val="18"/>
                <w:color w:val="auto"/>
                <w:w w:val="99"/>
              </w:rPr>
              <w:t>1.3%–1.6%</w:t>
            </w:r>
          </w:p>
        </w:tc>
        <w:tc>
          <w:tcPr>
            <w:tcW w:w="174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9"/>
              </w:rPr>
              <w:t>1.9%–2.3%</w:t>
            </w: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6.2 years</w:t>
            </w: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6.2 years</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 years</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6.2 years</w:t>
            </w:r>
          </w:p>
        </w:tc>
      </w:tr>
    </w:tbl>
    <w:p>
      <w:pPr>
        <w:spacing w:after="0" w:line="17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uses the simplified method for purposes of determining the expected life of the options. The risk-free interest rate is based on the U.S. Treasury rates at the date of grant with maturity dates approximately equal to the expected life at the grant date. Volatility is based on the historical volatility of certain public entities that are similar to the Company as the Company does not have sufficient historical transactions of its own shares on which to base expected volatility. The Company historically has not issued any dividends and does not expect to in the future.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the stock option activity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440" w:type="dxa"/>
            <w:vAlign w:val="bottom"/>
            <w:gridSpan w:val="3"/>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 Life</w:t>
            </w:r>
          </w:p>
        </w:tc>
        <w:tc>
          <w:tcPr>
            <w:tcW w:w="3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1,464,040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$ 12,684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84,241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23.93</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(88,854)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13.23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19.54</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16.35</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23.99</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13.92</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or cancelled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23.76</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2017 (unaudited)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16.51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42,711</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1,208,285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15.15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2016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1,425,269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16.32</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at June 30, 2017 (unaudited)</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1,254,557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15.45</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June 30, 2017 (unaudited)</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1,435,586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16.48</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Aggregate intrinsic value represents the total pre-tax intrinsic value, which is computed based on the difference between the option exercise price and the fair value of the Company’s common stock. This amount changes based on the fair value of the Company’s stock.</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for the years ended December 31, 2015, December 31, 2016 and during the six months ended June 30, 2017 (unaudited) was $18.74, $10.14 and $10.84 per share, respectively.</w:t>
      </w:r>
    </w:p>
    <w:p>
      <w:pPr>
        <w:spacing w:after="0" w:line="16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total estimated grant date fair value of options vested was $3,724, $2,082 and $627 during the years ended December 31, 2015 and 2016 and the six months ended June 30, 2017.</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recognized total stock-based compensation expense in continuing operations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left="7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4"/>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3,493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1,370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854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The Company will recognize $1,850 of compensation cost in the future for stock-based employee compensation over the weighted-average of 2.5 years for stock options granted before June 30, 2017.</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6" w:right="2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ind w:right="8600" w:firstLine="8"/>
        <w:spacing w:after="0" w:line="378" w:lineRule="auto"/>
        <w:tabs>
          <w:tab w:leader="none" w:pos="2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begins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required under the leases as of June 30, 2017 (unaudited), for each of the years ending December 31,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8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3,631</w:t>
            </w: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10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3,873</w:t>
            </w:r>
          </w:p>
        </w:tc>
      </w:tr>
      <w:tr>
        <w:trPr>
          <w:trHeight w:val="216"/>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10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0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18,837</w:t>
            </w:r>
          </w:p>
        </w:tc>
      </w:tr>
      <w:tr>
        <w:trPr>
          <w:trHeight w:val="20"/>
        </w:trPr>
        <w:tc>
          <w:tcPr>
            <w:tcW w:w="10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Company incurred rent expense of $1,656 and $2,003 for the years ended December 31, 2015 and 2016, respectively, and $845 and $1,380 for the six months ended June 30, 2016 and 2017 (unaudited), respectively, which is included in general and administrative expenses in the consolidated statements of operations.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conjunction with the Spin-Off, the Company signed a Facilities Service Agreement with Republic in which the Company agreed to sub-lease 40,657 square feet of office space to Republic. The sub-lease is non-cancellable and extends to May 2022. For the year ended December 31, 2016 and the six months ended June 30, 2017 (unaudited), the Company recorded a reduction of rent expense of $47 and $446, respectively, which is included in general and administrative expenses in the consolidated statements of operations and comprehensive income (loss).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receipts as of June 30, 2017 (unaudited) for each of the years ending December 31,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7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1,020</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1,042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1,065</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7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1,089</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r>
      <w:tr>
        <w:trPr>
          <w:trHeight w:val="27"/>
        </w:trPr>
        <w:tc>
          <w:tcPr>
            <w:tcW w:w="34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4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5,270</w:t>
            </w:r>
          </w:p>
        </w:tc>
      </w:tr>
      <w:tr>
        <w:trPr>
          <w:trHeight w:val="20"/>
        </w:trPr>
        <w:tc>
          <w:tcPr>
            <w:tcW w:w="34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7480" w:type="dxa"/>
            <w:vAlign w:val="bottom"/>
            <w:gridSpan w:val="2"/>
          </w:tcPr>
          <w:p>
            <w:pPr>
              <w:jc w:val="right"/>
              <w:ind w:right="5002"/>
              <w:spacing w:after="0"/>
              <w:rPr>
                <w:sz w:val="20"/>
                <w:szCs w:val="20"/>
                <w:color w:val="auto"/>
              </w:rPr>
            </w:pPr>
            <w:r>
              <w:rPr>
                <w:rFonts w:ascii="Times New Roman" w:cs="Times New Roman" w:eastAsia="Times New Roman" w:hAnsi="Times New Roman"/>
                <w:sz w:val="18"/>
                <w:szCs w:val="18"/>
                <w:color w:val="auto"/>
              </w:rPr>
              <w:t>F-33</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Leases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leases various equipment under leases accounted for as capital leases. These leases have various expiration dates ranging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2016 through October 2018. As of December 31, 2015, carrying value and accumulated depreciation of the assets under capital leases recorded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were $1,819 and $1,682, respectively. As of December 31, 2016, cost and accumulated depreciation of the assets under capital leases recorded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were $1,951 and $1,807, respectively. For the six months ended June 30, 2017 (unaudited), cost and accumulated depreciation of the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capital leases recorded by the Company were $1,951 and $1,832, respectively.</w:t>
      </w:r>
    </w:p>
    <w:p>
      <w:pPr>
        <w:spacing w:after="0" w:line="207"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Remaining payments due on the Company’s capital lease obligations as of June 30, 2017 (unaudited), for each of the years ending December 31,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6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0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18"/>
                <w:szCs w:val="18"/>
                <w:color w:val="auto"/>
              </w:rPr>
            </w:pPr>
          </w:p>
        </w:tc>
      </w:tr>
      <w:tr>
        <w:trPr>
          <w:trHeight w:val="216"/>
        </w:trPr>
        <w:tc>
          <w:tcPr>
            <w:tcW w:w="10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0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8"/>
                <w:szCs w:val="18"/>
                <w:color w:val="auto"/>
              </w:rPr>
            </w:pPr>
          </w:p>
        </w:tc>
      </w:tr>
      <w:tr>
        <w:trPr>
          <w:trHeight w:val="223"/>
        </w:trPr>
        <w:tc>
          <w:tcPr>
            <w:tcW w:w="10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non-cancelable and contains annual minimum commitments of $1,200 to be fulfilled over five years or for as long as the Company continues to receive services from this vendor. In addition, the Company has other noncancellable purchase obligations totaling $900 as of December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April 2016, the Company filed counterclaims against MCI Communications Services, Inc. d/b/a Verizon Business and Verizon Select Services, Inc. (collectively,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Verizon has indicated that it intends to assert a counterclaim against us. The Company intends to contest any such counterclaim vigorously. Verizon’s prior September 2014 complaint against us and other defendants regarding intercarrier compensation charges for providing switched access services related to the exchange of telecommunications traffic has been dismissed without prejudice, but remains subject to appeal.</w:t>
      </w:r>
    </w:p>
    <w:p>
      <w:pPr>
        <w:spacing w:after="0" w:line="188"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While the results of these legal proceedings cannot be predicted with certainty, in the opinion of management, the ultimate resolution of these matters will not have a material adverse effect on the Company’s financial position of results of operations.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401(k) plan, which allows eligible employees to defer a portion of their compensation. The Company, at its discretion, may make matching contributions. The Company made matching contributions of $698 and $716 for the years ended December 31, 2015 and 2016, respectively, and $382 and $415 for the six months ended June 30, 2016 and 2017 (unaudited),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 (benefit) for income taxes from continuing operations consists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408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 a result of the Spin-Off of Republic, the historic performance of Bandwidth and future projections; the Company determined there was sufficient evidence to support the realization of deferred tax assets and released the valuation allowance in 2016.</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statutory federal tax rate and the Company’s effective tax rate for the years ended December 31, 2015 and 2016: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4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66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2.52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66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w:t>
            </w:r>
          </w:p>
        </w:tc>
        <w:tc>
          <w:tcPr>
            <w:tcW w:w="6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(3.17)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11.00</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(42.45)</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rate change</w:t>
            </w:r>
          </w:p>
        </w:tc>
        <w:tc>
          <w:tcPr>
            <w:tcW w:w="660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0.76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5.53%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00" w:type="dxa"/>
            <w:vAlign w:val="bottom"/>
            <w:gridSpan w:val="3"/>
          </w:tcPr>
          <w:p>
            <w:pPr>
              <w:jc w:val="right"/>
              <w:ind w:right="4600"/>
              <w:spacing w:after="0"/>
              <w:rPr>
                <w:sz w:val="20"/>
                <w:szCs w:val="20"/>
                <w:color w:val="auto"/>
              </w:rPr>
            </w:pPr>
            <w:r>
              <w:rPr>
                <w:rFonts w:ascii="Times New Roman" w:cs="Times New Roman" w:eastAsia="Times New Roman" w:hAnsi="Times New Roman"/>
                <w:sz w:val="18"/>
                <w:szCs w:val="18"/>
                <w:color w:val="auto"/>
              </w:rPr>
              <w:t>F-35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the Company’s deferred tax assets and liabilities: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(12,633)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liability</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Company’s accounting for deferred taxes involves the evaluation of a number of factors concerning the realizability of its net deferred tax assets. The Company primarily considered the impact of the Spin-Off of Republic,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2016, subsequent to the Spin-Off of Republic, sufficient evidence existed to support the realization of all deferred tax assets and therefore released the valuation allowance in the fourth quarter of 2016. The valuation allowance decreased from $14,729 at December 31, 2015 to $0 at December 31, 2016. Of this amount, $14,138 was reflected as a component of continuing operations and $591 was transferred to Republic pursuant to the Spin-Off.</w:t>
      </w:r>
    </w:p>
    <w:p>
      <w:pPr>
        <w:spacing w:after="0" w:line="18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$11,049 in federal net operating loss carryforwards and $2,863 in federal tax credits. If not utilized, the federal net operating loss and tax credit carryforwards will expire at various dates beginning in 2035 and 2030, respectively.</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approximately $13,172 in state net operating loss carryforwards. If not utilized, the state net operating loss carryforwards will expire at various dates beginning in 2020.</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 limitation may apply to the use of the net operating loss and credit carryforwards, under Internal Revenue Code (IRC) §382 and §383, and similar state tax provisions that are applicable if the Company experiences an “ownership change”. An ownership change may occur, for example, as a result of issuance of new equity. Should these limitations apply, the carryforwards would be subject to an annual limitation; however, this limitation is not expected to impact the Company’s ability to realize these deferred tax assets.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Company elected to early adopt ASU 2016-09 effective January 1, 2016. Subsequent to adoption, the primary tax impact will be the recognition of excess tax benefits in the provision for income tax rather than 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 paid-in capital. Under this guidance all excess tax benefits (windfalls) and deficiencies (shortfalls) related to employee stock compensation will be recognized within income tax expense. Under prior guidance windfalls were recognized to additional paid-in capital to the extent they resulted in a reduction of cash tax payments and shortfalls were only recognized to the extent they exceeded the pool of windfall tax benefits. The new guidance eliminates the requirement to delay the recognition of excess tax benefits until they reduce current taxes payable. As such, the Company included $420 as a cumulative-effect adjustment for previously unrecognized excess tax benefits in opening accumulated deficit as of January 1, 2016.</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benefits—January 1,</w:t>
            </w:r>
          </w:p>
        </w:tc>
        <w:tc>
          <w:tcPr>
            <w:tcW w:w="3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increases—tax positions in current period</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33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benefits—December 31,</w:t>
            </w:r>
          </w:p>
        </w:tc>
        <w:tc>
          <w:tcPr>
            <w:tcW w:w="3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456</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$671 of unrecognized tax benefit is recognized, the effective tax rate would be impacted.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not incurred any material tax interest or penalties with respect to income taxes in the years ended December 31, 2015 and 2016.</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expects no material changes in its uncertain tax positions in the 12 months following December 31, 2016.</w:t>
      </w:r>
    </w:p>
    <w:p>
      <w:pPr>
        <w:spacing w:after="0" w:line="225"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many U.S. states. The tax years 2007-2016 remain open to examination by the major jurisdictions in which the Company is subject to tax due to the carryforward of net operating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In connection with the agreements, the Company assessed the relationship with Republic under guidance for variable interest entities. The assessment determined that Republic is a VIE in which the Company is not a primary beneficiary.</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For the period of December 1, 2016 to December 31, 2016 and the six months ended June 30, 2017 (unaudited), the Company received compensation of $134 and $511, respectively.</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addition, there was approximately $0 and $51 due from Republic as of December 31, 2016 and June 30, 2017 (unaudited), respectively, which was recorded within accounts receivable in the accompanying consolidated balance sheet.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Facilities Sharing Agreement specifies that the Company will sublet office space to Republic for at least 63 months. During the period of December 1, 2016 to December 31, 2016 and six months ended June 30, 2017 (unaudited), the Company sublet of office space to Republic. For the year ended December 31, 2016 and the six months ended June 30, 2017 (unaudited), the Company received rental payments of $47 and $446, respectively, which is included in general and administrative expenses in the consolidated statements of operations and comprehensive income (loss). No amounts were due to the Company under the Facilities Sharing Agreement as of December 31, 2016 and June 30, 2017 (unaudited).</w:t>
      </w:r>
    </w:p>
    <w:p>
      <w:pPr>
        <w:spacing w:after="0" w:line="184"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2016 or June 30, 2017 (unaudited).</w:t>
      </w:r>
    </w:p>
    <w:p>
      <w:pPr>
        <w:spacing w:after="0" w:line="176"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Master Services Agreement specifies certain wholesale telecommunications services to be provided by the Company. The agreement is cancellable at any time by either party. During the period of December 1, 2016 to December 31, 2016 and the six months ended June 30, 2017 (unaudited), the Company provided telecommunication services to Republic of $173 and $1,073, respectively. The Company recognized such amounts as revenue in the accompanying statement of operations and comprehensive income (loss) for the period of December 1, 2016 to December 31, 2016 and the six months ended June 30, 2017 (unaudited). As of June 30, 2017 (unaudited), the Company had a receivable of $191 under the Master Services Agreement.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Basic and Diluted Income (Loss) per Common Share</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uses the two-class method to compute net income (loss)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8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8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00"/>
          </w:cols>
          <w:pgMar w:left="240" w:top="456" w:right="2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basic and diluted earnings per share are as follows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80" w:type="dxa"/>
            <w:vAlign w:val="bottom"/>
            <w:gridSpan w:val="6"/>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25,430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(13,665)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loss allocated to participating securities</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(11,838)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discontinued operations per share attributable to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(Loss)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(loss) income allocated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Weighted Average Number Of Common Shares Outstanding</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4,599,518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4,671,427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4,632,313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4,722,647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stock options and warrants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473,126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497,455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4,983,138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5,144,553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7"/>
              </w:rPr>
              <w:t>5,129,768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5,190,879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common share equivalents have been excluded from the calculation of weighted-average common shares outstanding because the effect is anti-dilutive for the periods presented:</w:t>
      </w:r>
    </w:p>
    <w:p>
      <w:pPr>
        <w:sectPr>
          <w:pgSz w:w="11900" w:h="16838" w:orient="portrait"/>
          <w:cols w:equalWidth="0" w:num="1">
            <w:col w:w="11420"/>
          </w:cols>
          <w:pgMar w:left="240" w:top="455" w:right="239" w:bottom="1440" w:gutter="0" w:footer="0" w:header="0"/>
        </w:sectPr>
      </w:pPr>
    </w:p>
    <w:p>
      <w:pPr>
        <w:spacing w:after="0" w:line="18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ind w:left="7020"/>
        <w:spacing w:after="0"/>
        <w:tabs>
          <w:tab w:leader="none" w:pos="822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wp:posOffset>
            </wp:positionV>
            <wp:extent cx="144081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7620</wp:posOffset>
            </wp:positionV>
            <wp:extent cx="14490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100"/>
        <w:spacing w:after="0"/>
        <w:tabs>
          <w:tab w:leader="none" w:pos="132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-3175</wp:posOffset>
            </wp:positionV>
            <wp:extent cx="14490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2" w:lineRule="exact"/>
        <w:rPr>
          <w:sz w:val="20"/>
          <w:szCs w:val="20"/>
          <w:color w:val="auto"/>
        </w:rPr>
      </w:pPr>
    </w:p>
    <w:p>
      <w:pPr>
        <w:sectPr>
          <w:pgSz w:w="11900" w:h="16838" w:orient="portrait"/>
          <w:cols w:equalWidth="0" w:num="2">
            <w:col w:w="8660" w:space="720"/>
            <w:col w:w="20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Anti-dilutive Disclosure</w:t>
            </w:r>
          </w:p>
        </w:tc>
        <w:tc>
          <w:tcPr>
            <w:tcW w:w="2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 outstanding</w:t>
            </w:r>
          </w:p>
        </w:tc>
        <w:tc>
          <w:tcPr>
            <w:tcW w:w="2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710,000</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710,000</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710,000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710,000</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160,734</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94,874</w:t>
            </w: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97,609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events have been evaluated through August 16, 2017 which is the date these financial statements were issued.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5" w:right="239" w:bottom="1440" w:gutter="0" w:footer="0" w:header="0"/>
          <w:type w:val="continuous"/>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208280</wp:posOffset>
            </wp:positionV>
            <wp:extent cx="5659755" cy="73234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9755" cy="732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FFFFFF"/>
        </w:rPr>
        <w:t>Number one ‘hot spot’ for tech startups outside Silicon Valley* Voted one of the best places to work in the Research Triangle for 2017**Imagine the power *Triangle Business Journal 2015, **Triangle Business Journal 2017</w:t>
      </w:r>
    </w:p>
    <w:p>
      <w:pPr>
        <w:sectPr>
          <w:pgSz w:w="11900" w:h="16838" w:orient="portrait"/>
          <w:cols w:equalWidth="0" w:num="1">
            <w:col w:w="11380"/>
          </w:cols>
          <w:pgMar w:left="240" w:top="456" w:right="279" w:bottom="1440" w:gutter="0" w:footer="0" w:header="0"/>
        </w:sectPr>
      </w:pPr>
    </w:p>
    <w:bookmarkStart w:id="182" w:name="page183"/>
    <w:bookmarkEnd w:id="18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3388360</wp:posOffset>
            </wp:positionV>
            <wp:extent cx="1457960" cy="12261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57960" cy="122618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the underwriting discounts and commissions, payable by the registrant in connection with the sale of the Class A common stock being registered. All amounts are estimates except for the Securities and Exchange Commission (“SEC”), registration fee, the FINRA filing fee and the exchange listing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 or</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listing fee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To be provided by amendment</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80"/>
          </w:cols>
          <w:pgMar w:left="240" w:top="455" w:right="2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our amended and restated certificate of incorporation and bylaws.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August 1, 2014, we sold the following securities on an unregistered basis:</w:t>
      </w:r>
    </w:p>
    <w:p>
      <w:pPr>
        <w:spacing w:after="0" w:line="131" w:lineRule="exact"/>
        <w:rPr>
          <w:sz w:val="20"/>
          <w:szCs w:val="20"/>
          <w:color w:val="auto"/>
        </w:rPr>
      </w:pPr>
    </w:p>
    <w:p>
      <w:pPr>
        <w:jc w:val="both"/>
        <w:ind w:left="900" w:right="60" w:hanging="446"/>
        <w:spacing w:after="0" w:line="261"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granted to our directors, officers, employees, and consultants options to purchase an aggregate of 244,824 shares of our Old Class B common stock under our 2010 Equity Compensation Plan at exercise prices ranging from $22.91 to $23.99 per share. The exercise prices of these options to purchase shares of our Old Class B common stock granted between August 1, 2014 and November 30, 2016 reflect adjustments to reflect the allocation of value associated with the Spin-Off of Republic Wireless.</w:t>
      </w:r>
    </w:p>
    <w:p>
      <w:pPr>
        <w:spacing w:after="0" w:line="85"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options to purchase shares of our Old Class B common stock exercised options to purchase an aggregate of 12,312 shares of our Old Class B Common stock at exercise prices ranging from $25.64 to $29.75 per share. Giving effect to the allocation of value associated with the Spin-Off of Republic Wireless, the adjusted exercise prices of such options would have been $14.51 to $16.84 per share.</w:t>
      </w:r>
    </w:p>
    <w:p>
      <w:pPr>
        <w:spacing w:after="0" w:line="81"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options to purchase shares of our Old Class A common stock exercised options to purchase an aggregate of 131,515 shares of our Old Class A common stock at exercise prices ranging from $4.79 to $20.75 per share. Giving effect to the allocation of value associated with the Spin-Off of Republic Wireless, the adjusted exercise prices of such options would have been $2.71 to $11.74 per share.</w:t>
      </w:r>
    </w:p>
    <w:p>
      <w:pPr>
        <w:spacing w:after="0" w:line="81" w:lineRule="exact"/>
        <w:rPr>
          <w:rFonts w:ascii="Times New Roman" w:cs="Times New Roman" w:eastAsia="Times New Roman" w:hAnsi="Times New Roman"/>
          <w:sz w:val="18"/>
          <w:szCs w:val="18"/>
          <w:color w:val="auto"/>
        </w:rPr>
      </w:pPr>
    </w:p>
    <w:p>
      <w:pPr>
        <w:ind w:left="900" w:right="140" w:hanging="446"/>
        <w:spacing w:after="0" w:line="261"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warrants to purchase shares of our Old Class A common stock and similar rights exercised warrants and similar rights to purchase an aggregate of 15,176 shares of our Old Class A common stock at exercise prices ranging from $0.001 to $25.64 per share. Giving effect to the allocation of value associated with the Spin-Off of Republic Wireless, the adjusted exercise prices of such warrants would have been $0.001 to $14.51 per share.</w:t>
      </w:r>
    </w:p>
    <w:p>
      <w:pPr>
        <w:spacing w:after="0" w:line="180"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Exhibit Index attached to this Registration Statement, which is incorporated by reference herein.</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61"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or 497(h) under the Securities Act shall be deemed to be part of this Registration Statement as of the time it was declared effective.</w:t>
      </w:r>
    </w:p>
    <w:p>
      <w:pPr>
        <w:spacing w:after="0" w:line="112" w:lineRule="exact"/>
        <w:rPr>
          <w:rFonts w:ascii="Times New Roman" w:cs="Times New Roman" w:eastAsia="Times New Roman" w:hAnsi="Times New Roman"/>
          <w:sz w:val="18"/>
          <w:szCs w:val="18"/>
          <w:color w:val="auto"/>
        </w:rPr>
      </w:pPr>
    </w:p>
    <w:p>
      <w:pPr>
        <w:ind w:left="900" w:right="20" w:hanging="318"/>
        <w:spacing w:after="0" w:line="266"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signed on its behalf by the undersigned, thereunto duly authorized, in Raleigh, North Carolina, on the   day of</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BANDWIDTH.COM,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Cofounder, Chief Executive Officer and Chairman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the undersigned directors and officers of Bandwidth.com, Inc. (the “Company”), hereby severally constitute and appoint David A. Morken, John C. Murdock, Jeffrey A. Hoffman, and W. Christopher Matton,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8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Cofounder, Chief Executive Officer and Chairman </w:t>
            </w:r>
            <w:r>
              <w:rPr>
                <w:rFonts w:ascii="Times New Roman" w:cs="Times New Roman" w:eastAsia="Times New Roman" w:hAnsi="Times New Roman"/>
                <w:sz w:val="18"/>
                <w:szCs w:val="18"/>
                <w:i w:val="1"/>
                <w:iCs w:val="1"/>
                <w:color w:val="auto"/>
              </w:rPr>
              <w:t>(Principal</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A. Morken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2100" w:type="dxa"/>
            <w:vAlign w:val="bottom"/>
          </w:tcPr>
          <w:p>
            <w:pPr>
              <w:spacing w:after="0"/>
              <w:rPr>
                <w:sz w:val="19"/>
                <w:szCs w:val="19"/>
                <w:color w:val="auto"/>
              </w:rPr>
            </w:pPr>
          </w:p>
        </w:tc>
      </w:tr>
      <w:tr>
        <w:trPr>
          <w:trHeight w:val="427"/>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 Financial Officer and</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A. Hoffman</w:t>
            </w:r>
          </w:p>
        </w:tc>
        <w:tc>
          <w:tcPr>
            <w:tcW w:w="1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27"/>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Director</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C. Murdock</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and Director</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Henry R. Kaestner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4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D. Bailey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5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Agreement.</w:t>
            </w: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83"/>
              </w:rPr>
              <w:t>Form of Underwriting</w:t>
            </w:r>
          </w:p>
        </w:tc>
        <w:tc>
          <w:tcPr>
            <w:tcW w:w="8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Reorganization Agreement, dated as of November 30, 2016, by and between Bandwidth.com, Inc. and Republic Wireless, Inc.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Second Amended and Restated Certificate of Incorporation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Bylaws (as currently in effect).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Second Amended and Restated Bylaws (to be in effect upon the closing of this offering).</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Rights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Buy-Sell Agreement.</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Latham &amp; Watkins LLP.</w:t>
            </w:r>
          </w:p>
        </w:tc>
        <w:tc>
          <w:tcPr>
            <w:tcW w:w="0" w:type="dxa"/>
            <w:vAlign w:val="bottom"/>
          </w:tcPr>
          <w:p>
            <w:pPr>
              <w:spacing w:after="0"/>
              <w:rPr>
                <w:sz w:val="1"/>
                <w:szCs w:val="1"/>
                <w:color w:val="auto"/>
              </w:rPr>
            </w:pPr>
          </w:p>
        </w:tc>
      </w:tr>
      <w:tr>
        <w:trPr>
          <w:trHeight w:val="30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and Security Agreement among the Bandwidth.com, Inc., Keybank National Association, Keybank Capital Markets Inc., Pacific</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Bank, Fifth Third Bank and Silicon Valley Bank, dated as of November 4,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Indemnification Agreement between Bandwidth.com, Inc. and each of its Executive Officers and Directors.</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2001 Stock Option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2010 Equity Compensation Plan and forms of awards thereunder.</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October 1, 2008, by and between Bandwidth.com, Inc. and John Murdock.</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May 3, 2010, by and between Bandwidth.com, Inc. and W. Christopher Matton.</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17, 2010, by and between Bandwidth.com, Inc. and Steve Leonard.</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September 16, 2011, by and between Bandwidth.com, Inc. and Jeff Hoffman.</w:t>
            </w:r>
          </w:p>
        </w:tc>
        <w:tc>
          <w:tcPr>
            <w:tcW w:w="0" w:type="dxa"/>
            <w:vAlign w:val="bottom"/>
          </w:tcPr>
          <w:p>
            <w:pPr>
              <w:spacing w:after="0"/>
              <w:rPr>
                <w:sz w:val="1"/>
                <w:szCs w:val="1"/>
                <w:color w:val="auto"/>
              </w:rPr>
            </w:pPr>
          </w:p>
        </w:tc>
      </w:tr>
      <w:tr>
        <w:trPr>
          <w:trHeight w:val="306"/>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Employment Agreement, dated as of January 1, 2015, as amended on March 9, 2017, by and between Bandwidth.com, Inc. and David A.</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Morken.</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10.10#*</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March 1, 2017, by and between Bandwidth.com, Inc. and Henry R. Kaestner.</w:t>
            </w: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10.11#*</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Agreement, dated as of February 22, 2010, by and between Bandwidth.com, Inc. and Carmichael Investment Partners, LLC.</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10.12*</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Lease, by and between Venture Center LLC and Bandwidth.com, Inc., dated January 22, 2013, as amended to date.</w:t>
            </w:r>
          </w:p>
        </w:tc>
        <w:tc>
          <w:tcPr>
            <w:tcW w:w="0" w:type="dxa"/>
            <w:vAlign w:val="bottom"/>
          </w:tcPr>
          <w:p>
            <w:pPr>
              <w:spacing w:after="0"/>
              <w:rPr>
                <w:sz w:val="1"/>
                <w:szCs w:val="1"/>
                <w:color w:val="auto"/>
              </w:rPr>
            </w:pPr>
          </w:p>
        </w:tc>
      </w:tr>
      <w:tr>
        <w:trPr>
          <w:trHeight w:val="324"/>
        </w:trPr>
        <w:tc>
          <w:tcPr>
            <w:tcW w:w="600" w:type="dxa"/>
            <w:vAlign w:val="bottom"/>
            <w:gridSpan w:val="2"/>
          </w:tcPr>
          <w:p>
            <w:pPr>
              <w:jc w:val="center"/>
              <w:ind w:right="22"/>
              <w:spacing w:after="0"/>
              <w:rPr>
                <w:sz w:val="20"/>
                <w:szCs w:val="20"/>
                <w:color w:val="auto"/>
              </w:rPr>
            </w:pPr>
            <w:r>
              <w:rPr>
                <w:rFonts w:ascii="Times New Roman" w:cs="Times New Roman" w:eastAsia="Times New Roman" w:hAnsi="Times New Roman"/>
                <w:sz w:val="18"/>
                <w:szCs w:val="18"/>
                <w:color w:val="auto"/>
              </w:rPr>
              <w:t>10.13*</w:t>
            </w:r>
          </w:p>
        </w:tc>
        <w:tc>
          <w:tcPr>
            <w:tcW w:w="5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Lease, by and between Venture Center LLC and Bandwidth.com, Inc., dated January 22, 2013, as amended to date.</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520" w:type="dxa"/>
            <w:vAlign w:val="bottom"/>
          </w:tcPr>
          <w:p>
            <w:pPr>
              <w:jc w:val="center"/>
              <w:ind w:right="2050"/>
              <w:spacing w:after="0"/>
              <w:rPr>
                <w:sz w:val="20"/>
                <w:szCs w:val="20"/>
                <w:color w:val="auto"/>
              </w:rPr>
            </w:pPr>
            <w:r>
              <w:rPr>
                <w:rFonts w:ascii="Times New Roman" w:cs="Times New Roman" w:eastAsia="Times New Roman" w:hAnsi="Times New Roman"/>
                <w:sz w:val="18"/>
                <w:szCs w:val="18"/>
                <w:color w:val="auto"/>
                <w:w w:val="96"/>
              </w:rPr>
              <w:t>II-5</w:t>
            </w:r>
          </w:p>
        </w:tc>
        <w:tc>
          <w:tcPr>
            <w:tcW w:w="0" w:type="dxa"/>
            <w:vAlign w:val="bottom"/>
          </w:tcPr>
          <w:p>
            <w:pPr>
              <w:spacing w:after="0"/>
              <w:rPr>
                <w:sz w:val="1"/>
                <w:szCs w:val="1"/>
                <w:color w:val="auto"/>
              </w:rPr>
            </w:pPr>
          </w:p>
        </w:tc>
      </w:tr>
    </w:tbl>
    <w:p>
      <w:pPr>
        <w:sectPr>
          <w:pgSz w:w="11900" w:h="16838" w:orient="portrait"/>
          <w:cols w:equalWidth="0" w:num="1">
            <w:col w:w="11040"/>
          </w:cols>
          <w:pgMar w:left="240" w:top="456" w:right="61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10.14*</w:t>
            </w:r>
          </w:p>
        </w:tc>
        <w:tc>
          <w:tcPr>
            <w:tcW w:w="66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Office Lease, by and between Blake Street Investments, LLC and Bandwidth.com, Inc., dated March 1, 2016, as amended to date.</w:t>
            </w:r>
          </w:p>
        </w:tc>
        <w:tc>
          <w:tcPr>
            <w:tcW w:w="0" w:type="dxa"/>
            <w:vAlign w:val="bottom"/>
          </w:tcPr>
          <w:p>
            <w:pPr>
              <w:spacing w:after="0"/>
              <w:rPr>
                <w:sz w:val="1"/>
                <w:szCs w:val="1"/>
                <w:color w:val="auto"/>
              </w:rPr>
            </w:pPr>
          </w:p>
        </w:tc>
      </w:tr>
      <w:tr>
        <w:trPr>
          <w:trHeight w:val="2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10.15*</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Reorganization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10.16*</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Facilities Sharing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10.17*</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Transition Services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10.18*</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Transition Services Agreement, by and between Republic Wireless, Inc. and Bandwidth.com,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10.19*</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Tax Sharing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10.20*</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Employee Matters Agreement, by and between Bandwidth.com, Inc. and Republic Wireless, Inc., dated November 30, 2016.</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List of subsidiaries of Bandwidth.com,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1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II-6</w:t>
      </w:r>
    </w:p>
    <w:sectPr>
      <w:pgSz w:w="11900" w:h="16838" w:orient="portrait"/>
      <w:cols w:equalWidth="0" w:num="1">
        <w:col w:w="10540"/>
      </w:cols>
      <w:pgMar w:left="240" w:top="456"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lowerRoman"/>
      <w:start w:val="2"/>
    </w:lvl>
  </w:abstractNum>
  <w:abstractNum w:abstractNumId="11">
    <w:nsid w:val="75C6C33A"/>
    <w:multiLevelType w:val="hybridMultilevel"/>
    <w:lvl w:ilvl="0">
      <w:lvlJc w:val="left"/>
      <w:lvlText w:val="(%1)"/>
      <w:numFmt w:val="lowerRoman"/>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1)"/>
      <w:numFmt w:val="decimal"/>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Letter"/>
      <w:start w:val="3"/>
    </w:lvl>
    <w:lvl w:ilvl="1">
      <w:lvlJc w:val="left"/>
      <w:lvlText w:val="•"/>
      <w:numFmt w:val="bullet"/>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8"/>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lowerRoman"/>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lowerLetter"/>
      <w:start w:val="1"/>
    </w:lvl>
  </w:abstractNum>
  <w:abstractNum w:abstractNumId="80">
    <w:nsid w:val="885E1B"/>
    <w:multiLevelType w:val="hybridMultilevel"/>
    <w:lvl w:ilvl="0">
      <w:lvlJc w:val="left"/>
      <w:lvlText w:val="(%1)"/>
      <w:numFmt w:val="lowerLetter"/>
      <w:start w:val="1"/>
    </w:lvl>
  </w:abstractNum>
  <w:abstractNum w:abstractNumId="81">
    <w:nsid w:val="76272110"/>
    <w:multiLevelType w:val="hybridMultilevel"/>
    <w:lvl w:ilvl="0">
      <w:lvlJc w:val="left"/>
      <w:lvlText w:val="(%1)"/>
      <w:numFmt w:val="lowerRoman"/>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1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2019-12-07T14:55:56Z</dcterms:created>
  <dcterms:modified xsi:type="dcterms:W3CDTF">2019-12-07T14:55:56Z</dcterms:modified>
</cp:coreProperties>
</file>