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20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058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20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058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328"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68"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___________________________________</w:t>
      </w:r>
    </w:p>
    <w:p>
      <w:pPr>
        <w:spacing w:after="0" w:line="200" w:lineRule="exact"/>
        <w:rPr>
          <w:sz w:val="24"/>
          <w:szCs w:val="24"/>
          <w:color w:val="auto"/>
        </w:rPr>
      </w:pPr>
    </w:p>
    <w:p>
      <w:pPr>
        <w:spacing w:after="0" w:line="238"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1934</w:t>
      </w:r>
    </w:p>
    <w:p>
      <w:pPr>
        <w:spacing w:after="0" w:line="202" w:lineRule="exact"/>
        <w:rPr>
          <w:rFonts w:ascii="Arial" w:cs="Arial" w:eastAsia="Arial" w:hAnsi="Arial"/>
          <w:sz w:val="18"/>
          <w:szCs w:val="18"/>
          <w:b w:val="1"/>
          <w:bCs w:val="1"/>
          <w:color w:val="auto"/>
        </w:rPr>
      </w:pPr>
    </w:p>
    <w:p>
      <w:pPr>
        <w:ind w:left="394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For the quarterly period ended September 30, 2018</w:t>
      </w:r>
    </w:p>
    <w:p>
      <w:pPr>
        <w:spacing w:after="0" w:line="190"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2" w:lineRule="exact"/>
        <w:rPr>
          <w:rFonts w:ascii="Arial" w:cs="Arial" w:eastAsia="Arial" w:hAnsi="Arial"/>
          <w:sz w:val="18"/>
          <w:szCs w:val="18"/>
          <w:b w:val="1"/>
          <w:bCs w:val="1"/>
          <w:color w:val="auto"/>
        </w:rPr>
      </w:pPr>
    </w:p>
    <w:p>
      <w:pPr>
        <w:ind w:left="442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Commission File Number: 001-38285</w:t>
      </w:r>
    </w:p>
    <w:p>
      <w:pPr>
        <w:spacing w:after="0" w:line="176" w:lineRule="exact"/>
        <w:rPr>
          <w:sz w:val="24"/>
          <w:szCs w:val="24"/>
          <w:color w:val="auto"/>
        </w:rPr>
      </w:pPr>
    </w:p>
    <w:tbl>
      <w:tblPr>
        <w:tblLayout w:type="fixed"/>
        <w:tblInd w:w="1700" w:type="dxa"/>
        <w:tblCellMar>
          <w:top w:w="0" w:type="dxa"/>
          <w:left w:w="0" w:type="dxa"/>
          <w:bottom w:w="0" w:type="dxa"/>
          <w:right w:w="0" w:type="dxa"/>
        </w:tblCellMar>
      </w:tblPr>
      <w:tr>
        <w:trPr>
          <w:trHeight w:val="360"/>
        </w:trPr>
        <w:tc>
          <w:tcPr>
            <w:tcW w:w="2240" w:type="dxa"/>
            <w:vAlign w:val="bottom"/>
          </w:tcPr>
          <w:p>
            <w:pPr>
              <w:spacing w:after="0"/>
              <w:rPr>
                <w:sz w:val="24"/>
                <w:szCs w:val="24"/>
                <w:color w:val="auto"/>
              </w:rPr>
            </w:pPr>
          </w:p>
        </w:tc>
        <w:tc>
          <w:tcPr>
            <w:tcW w:w="5640" w:type="dxa"/>
            <w:vAlign w:val="bottom"/>
          </w:tcPr>
          <w:p>
            <w:pPr>
              <w:jc w:val="center"/>
              <w:ind w:right="2014"/>
              <w:spacing w:after="0"/>
              <w:rPr>
                <w:sz w:val="20"/>
                <w:szCs w:val="20"/>
                <w:color w:val="auto"/>
              </w:rPr>
            </w:pPr>
            <w:r>
              <w:rPr>
                <w:rFonts w:ascii="Arial" w:cs="Arial" w:eastAsia="Arial" w:hAnsi="Arial"/>
                <w:sz w:val="29"/>
                <w:szCs w:val="29"/>
                <w:b w:val="1"/>
                <w:bCs w:val="1"/>
                <w:color w:val="auto"/>
                <w:w w:val="92"/>
              </w:rPr>
              <w:t>Bandwidth Inc.</w:t>
            </w:r>
          </w:p>
        </w:tc>
      </w:tr>
      <w:tr>
        <w:trPr>
          <w:trHeight w:val="206"/>
        </w:trPr>
        <w:tc>
          <w:tcPr>
            <w:tcW w:w="2240" w:type="dxa"/>
            <w:vAlign w:val="bottom"/>
          </w:tcPr>
          <w:p>
            <w:pPr>
              <w:spacing w:after="0"/>
              <w:rPr>
                <w:sz w:val="17"/>
                <w:szCs w:val="17"/>
                <w:color w:val="auto"/>
              </w:rPr>
            </w:pPr>
          </w:p>
        </w:tc>
        <w:tc>
          <w:tcPr>
            <w:tcW w:w="5640" w:type="dxa"/>
            <w:vAlign w:val="bottom"/>
          </w:tcPr>
          <w:p>
            <w:pPr>
              <w:jc w:val="center"/>
              <w:ind w:right="2014"/>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81"/>
        </w:trPr>
        <w:tc>
          <w:tcPr>
            <w:tcW w:w="2240" w:type="dxa"/>
            <w:vAlign w:val="bottom"/>
          </w:tcPr>
          <w:p>
            <w:pPr>
              <w:spacing w:after="0"/>
              <w:rPr>
                <w:sz w:val="24"/>
                <w:szCs w:val="24"/>
                <w:color w:val="auto"/>
              </w:rPr>
            </w:pPr>
          </w:p>
        </w:tc>
        <w:tc>
          <w:tcPr>
            <w:tcW w:w="5640" w:type="dxa"/>
            <w:vAlign w:val="bottom"/>
          </w:tcPr>
          <w:p>
            <w:pPr>
              <w:jc w:val="center"/>
              <w:ind w:right="1954"/>
              <w:spacing w:after="0"/>
              <w:rPr>
                <w:sz w:val="20"/>
                <w:szCs w:val="20"/>
                <w:color w:val="auto"/>
              </w:rPr>
            </w:pPr>
            <w:r>
              <w:rPr>
                <w:rFonts w:ascii="Arial" w:cs="Arial" w:eastAsia="Arial" w:hAnsi="Arial"/>
                <w:sz w:val="11"/>
                <w:szCs w:val="11"/>
                <w:b w:val="1"/>
                <w:bCs w:val="1"/>
                <w:color w:val="auto"/>
                <w:w w:val="88"/>
              </w:rPr>
              <w:t>______________________________________________</w:t>
            </w:r>
          </w:p>
        </w:tc>
      </w:tr>
      <w:tr>
        <w:trPr>
          <w:trHeight w:val="453"/>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40" w:type="dxa"/>
            <w:vAlign w:val="bottom"/>
          </w:tcPr>
          <w:p>
            <w:pPr>
              <w:jc w:val="center"/>
              <w:ind w:left="3874"/>
              <w:spacing w:after="0"/>
              <w:rPr>
                <w:sz w:val="20"/>
                <w:szCs w:val="20"/>
                <w:color w:val="auto"/>
              </w:rPr>
            </w:pPr>
            <w:r>
              <w:rPr>
                <w:rFonts w:ascii="Arial" w:cs="Arial" w:eastAsia="Arial" w:hAnsi="Arial"/>
                <w:sz w:val="18"/>
                <w:szCs w:val="18"/>
                <w:b w:val="1"/>
                <w:bCs w:val="1"/>
                <w:color w:val="auto"/>
                <w:w w:val="91"/>
              </w:rPr>
              <w:t>56-2242657</w:t>
            </w:r>
          </w:p>
        </w:tc>
      </w:tr>
      <w:tr>
        <w:trPr>
          <w:trHeight w:val="176"/>
        </w:trPr>
        <w:tc>
          <w:tcPr>
            <w:tcW w:w="2240" w:type="dxa"/>
            <w:vAlign w:val="bottom"/>
          </w:tcPr>
          <w:p>
            <w:pPr>
              <w:jc w:val="center"/>
              <w:spacing w:after="0" w:line="176" w:lineRule="exact"/>
              <w:rPr>
                <w:sz w:val="20"/>
                <w:szCs w:val="20"/>
                <w:color w:val="auto"/>
              </w:rPr>
            </w:pPr>
            <w:r>
              <w:rPr>
                <w:rFonts w:ascii="Arial" w:cs="Arial" w:eastAsia="Arial" w:hAnsi="Arial"/>
                <w:sz w:val="18"/>
                <w:szCs w:val="18"/>
                <w:color w:val="auto"/>
                <w:w w:val="92"/>
              </w:rPr>
              <w:t>(State or other jurisdiction of</w:t>
            </w:r>
          </w:p>
        </w:tc>
        <w:tc>
          <w:tcPr>
            <w:tcW w:w="5640" w:type="dxa"/>
            <w:vAlign w:val="bottom"/>
          </w:tcPr>
          <w:p>
            <w:pPr>
              <w:jc w:val="center"/>
              <w:ind w:left="3874"/>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24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640" w:type="dxa"/>
            <w:vAlign w:val="bottom"/>
          </w:tcPr>
          <w:p>
            <w:pPr>
              <w:jc w:val="center"/>
              <w:ind w:left="3874"/>
              <w:spacing w:after="0"/>
              <w:rPr>
                <w:sz w:val="20"/>
                <w:szCs w:val="20"/>
                <w:color w:val="auto"/>
              </w:rPr>
            </w:pPr>
            <w:r>
              <w:rPr>
                <w:rFonts w:ascii="Arial" w:cs="Arial" w:eastAsia="Arial" w:hAnsi="Arial"/>
                <w:sz w:val="18"/>
                <w:szCs w:val="18"/>
                <w:color w:val="auto"/>
                <w:w w:val="95"/>
              </w:rPr>
              <w:t>Identification Number)</w:t>
            </w:r>
          </w:p>
        </w:tc>
      </w:tr>
      <w:tr>
        <w:trPr>
          <w:trHeight w:val="494"/>
        </w:trPr>
        <w:tc>
          <w:tcPr>
            <w:tcW w:w="2240" w:type="dxa"/>
            <w:vAlign w:val="bottom"/>
          </w:tcPr>
          <w:p>
            <w:pPr>
              <w:spacing w:after="0"/>
              <w:rPr>
                <w:sz w:val="24"/>
                <w:szCs w:val="24"/>
                <w:color w:val="auto"/>
              </w:rPr>
            </w:pPr>
          </w:p>
        </w:tc>
        <w:tc>
          <w:tcPr>
            <w:tcW w:w="5640" w:type="dxa"/>
            <w:vAlign w:val="bottom"/>
          </w:tcPr>
          <w:p>
            <w:pPr>
              <w:jc w:val="center"/>
              <w:ind w:right="1994"/>
              <w:spacing w:after="0"/>
              <w:rPr>
                <w:sz w:val="20"/>
                <w:szCs w:val="20"/>
                <w:color w:val="auto"/>
              </w:rPr>
            </w:pPr>
            <w:r>
              <w:rPr>
                <w:rFonts w:ascii="Arial" w:cs="Arial" w:eastAsia="Arial" w:hAnsi="Arial"/>
                <w:sz w:val="18"/>
                <w:szCs w:val="18"/>
                <w:b w:val="1"/>
                <w:bCs w:val="1"/>
                <w:color w:val="auto"/>
                <w:w w:val="93"/>
              </w:rPr>
              <w:t>900 Main Campus Drive</w:t>
            </w:r>
          </w:p>
        </w:tc>
      </w:tr>
      <w:tr>
        <w:trPr>
          <w:trHeight w:val="225"/>
        </w:trPr>
        <w:tc>
          <w:tcPr>
            <w:tcW w:w="2240" w:type="dxa"/>
            <w:vAlign w:val="bottom"/>
          </w:tcPr>
          <w:p>
            <w:pPr>
              <w:spacing w:after="0"/>
              <w:rPr>
                <w:sz w:val="19"/>
                <w:szCs w:val="19"/>
                <w:color w:val="auto"/>
              </w:rPr>
            </w:pPr>
          </w:p>
        </w:tc>
        <w:tc>
          <w:tcPr>
            <w:tcW w:w="5640" w:type="dxa"/>
            <w:vAlign w:val="bottom"/>
          </w:tcPr>
          <w:p>
            <w:pPr>
              <w:jc w:val="center"/>
              <w:ind w:right="1994"/>
              <w:spacing w:after="0"/>
              <w:rPr>
                <w:sz w:val="20"/>
                <w:szCs w:val="20"/>
                <w:color w:val="auto"/>
              </w:rPr>
            </w:pPr>
            <w:r>
              <w:rPr>
                <w:rFonts w:ascii="Arial" w:cs="Arial" w:eastAsia="Arial" w:hAnsi="Arial"/>
                <w:sz w:val="18"/>
                <w:szCs w:val="18"/>
                <w:b w:val="1"/>
                <w:bCs w:val="1"/>
                <w:color w:val="auto"/>
                <w:w w:val="92"/>
              </w:rPr>
              <w:t>Raleigh, NC 27606</w:t>
            </w:r>
          </w:p>
        </w:tc>
      </w:tr>
      <w:tr>
        <w:trPr>
          <w:trHeight w:val="206"/>
        </w:trPr>
        <w:tc>
          <w:tcPr>
            <w:tcW w:w="2240" w:type="dxa"/>
            <w:vAlign w:val="bottom"/>
          </w:tcPr>
          <w:p>
            <w:pPr>
              <w:spacing w:after="0"/>
              <w:rPr>
                <w:sz w:val="17"/>
                <w:szCs w:val="17"/>
                <w:color w:val="auto"/>
              </w:rPr>
            </w:pPr>
          </w:p>
        </w:tc>
        <w:tc>
          <w:tcPr>
            <w:tcW w:w="5640" w:type="dxa"/>
            <w:vAlign w:val="bottom"/>
          </w:tcPr>
          <w:p>
            <w:pPr>
              <w:jc w:val="center"/>
              <w:ind w:right="1994"/>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88"/>
        </w:trPr>
        <w:tc>
          <w:tcPr>
            <w:tcW w:w="2240" w:type="dxa"/>
            <w:vAlign w:val="bottom"/>
          </w:tcPr>
          <w:p>
            <w:pPr>
              <w:spacing w:after="0"/>
              <w:rPr>
                <w:sz w:val="24"/>
                <w:szCs w:val="24"/>
                <w:color w:val="auto"/>
              </w:rPr>
            </w:pPr>
          </w:p>
        </w:tc>
        <w:tc>
          <w:tcPr>
            <w:tcW w:w="5640" w:type="dxa"/>
            <w:vAlign w:val="bottom"/>
          </w:tcPr>
          <w:p>
            <w:pPr>
              <w:jc w:val="right"/>
              <w:ind w:right="3214"/>
              <w:spacing w:after="0"/>
              <w:rPr>
                <w:sz w:val="20"/>
                <w:szCs w:val="20"/>
                <w:color w:val="auto"/>
              </w:rPr>
            </w:pPr>
            <w:r>
              <w:rPr>
                <w:rFonts w:ascii="Arial" w:cs="Arial" w:eastAsia="Arial" w:hAnsi="Arial"/>
                <w:sz w:val="18"/>
                <w:szCs w:val="18"/>
                <w:b w:val="1"/>
                <w:bCs w:val="1"/>
                <w:color w:val="auto"/>
              </w:rPr>
              <w:t>(800) 808-5150</w:t>
            </w:r>
          </w:p>
        </w:tc>
      </w:tr>
      <w:tr>
        <w:trPr>
          <w:trHeight w:val="206"/>
        </w:trPr>
        <w:tc>
          <w:tcPr>
            <w:tcW w:w="2240" w:type="dxa"/>
            <w:vAlign w:val="bottom"/>
          </w:tcPr>
          <w:p>
            <w:pPr>
              <w:spacing w:after="0"/>
              <w:rPr>
                <w:sz w:val="17"/>
                <w:szCs w:val="17"/>
                <w:color w:val="auto"/>
              </w:rPr>
            </w:pPr>
          </w:p>
        </w:tc>
        <w:tc>
          <w:tcPr>
            <w:tcW w:w="5640" w:type="dxa"/>
            <w:vAlign w:val="bottom"/>
          </w:tcPr>
          <w:p>
            <w:pPr>
              <w:jc w:val="center"/>
              <w:ind w:right="1994"/>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27"/>
        </w:trPr>
        <w:tc>
          <w:tcPr>
            <w:tcW w:w="2240" w:type="dxa"/>
            <w:vAlign w:val="bottom"/>
          </w:tcPr>
          <w:p>
            <w:pPr>
              <w:spacing w:after="0"/>
              <w:rPr>
                <w:sz w:val="19"/>
                <w:szCs w:val="19"/>
                <w:color w:val="auto"/>
              </w:rPr>
            </w:pPr>
          </w:p>
        </w:tc>
        <w:tc>
          <w:tcPr>
            <w:tcW w:w="5640" w:type="dxa"/>
            <w:vAlign w:val="bottom"/>
          </w:tcPr>
          <w:p>
            <w:pPr>
              <w:jc w:val="right"/>
              <w:ind w:right="2534"/>
              <w:spacing w:after="0"/>
              <w:rPr>
                <w:sz w:val="20"/>
                <w:szCs w:val="20"/>
                <w:color w:val="auto"/>
              </w:rPr>
            </w:pPr>
            <w:r>
              <w:rPr>
                <w:rFonts w:ascii="Arial" w:cs="Arial" w:eastAsia="Arial" w:hAnsi="Arial"/>
                <w:sz w:val="11"/>
                <w:szCs w:val="11"/>
                <w:b w:val="1"/>
                <w:bCs w:val="1"/>
                <w:color w:val="auto"/>
              </w:rPr>
              <w:t>______________________________________________</w:t>
            </w:r>
          </w:p>
        </w:tc>
      </w:tr>
    </w:tbl>
    <w:p>
      <w:pPr>
        <w:spacing w:after="0" w:line="174"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 No o</w:t>
      </w:r>
    </w:p>
    <w:p>
      <w:pPr>
        <w:spacing w:after="0" w:line="222" w:lineRule="exact"/>
        <w:rPr>
          <w:sz w:val="24"/>
          <w:szCs w:val="24"/>
          <w:color w:val="auto"/>
        </w:rPr>
      </w:pPr>
    </w:p>
    <w:p>
      <w:pPr>
        <w:jc w:val="both"/>
        <w:spacing w:after="0" w:line="297"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 No o</w:t>
      </w:r>
    </w:p>
    <w:p>
      <w:pPr>
        <w:spacing w:after="0" w:line="13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960"/>
              <w:spacing w:after="0"/>
              <w:rPr>
                <w:sz w:val="20"/>
                <w:szCs w:val="20"/>
                <w:color w:val="auto"/>
              </w:rPr>
            </w:pPr>
            <w:r>
              <w:rPr>
                <w:rFonts w:ascii="Arial" w:cs="Arial" w:eastAsia="Arial" w:hAnsi="Arial"/>
                <w:sz w:val="18"/>
                <w:szCs w:val="18"/>
                <w:color w:val="auto"/>
              </w:rPr>
              <w:t>o</w:t>
            </w:r>
          </w:p>
        </w:tc>
        <w:tc>
          <w:tcPr>
            <w:tcW w:w="4700" w:type="dxa"/>
            <w:vAlign w:val="bottom"/>
          </w:tcPr>
          <w:p>
            <w:pPr>
              <w:ind w:left="1980"/>
              <w:spacing w:after="0"/>
              <w:rPr>
                <w:sz w:val="20"/>
                <w:szCs w:val="20"/>
                <w:color w:val="auto"/>
              </w:rPr>
            </w:pPr>
            <w:r>
              <w:rPr>
                <w:rFonts w:ascii="Arial" w:cs="Arial" w:eastAsia="Arial" w:hAnsi="Arial"/>
                <w:sz w:val="16"/>
                <w:szCs w:val="16"/>
                <w:color w:val="auto"/>
              </w:rPr>
              <w:t>Accelerated filer</w:t>
            </w:r>
          </w:p>
        </w:tc>
        <w:tc>
          <w:tcPr>
            <w:tcW w:w="1040" w:type="dxa"/>
            <w:vAlign w:val="bottom"/>
          </w:tcPr>
          <w:p>
            <w:pPr>
              <w:ind w:left="940"/>
              <w:spacing w:after="0"/>
              <w:rPr>
                <w:sz w:val="20"/>
                <w:szCs w:val="20"/>
                <w:color w:val="auto"/>
              </w:rPr>
            </w:pPr>
            <w:r>
              <w:rPr>
                <w:rFonts w:ascii="Arial" w:cs="Arial" w:eastAsia="Arial" w:hAnsi="Arial"/>
                <w:sz w:val="18"/>
                <w:szCs w:val="18"/>
                <w:color w:val="auto"/>
                <w:w w:val="79"/>
              </w:rPr>
              <w:t>o</w:t>
            </w:r>
          </w:p>
        </w:tc>
      </w:t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960"/>
              <w:spacing w:after="0"/>
              <w:rPr>
                <w:sz w:val="20"/>
                <w:szCs w:val="20"/>
                <w:color w:val="auto"/>
              </w:rPr>
            </w:pPr>
            <w:r>
              <w:rPr>
                <w:rFonts w:ascii="Arial" w:cs="Arial" w:eastAsia="Arial" w:hAnsi="Arial"/>
                <w:sz w:val="18"/>
                <w:szCs w:val="18"/>
                <w:color w:val="auto"/>
              </w:rPr>
              <w:t>x</w:t>
            </w:r>
          </w:p>
        </w:tc>
        <w:tc>
          <w:tcPr>
            <w:tcW w:w="4700" w:type="dxa"/>
            <w:vAlign w:val="bottom"/>
          </w:tcPr>
          <w:p>
            <w:pPr>
              <w:ind w:left="1980"/>
              <w:spacing w:after="0"/>
              <w:rPr>
                <w:sz w:val="20"/>
                <w:szCs w:val="20"/>
                <w:color w:val="auto"/>
              </w:rPr>
            </w:pPr>
            <w:r>
              <w:rPr>
                <w:rFonts w:ascii="Arial" w:cs="Arial" w:eastAsia="Arial" w:hAnsi="Arial"/>
                <w:sz w:val="16"/>
                <w:szCs w:val="16"/>
                <w:color w:val="auto"/>
              </w:rPr>
              <w:t>Smaller reporting company</w:t>
            </w:r>
          </w:p>
        </w:tc>
        <w:tc>
          <w:tcPr>
            <w:tcW w:w="1040" w:type="dxa"/>
            <w:vAlign w:val="bottom"/>
          </w:tcPr>
          <w:p>
            <w:pPr>
              <w:ind w:left="940"/>
              <w:spacing w:after="0"/>
              <w:rPr>
                <w:sz w:val="20"/>
                <w:szCs w:val="20"/>
                <w:color w:val="auto"/>
              </w:rPr>
            </w:pPr>
            <w:r>
              <w:rPr>
                <w:rFonts w:ascii="Arial" w:cs="Arial" w:eastAsia="Arial" w:hAnsi="Arial"/>
                <w:sz w:val="18"/>
                <w:szCs w:val="18"/>
                <w:color w:val="auto"/>
                <w:w w:val="79"/>
              </w:rPr>
              <w:t>o</w:t>
            </w:r>
          </w:p>
        </w:tc>
      </w:tr>
      <w:tr>
        <w:trPr>
          <w:trHeight w:val="230"/>
        </w:trPr>
        <w:tc>
          <w:tcPr>
            <w:tcW w:w="2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00" w:type="dxa"/>
            <w:vAlign w:val="bottom"/>
          </w:tcPr>
          <w:p>
            <w:pPr>
              <w:ind w:left="1980"/>
              <w:spacing w:after="0"/>
              <w:rPr>
                <w:sz w:val="20"/>
                <w:szCs w:val="20"/>
                <w:color w:val="auto"/>
              </w:rPr>
            </w:pPr>
            <w:r>
              <w:rPr>
                <w:rFonts w:ascii="Arial" w:cs="Arial" w:eastAsia="Arial" w:hAnsi="Arial"/>
                <w:sz w:val="16"/>
                <w:szCs w:val="16"/>
                <w:color w:val="auto"/>
              </w:rPr>
              <w:t>Emerging growth company</w:t>
            </w:r>
          </w:p>
        </w:tc>
        <w:tc>
          <w:tcPr>
            <w:tcW w:w="1040" w:type="dxa"/>
            <w:vAlign w:val="bottom"/>
          </w:tcPr>
          <w:p>
            <w:pPr>
              <w:ind w:left="940"/>
              <w:spacing w:after="0"/>
              <w:rPr>
                <w:sz w:val="20"/>
                <w:szCs w:val="20"/>
                <w:color w:val="auto"/>
              </w:rPr>
            </w:pPr>
            <w:r>
              <w:rPr>
                <w:rFonts w:ascii="Arial" w:cs="Arial" w:eastAsia="Arial" w:hAnsi="Arial"/>
                <w:sz w:val="18"/>
                <w:szCs w:val="18"/>
                <w:color w:val="auto"/>
                <w:w w:val="88"/>
              </w:rPr>
              <w:t>x</w:t>
            </w:r>
          </w:p>
        </w:tc>
      </w:tr>
    </w:tbl>
    <w:p>
      <w:pPr>
        <w:spacing w:after="0" w:line="341" w:lineRule="exact"/>
        <w:rPr>
          <w:sz w:val="24"/>
          <w:szCs w:val="24"/>
          <w:color w:val="auto"/>
        </w:rPr>
      </w:pPr>
    </w:p>
    <w:p>
      <w:pPr>
        <w:spacing w:after="0" w:line="267"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 No x</w:t>
      </w:r>
    </w:p>
    <w:p>
      <w:pPr>
        <w:spacing w:after="0" w:line="257"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22, 2018, 12,655,226 shares of the registrant’s Class A common stock and 6,699,691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20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0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20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gridSpan w:val="10"/>
          </w:tcPr>
          <w:p>
            <w:pPr>
              <w:jc w:val="center"/>
              <w:ind w:right="2780"/>
              <w:spacing w:after="0"/>
              <w:rPr>
                <w:sz w:val="20"/>
                <w:szCs w:val="20"/>
                <w:color w:val="auto"/>
              </w:rPr>
            </w:pPr>
            <w:r>
              <w:rPr>
                <w:rFonts w:ascii="Arial" w:cs="Arial" w:eastAsia="Arial" w:hAnsi="Arial"/>
                <w:sz w:val="22"/>
                <w:szCs w:val="22"/>
                <w:b w:val="1"/>
                <w:bCs w:val="1"/>
                <w:color w:val="auto"/>
              </w:rPr>
              <w:t>BANDWIDTH INC.</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580" w:type="dxa"/>
            <w:vAlign w:val="bottom"/>
            <w:gridSpan w:val="10"/>
          </w:tcPr>
          <w:p>
            <w:pPr>
              <w:jc w:val="center"/>
              <w:ind w:right="2840"/>
              <w:spacing w:after="0"/>
              <w:rPr>
                <w:sz w:val="20"/>
                <w:szCs w:val="20"/>
                <w:color w:val="auto"/>
              </w:rPr>
            </w:pPr>
            <w:r>
              <w:rPr>
                <w:rFonts w:ascii="Arial" w:cs="Arial" w:eastAsia="Arial" w:hAnsi="Arial"/>
                <w:sz w:val="18"/>
                <w:szCs w:val="18"/>
                <w:b w:val="1"/>
                <w:bCs w:val="1"/>
                <w:color w:val="auto"/>
                <w:w w:val="94"/>
              </w:rPr>
              <w:t>Quarterly Report on Form 10-Q</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80" w:type="dxa"/>
            <w:vAlign w:val="bottom"/>
            <w:gridSpan w:val="11"/>
          </w:tcPr>
          <w:p>
            <w:pPr>
              <w:jc w:val="center"/>
              <w:ind w:right="2680"/>
              <w:spacing w:after="0"/>
              <w:rPr>
                <w:sz w:val="20"/>
                <w:szCs w:val="20"/>
                <w:color w:val="auto"/>
              </w:rPr>
            </w:pPr>
            <w:r>
              <w:rPr>
                <w:rFonts w:ascii="Arial" w:cs="Arial" w:eastAsia="Arial" w:hAnsi="Arial"/>
                <w:sz w:val="18"/>
                <w:szCs w:val="18"/>
                <w:b w:val="1"/>
                <w:bCs w:val="1"/>
                <w:color w:val="auto"/>
                <w:w w:val="91"/>
              </w:rPr>
              <w:t>For the Three Months Ended September 30, 2018</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58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color w:val="auto"/>
              </w:rPr>
              <w:t>Page</w:t>
            </w:r>
          </w:p>
        </w:tc>
      </w:tr>
      <w:tr>
        <w:trPr>
          <w:trHeight w:val="183"/>
        </w:trPr>
        <w:tc>
          <w:tcPr>
            <w:tcW w:w="10380" w:type="dxa"/>
            <w:vAlign w:val="bottom"/>
            <w:gridSpan w:val="23"/>
          </w:tcPr>
          <w:p>
            <w:pPr>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 Looking Statement</w:t>
              </w:r>
            </w:hyperlink>
          </w:p>
        </w:tc>
        <w:tc>
          <w:tcPr>
            <w:tcW w:w="980" w:type="dxa"/>
            <w:vAlign w:val="bottom"/>
            <w:gridSpan w:val="4"/>
          </w:tcPr>
          <w:p>
            <w:pPr>
              <w:jc w:val="right"/>
              <w:ind w:right="20"/>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40" w:type="dxa"/>
            <w:vAlign w:val="bottom"/>
            <w:gridSpan w:val="13"/>
          </w:tcPr>
          <w:p>
            <w:pPr>
              <w:jc w:val="center"/>
              <w:ind w:right="316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480" w:type="dxa"/>
            <w:vAlign w:val="bottom"/>
            <w:gridSpan w:val="2"/>
          </w:tcPr>
          <w:p>
            <w:pPr>
              <w:spacing w:after="0"/>
              <w:rPr>
                <w:sz w:val="24"/>
                <w:szCs w:val="24"/>
                <w:color w:val="auto"/>
              </w:rPr>
            </w:pPr>
          </w:p>
        </w:tc>
        <w:tc>
          <w:tcPr>
            <w:tcW w:w="150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1060" w:type="dxa"/>
            <w:vAlign w:val="bottom"/>
            <w:gridSpan w:val="3"/>
          </w:tcPr>
          <w:p>
            <w:pPr>
              <w:spacing w:after="0"/>
              <w:rPr>
                <w:sz w:val="24"/>
                <w:szCs w:val="24"/>
                <w:color w:val="auto"/>
              </w:rPr>
            </w:pPr>
          </w:p>
        </w:tc>
        <w:tc>
          <w:tcPr>
            <w:tcW w:w="3240" w:type="dxa"/>
            <w:vAlign w:val="bottom"/>
            <w:tcBorders>
              <w:top w:val="single" w:sz="8" w:color="0000FF"/>
            </w:tcBorders>
            <w:gridSpan w:val="7"/>
          </w:tcPr>
          <w:p>
            <w:pPr>
              <w:spacing w:after="0"/>
              <w:rPr>
                <w:sz w:val="24"/>
                <w:szCs w:val="24"/>
                <w:color w:val="auto"/>
              </w:rPr>
            </w:pPr>
          </w:p>
        </w:tc>
        <w:tc>
          <w:tcPr>
            <w:tcW w:w="358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Condensed Consolidated Balance Sheets as of December 31, 2017 and September 30, 2018</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Unaudited Condensed Consolidated Statements of Operations and Comprehensive Income for the Three and Nine Months Ended</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September 30, 2017 and 2018</w:t>
              </w:r>
            </w:hyperlink>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Unaudited Condensed Consolidated Statements of Cash Flows for the Nine months ended September 30, 2017 and 2018</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6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720" w:type="dxa"/>
            <w:vAlign w:val="bottom"/>
            <w:gridSpan w:val="2"/>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2.</w:t>
              </w:r>
            </w:hyperlink>
          </w:p>
        </w:tc>
        <w:tc>
          <w:tcPr>
            <w:tcW w:w="480" w:type="dxa"/>
            <w:vAlign w:val="bottom"/>
            <w:gridSpan w:val="2"/>
          </w:tcPr>
          <w:p>
            <w:pPr>
              <w:spacing w:after="0"/>
              <w:rPr>
                <w:sz w:val="18"/>
                <w:szCs w:val="18"/>
                <w:color w:val="auto"/>
              </w:rPr>
            </w:pPr>
          </w:p>
        </w:tc>
        <w:tc>
          <w:tcPr>
            <w:tcW w:w="6440" w:type="dxa"/>
            <w:vAlign w:val="bottom"/>
            <w:gridSpan w:val="16"/>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Management's Discussion and Analysis of Financial Condition and Results of Operations</w:t>
              </w:r>
            </w:hyperlink>
          </w:p>
        </w:tc>
        <w:tc>
          <w:tcPr>
            <w:tcW w:w="294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3.</w:t>
              </w:r>
            </w:hyperlink>
          </w:p>
        </w:tc>
        <w:tc>
          <w:tcPr>
            <w:tcW w:w="120" w:type="dxa"/>
            <w:vAlign w:val="bottom"/>
            <w:tcBorders>
              <w:bottom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Quantitative and Qualitative Disclosures About Market Risk</w:t>
              </w:r>
            </w:hyperlink>
          </w:p>
        </w:tc>
        <w:tc>
          <w:tcPr>
            <w:tcW w:w="2080" w:type="dxa"/>
            <w:vAlign w:val="bottom"/>
            <w:gridSpan w:val="4"/>
          </w:tcPr>
          <w:p>
            <w:pPr>
              <w:spacing w:after="0"/>
              <w:rPr>
                <w:sz w:val="18"/>
                <w:szCs w:val="18"/>
                <w:color w:val="auto"/>
              </w:rPr>
            </w:pPr>
          </w:p>
        </w:tc>
        <w:tc>
          <w:tcPr>
            <w:tcW w:w="294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10"/>
        </w:trPr>
        <w:tc>
          <w:tcPr>
            <w:tcW w:w="100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9380" w:type="dxa"/>
            <w:vAlign w:val="bottom"/>
            <w:gridSpan w:val="2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 — OTHER INFORMATION</w:t>
              </w:r>
            </w:hyperlink>
          </w:p>
        </w:tc>
        <w:tc>
          <w:tcPr>
            <w:tcW w:w="372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480" w:type="dxa"/>
            <w:vAlign w:val="bottom"/>
            <w:gridSpan w:val="2"/>
          </w:tcPr>
          <w:p>
            <w:pPr>
              <w:spacing w:after="0"/>
              <w:rPr>
                <w:sz w:val="21"/>
                <w:szCs w:val="21"/>
                <w:color w:val="auto"/>
              </w:rPr>
            </w:pPr>
          </w:p>
        </w:tc>
        <w:tc>
          <w:tcPr>
            <w:tcW w:w="9380" w:type="dxa"/>
            <w:vAlign w:val="bottom"/>
            <w:gridSpan w:val="2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1A.</w:t>
              </w:r>
            </w:hyperlink>
          </w:p>
        </w:tc>
        <w:tc>
          <w:tcPr>
            <w:tcW w:w="9380" w:type="dxa"/>
            <w:vAlign w:val="bottom"/>
            <w:gridSpan w:val="2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Risk Factors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Item 2.</w:t>
              </w:r>
            </w:hyperlink>
          </w:p>
        </w:tc>
        <w:tc>
          <w:tcPr>
            <w:tcW w:w="36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Unregistered Sales of Equity Securities and Use of Proceeds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79">
              <w:r>
                <w:rPr>
                  <w:rFonts w:ascii="Arial" w:cs="Arial" w:eastAsia="Arial" w:hAnsi="Arial"/>
                  <w:sz w:val="18"/>
                  <w:szCs w:val="18"/>
                  <w:color w:val="0000FF"/>
                </w:rPr>
                <w:t>78</w:t>
              </w:r>
            </w:hyperlink>
          </w:p>
        </w:tc>
      </w:tr>
      <w:tr>
        <w:trPr>
          <w:trHeight w:val="21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Item 6.</w:t>
              </w:r>
            </w:hyperlink>
          </w:p>
        </w:tc>
        <w:tc>
          <w:tcPr>
            <w:tcW w:w="480" w:type="dxa"/>
            <w:vAlign w:val="bottom"/>
            <w:tcBorders>
              <w:top w:val="single" w:sz="8" w:color="0000FF"/>
            </w:tcBorders>
            <w:gridSpan w:val="2"/>
          </w:tcPr>
          <w:p>
            <w:pPr>
              <w:spacing w:after="0"/>
              <w:rPr>
                <w:sz w:val="18"/>
                <w:szCs w:val="18"/>
                <w:color w:val="auto"/>
              </w:rPr>
            </w:pPr>
          </w:p>
        </w:tc>
        <w:tc>
          <w:tcPr>
            <w:tcW w:w="600" w:type="dxa"/>
            <w:vAlign w:val="bottom"/>
            <w:tcBorders>
              <w:top w:val="single" w:sz="8" w:color="0000FF"/>
            </w:tcBorders>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Exhibits</w:t>
              </w:r>
            </w:hyperlink>
          </w:p>
        </w:tc>
        <w:tc>
          <w:tcPr>
            <w:tcW w:w="3740" w:type="dxa"/>
            <w:vAlign w:val="bottom"/>
            <w:tcBorders>
              <w:top w:val="single" w:sz="8" w:color="0000FF"/>
            </w:tcBorders>
            <w:gridSpan w:val="10"/>
          </w:tcPr>
          <w:p>
            <w:pPr>
              <w:spacing w:after="0"/>
              <w:rPr>
                <w:sz w:val="18"/>
                <w:szCs w:val="18"/>
                <w:color w:val="auto"/>
              </w:rPr>
            </w:pPr>
          </w:p>
        </w:tc>
        <w:tc>
          <w:tcPr>
            <w:tcW w:w="504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78</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2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spacing w:after="0"/>
              <w:rPr>
                <w:rFonts w:ascii="Arial" w:cs="Arial" w:eastAsia="Arial" w:hAnsi="Arial"/>
                <w:sz w:val="18"/>
                <w:szCs w:val="18"/>
                <w:color w:val="0000FF"/>
                <w:w w:val="85"/>
              </w:rPr>
            </w:pPr>
            <w:hyperlink w:anchor="page80">
              <w:r>
                <w:rPr>
                  <w:rFonts w:ascii="Arial" w:cs="Arial" w:eastAsia="Arial" w:hAnsi="Arial"/>
                  <w:sz w:val="18"/>
                  <w:szCs w:val="18"/>
                  <w:color w:val="0000FF"/>
                  <w:w w:val="85"/>
                </w:rPr>
                <w:t>Signatures</w:t>
              </w:r>
            </w:hyperlink>
          </w:p>
        </w:tc>
        <w:tc>
          <w:tcPr>
            <w:tcW w:w="8620" w:type="dxa"/>
            <w:vAlign w:val="bottom"/>
            <w:gridSpan w:val="18"/>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80</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21"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39" w:lineRule="exact"/>
        <w:rPr>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and retain customers, including large enterprises;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approach to identifying, attracting and keeping new and existing customers, as well as our expectations regarding customer turnover;</w:t>
      </w:r>
    </w:p>
    <w:p>
      <w:pPr>
        <w:spacing w:after="0" w:line="184" w:lineRule="exact"/>
        <w:rPr>
          <w:rFonts w:ascii="Arial" w:cs="Arial" w:eastAsia="Arial" w:hAnsi="Arial"/>
          <w:sz w:val="18"/>
          <w:szCs w:val="18"/>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network traffic growth and other trends related to the usage of our products and services;</w:t>
      </w:r>
    </w:p>
    <w:p>
      <w:pPr>
        <w:spacing w:after="0" w:line="161" w:lineRule="exact"/>
        <w:rPr>
          <w:rFonts w:ascii="Arial" w:cs="Arial" w:eastAsia="Arial" w:hAnsi="Arial"/>
          <w:sz w:val="20"/>
          <w:szCs w:val="20"/>
          <w:color w:val="auto"/>
        </w:rPr>
      </w:pPr>
    </w:p>
    <w:p>
      <w:pPr>
        <w:ind w:left="660" w:right="20" w:hanging="328"/>
        <w:spacing w:after="0" w:line="260" w:lineRule="auto"/>
        <w:tabs>
          <w:tab w:leader="none" w:pos="468"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revenue, costs, expenses, gross margin, dollar based net retention rate, adjusted EBITDA, Non-GAAP net income and capital expenditures;</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growth of our business and how that impacts our liquidity and capital resources requirements;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sufficiency of our cash and cash equivalents to meet our liquidity needs;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train, and retain qualified employees and key personnel;</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expense and productivity of and competition for our sales force;</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headcount;</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maintain and benefit from our corporate culture;</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plans to further invest in and grow our business, and our ability to effectively manage our growth and associated investments;</w:t>
      </w:r>
    </w:p>
    <w:p>
      <w:pPr>
        <w:spacing w:after="0" w:line="173" w:lineRule="exact"/>
        <w:rPr>
          <w:rFonts w:ascii="Arial" w:cs="Arial" w:eastAsia="Arial" w:hAnsi="Arial"/>
          <w:sz w:val="19"/>
          <w:szCs w:val="19"/>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introduce new products and services and enhance existing products and services;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compete successfully against current and future competitors;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evolution of technology affecting our products, services and markets;</w:t>
      </w:r>
    </w:p>
    <w:p>
      <w:pPr>
        <w:spacing w:after="0" w:line="161" w:lineRule="exact"/>
        <w:rPr>
          <w:rFonts w:ascii="Arial" w:cs="Arial" w:eastAsia="Arial" w:hAnsi="Arial"/>
          <w:sz w:val="20"/>
          <w:szCs w:val="20"/>
          <w:color w:val="auto"/>
        </w:rPr>
      </w:pPr>
    </w:p>
    <w:p>
      <w:pPr>
        <w:ind w:left="660" w:hanging="328"/>
        <w:spacing w:after="0" w:line="260" w:lineRule="auto"/>
        <w:tabs>
          <w:tab w:leader="none" w:pos="455"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impact of certain new accounting standards and guidance as well as the time and cost of continued compliance with existing rules and standards;</w:t>
      </w:r>
    </w:p>
    <w:p>
      <w:pPr>
        <w:spacing w:after="0" w:line="122" w:lineRule="exact"/>
        <w:rPr>
          <w:rFonts w:ascii="Arial" w:cs="Arial" w:eastAsia="Arial" w:hAnsi="Arial"/>
          <w:sz w:val="20"/>
          <w:szCs w:val="20"/>
          <w:color w:val="auto"/>
        </w:rPr>
      </w:pPr>
    </w:p>
    <w:p>
      <w:pPr>
        <w:ind w:left="660" w:right="20" w:hanging="328"/>
        <w:spacing w:after="0" w:line="260" w:lineRule="auto"/>
        <w:tabs>
          <w:tab w:leader="none" w:pos="482"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use of non-generally accepted accounting principles in the United States of America (“GAAP”) financial measures;</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litigation and other pending or potential disputes;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comply with modified or new laws and regulations; and</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increased expenses associated with being a public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2719"/>
        <w:spacing w:after="0"/>
        <w:rPr>
          <w:sz w:val="20"/>
          <w:szCs w:val="20"/>
          <w:color w:val="auto"/>
        </w:rPr>
      </w:pPr>
      <w:r>
        <w:rPr>
          <w:rFonts w:ascii="Arial" w:cs="Arial" w:eastAsia="Arial" w:hAnsi="Arial"/>
          <w:sz w:val="20"/>
          <w:szCs w:val="20"/>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1"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BANDWIDTH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48,574</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14,936</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23,780</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7,839</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95,129</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21,770</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costs, non-current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6,867</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15,568</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149,093</w:t>
            </w:r>
          </w:p>
        </w:tc>
      </w:tr>
      <w:tr>
        <w:trPr>
          <w:trHeight w:val="27"/>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20,294</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 and advanced billings</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31,640</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6,612</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40,857</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Class A and Class B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102,465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114,778</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108,236</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149,093</w:t>
            </w:r>
          </w:p>
        </w:tc>
      </w:tr>
      <w:tr>
        <w:trPr>
          <w:trHeight w:val="27"/>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BANDWIDTH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2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151,770</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66,431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79,404</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72,366</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0" w:type="dxa"/>
            <w:vAlign w:val="bottom"/>
          </w:tcPr>
          <w:p>
            <w:pPr>
              <w:spacing w:after="0"/>
              <w:rPr>
                <w:sz w:val="1"/>
                <w:szCs w:val="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62,344</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loss on marketable securities, net of income tax benefit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19,213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allocated to participating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11,828,657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19,072,196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11,814,045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18,300,435</w:t>
            </w:r>
          </w:p>
        </w:tc>
        <w:tc>
          <w:tcPr>
            <w:tcW w:w="0" w:type="dxa"/>
            <w:vAlign w:val="bottom"/>
          </w:tcPr>
          <w:p>
            <w:pPr>
              <w:spacing w:after="0"/>
              <w:rPr>
                <w:sz w:val="1"/>
                <w:szCs w:val="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13,252,737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21,146,124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13,487,649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21,065,802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BANDWIDTH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33020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6,570</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19,213</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Accretion of bond discount</w:t>
            </w:r>
          </w:p>
        </w:tc>
        <w:tc>
          <w:tcPr>
            <w:tcW w:w="8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4"/>
        </w:trPr>
        <w:tc>
          <w:tcPr>
            <w:tcW w:w="8620" w:type="dxa"/>
            <w:vAlign w:val="bottom"/>
          </w:tcPr>
          <w:p>
            <w:pPr>
              <w:ind w:left="340"/>
              <w:spacing w:after="0"/>
              <w:rPr>
                <w:sz w:val="20"/>
                <w:szCs w:val="20"/>
                <w:color w:val="auto"/>
              </w:rPr>
            </w:pPr>
            <w:r>
              <w:rPr>
                <w:rFonts w:ascii="Arial" w:cs="Arial" w:eastAsia="Arial" w:hAnsi="Arial"/>
                <w:sz w:val="16"/>
                <w:szCs w:val="16"/>
                <w:color w:val="auto"/>
              </w:rPr>
              <w:t>Amortization of debt issuance costs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24"/>
        </w:trPr>
        <w:tc>
          <w:tcPr>
            <w:tcW w:w="8620" w:type="dxa"/>
            <w:vAlign w:val="bottom"/>
          </w:tcPr>
          <w:p>
            <w:pPr>
              <w:ind w:left="340"/>
              <w:spacing w:after="0"/>
              <w:rPr>
                <w:sz w:val="20"/>
                <w:szCs w:val="20"/>
                <w:color w:val="auto"/>
              </w:rPr>
            </w:pPr>
            <w:r>
              <w:rPr>
                <w:rFonts w:ascii="Arial" w:cs="Arial" w:eastAsia="Arial" w:hAnsi="Arial"/>
                <w:sz w:val="16"/>
                <w:szCs w:val="16"/>
                <w:color w:val="auto"/>
              </w:rPr>
              <w:t>Change in fair value of shareholders’ anti-dilutive arrangement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(9,041)</w:t>
            </w:r>
          </w:p>
        </w:tc>
        <w:tc>
          <w:tcPr>
            <w:tcW w:w="0" w:type="dxa"/>
            <w:vAlign w:val="bottom"/>
          </w:tcPr>
          <w:p>
            <w:pPr>
              <w:spacing w:after="0"/>
              <w:rPr>
                <w:sz w:val="1"/>
                <w:szCs w:val="1"/>
                <w:color w:val="auto"/>
              </w:rPr>
            </w:pPr>
          </w:p>
        </w:tc>
      </w:tr>
      <w:tr>
        <w:trPr>
          <w:trHeight w:val="224"/>
        </w:trPr>
        <w:tc>
          <w:tcPr>
            <w:tcW w:w="8620" w:type="dxa"/>
            <w:vAlign w:val="bottom"/>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2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(2,555)</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24"/>
        </w:trPr>
        <w:tc>
          <w:tcPr>
            <w:tcW w:w="8620" w:type="dxa"/>
            <w:vAlign w:val="bottom"/>
          </w:tcPr>
          <w:p>
            <w:pPr>
              <w:ind w:left="660"/>
              <w:spacing w:after="0"/>
              <w:rPr>
                <w:sz w:val="20"/>
                <w:szCs w:val="20"/>
                <w:color w:val="auto"/>
              </w:rPr>
            </w:pPr>
            <w:r>
              <w:rPr>
                <w:rFonts w:ascii="Arial" w:cs="Arial" w:eastAsia="Arial" w:hAnsi="Arial"/>
                <w:sz w:val="16"/>
                <w:szCs w:val="16"/>
                <w:color w:val="auto"/>
              </w:rPr>
              <w:t>Deferred costs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(3,556)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(2,339)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24"/>
        </w:trPr>
        <w:tc>
          <w:tcPr>
            <w:tcW w:w="8620" w:type="dxa"/>
            <w:vAlign w:val="bottom"/>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revenue and advanced billings</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5,347</w:t>
            </w:r>
          </w:p>
        </w:tc>
        <w:tc>
          <w:tcPr>
            <w:tcW w:w="0" w:type="dxa"/>
            <w:vAlign w:val="bottom"/>
          </w:tcPr>
          <w:p>
            <w:pPr>
              <w:spacing w:after="0"/>
              <w:rPr>
                <w:sz w:val="1"/>
                <w:szCs w:val="1"/>
                <w:color w:val="auto"/>
              </w:rPr>
            </w:pPr>
          </w:p>
        </w:tc>
      </w:tr>
      <w:tr>
        <w:trPr>
          <w:trHeight w:val="217"/>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9,677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24,001</w:t>
            </w: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(2,155)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(4,921)</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(2,586)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(3,511)</w:t>
            </w: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marketable securities</w:t>
            </w:r>
          </w:p>
        </w:tc>
        <w:tc>
          <w:tcPr>
            <w:tcW w:w="8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(23,860)</w:t>
            </w: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color w:val="auto"/>
              </w:rPr>
              <w:t>Maturities of marketable securities</w:t>
            </w:r>
          </w:p>
        </w:tc>
        <w:tc>
          <w:tcPr>
            <w:tcW w:w="8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(23,289)</w:t>
            </w:r>
          </w:p>
        </w:tc>
        <w:tc>
          <w:tcPr>
            <w:tcW w:w="0" w:type="dxa"/>
            <w:vAlign w:val="bottom"/>
          </w:tcPr>
          <w:p>
            <w:pPr>
              <w:spacing w:after="0"/>
              <w:rPr>
                <w:sz w:val="1"/>
                <w:szCs w:val="1"/>
                <w:color w:val="auto"/>
              </w:rPr>
            </w:pPr>
          </w:p>
        </w:tc>
      </w:tr>
      <w:tr>
        <w:trPr>
          <w:trHeight w:val="204"/>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Borrowings on line of credit</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color w:val="auto"/>
              </w:rPr>
              <w:t>Repayments on line of credit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(9,000)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on capital leases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color w:val="auto"/>
              </w:rPr>
              <w:t>Repayments on term loan</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 of costs related to the initial public offering</w:t>
            </w:r>
          </w:p>
        </w:tc>
        <w:tc>
          <w:tcPr>
            <w:tcW w:w="8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color w:val="auto"/>
              </w:rPr>
              <w:t>Proceeds from issuances of common stock</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10,584</w:t>
            </w: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10,225</w:t>
            </w:r>
          </w:p>
        </w:tc>
        <w:tc>
          <w:tcPr>
            <w:tcW w:w="0" w:type="dxa"/>
            <w:vAlign w:val="bottom"/>
          </w:tcPr>
          <w:p>
            <w:pPr>
              <w:spacing w:after="0"/>
              <w:rPr>
                <w:sz w:val="1"/>
                <w:szCs w:val="1"/>
                <w:color w:val="auto"/>
              </w:rPr>
            </w:pPr>
          </w:p>
        </w:tc>
      </w:tr>
      <w:tr>
        <w:trPr>
          <w:trHeight w:val="217"/>
        </w:trPr>
        <w:tc>
          <w:tcPr>
            <w:tcW w:w="862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8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(1,436)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10,937</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37,870</w:t>
            </w:r>
          </w:p>
        </w:tc>
        <w:tc>
          <w:tcPr>
            <w:tcW w:w="0" w:type="dxa"/>
            <w:vAlign w:val="bottom"/>
          </w:tcPr>
          <w:p>
            <w:pPr>
              <w:spacing w:after="0"/>
              <w:rPr>
                <w:sz w:val="1"/>
                <w:szCs w:val="1"/>
                <w:color w:val="auto"/>
              </w:rPr>
            </w:pPr>
          </w:p>
        </w:tc>
      </w:tr>
      <w:tr>
        <w:trPr>
          <w:trHeight w:val="217"/>
        </w:trPr>
        <w:tc>
          <w:tcPr>
            <w:tcW w:w="86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820" w:type="dxa"/>
            <w:vAlign w:val="bottom"/>
            <w:tcBorders>
              <w:top w:val="single" w:sz="8" w:color="auto"/>
            </w:tcBorders>
          </w:tcPr>
          <w:p>
            <w:pPr>
              <w:jc w:val="right"/>
              <w:ind w:right="66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5,592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48,807</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82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 accrued but not paid</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33"/>
        </w:trPr>
        <w:tc>
          <w:tcPr>
            <w:tcW w:w="8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1" w:right="2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Description of Business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w:t>
      </w:r>
    </w:p>
    <w:p>
      <w:pPr>
        <w:spacing w:after="0" w:line="2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200" w:lineRule="exact"/>
        <w:rPr>
          <w:sz w:val="20"/>
          <w:szCs w:val="20"/>
          <w:color w:val="auto"/>
        </w:rPr>
      </w:pPr>
    </w:p>
    <w:p>
      <w:pPr>
        <w:spacing w:after="0" w:line="273" w:lineRule="exact"/>
        <w:rPr>
          <w:sz w:val="20"/>
          <w:szCs w:val="20"/>
          <w:color w:val="auto"/>
        </w:rPr>
      </w:pPr>
    </w:p>
    <w:p>
      <w:pPr>
        <w:ind w:left="500" w:right="7500" w:hanging="492"/>
        <w:spacing w:after="0" w:line="503" w:lineRule="auto"/>
        <w:tabs>
          <w:tab w:leader="none" w:pos="212"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accompanying unaudited condensed consolidated financial statements have been prepared in accordance with generally accepted accounting principles in the United States of America (“GAAP”)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Annual Report on Form 10-K filed with the SEC on February 26, 2018.</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condensed consolidated balance sheet as of December 31, 2017, included herein, was derived from the audited financial statements as of that date, but does not include all disclosures including certain notes required by GAAP on an annual reporting basis. Additionally, certain items in the prior period financial statements have been reclassified to conform with the current year presentation.</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income and cash flows for the interim periods, but are not necessarily indicative of the results of operations to be anticipated for the full year 2018 or any future period.</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Principles of Consolidation</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consolidated financial statements include the accounts of Bandwidth Inc. and its wholly owned subsidiaries.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3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Use of Estimates</w:t>
      </w:r>
    </w:p>
    <w:p>
      <w:pPr>
        <w:spacing w:after="0" w:line="2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preparation of the Company’s consolidated financial statements in conformity with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recoverability of long lived and intangible assets, customer relationship period, valuation allowances on tax assets, certain accrued expenses, and contingencies.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Cash and Cash Equivalents</w:t>
      </w:r>
    </w:p>
    <w:p>
      <w:pPr>
        <w:spacing w:after="0" w:line="26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classifies all highly liquid investments with stated maturities of three months or less from date of purchase as cash equivalents and all highly liquid investments with stated maturities of greater than three months from the date of purchase as current marketable securities.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 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Restricted Cash</w:t>
      </w:r>
    </w:p>
    <w:p>
      <w:pPr>
        <w:spacing w:after="0" w:line="2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nine months ended September 30, 2018:</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820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2017</w:t>
            </w: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48,574</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48,807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nine months ended September 30, 2017:</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820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2016</w:t>
            </w: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8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8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Restricted cash is for Automated Clearing House (“ACH”) availability, customer deposits and for credit card security. The Company has classified this asset as a long-term asset in order to match the expected period of restriction and is included in Other long-term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Concentration of Credit Risk</w:t>
      </w:r>
    </w:p>
    <w:p>
      <w:pPr>
        <w:spacing w:after="0" w:line="2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2017, one customer represented approximately 13% of the Company’s accounts receivable, net of allowance for doubtful accounts. As of September 30, 2018, one customer represented approximately 11% of the Company’s accounts receivable, net of allowance for doubtful accounts.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the three and nine months ended September 30, 2017 and 2018, no individual customer represented more than 10% of the Company’s total revenue.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31F20"/>
        </w:rPr>
        <w:t>In May 20</w:t>
      </w:r>
      <w:r>
        <w:rPr>
          <w:rFonts w:ascii="Arial" w:cs="Arial" w:eastAsia="Arial" w:hAnsi="Arial"/>
          <w:sz w:val="20"/>
          <w:szCs w:val="20"/>
          <w:color w:val="000000"/>
        </w:rPr>
        <w:t>17, the Financial</w:t>
      </w:r>
      <w:r>
        <w:rPr>
          <w:rFonts w:ascii="Arial" w:cs="Arial" w:eastAsia="Arial" w:hAnsi="Arial"/>
          <w:sz w:val="20"/>
          <w:szCs w:val="20"/>
          <w:color w:val="231F20"/>
        </w:rPr>
        <w:t xml:space="preserve"> Accounting Standards Board (“FASB”) issued Accounting Standards Update (“ASU”) 2017-09, </w:t>
      </w:r>
      <w:r>
        <w:rPr>
          <w:rFonts w:ascii="Arial" w:cs="Arial" w:eastAsia="Arial" w:hAnsi="Arial"/>
          <w:sz w:val="20"/>
          <w:szCs w:val="20"/>
          <w:i w:val="1"/>
          <w:iCs w:val="1"/>
          <w:color w:val="231F20"/>
        </w:rPr>
        <w:t>Compensation-Stock Compensation (Topic 718), Scope of Modification Accounting</w:t>
      </w:r>
      <w:r>
        <w:rPr>
          <w:rFonts w:ascii="Arial" w:cs="Arial" w:eastAsia="Arial" w:hAnsi="Arial"/>
          <w:sz w:val="20"/>
          <w:szCs w:val="20"/>
          <w:color w:val="231F20"/>
        </w:rPr>
        <w:t>, which amends the scope of modification accounting for</w:t>
      </w:r>
      <w:r>
        <w:rPr>
          <w:rFonts w:ascii="Arial" w:cs="Arial" w:eastAsia="Arial" w:hAnsi="Arial"/>
          <w:sz w:val="20"/>
          <w:szCs w:val="20"/>
          <w:i w:val="1"/>
          <w:iCs w:val="1"/>
          <w:color w:val="231F20"/>
        </w:rPr>
        <w:t xml:space="preserve"> </w:t>
      </w:r>
      <w:r>
        <w:rPr>
          <w:rFonts w:ascii="Arial" w:cs="Arial" w:eastAsia="Arial" w:hAnsi="Arial"/>
          <w:sz w:val="20"/>
          <w:szCs w:val="20"/>
          <w:color w:val="231F20"/>
        </w:rPr>
        <w:t>share-based payment arrangements. The ASU provides guidance on the types of changes to terms or conditions of share-based payment awards to which an entity would be required to apply modification accounting under ASC 718, Compensation-Stock Compensation. ASU 2017-09 was effective for fiscal years and interim periods within those years beginning after December 15, 2017. The adoption of this standard did not have a material impact on the Company’s financial statements.</w:t>
      </w:r>
    </w:p>
    <w:p>
      <w:pPr>
        <w:spacing w:after="0" w:line="22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31F20"/>
        </w:rPr>
        <w:t xml:space="preserve">In January 2017, the FASB issued ASU 2017-01, </w:t>
      </w:r>
      <w:r>
        <w:rPr>
          <w:rFonts w:ascii="Arial" w:cs="Arial" w:eastAsia="Arial" w:hAnsi="Arial"/>
          <w:sz w:val="18"/>
          <w:szCs w:val="18"/>
          <w:i w:val="1"/>
          <w:iCs w:val="1"/>
          <w:color w:val="231F20"/>
        </w:rPr>
        <w:t>Business Combinations (Topic 805) Clarifying the Definition of a Business</w:t>
      </w:r>
      <w:r>
        <w:rPr>
          <w:rFonts w:ascii="Arial" w:cs="Arial" w:eastAsia="Arial" w:hAnsi="Arial"/>
          <w:sz w:val="18"/>
          <w:szCs w:val="18"/>
          <w:color w:val="231F20"/>
        </w:rPr>
        <w:t>, which amends the guidance of FASB Accounting Standards Codification Topic 805, “Business Combinations,” adding guidance to assist entities with evaluating whether transactions should be accounted for as acquisitions or disposals of assets or businesses. The definition of a business affects many areas of accounting including acquisitions, disposals, goodwill, and consolidation. This guidance was effective for annual and interim periods beginning after December 15, 2017. The impact from the adoption of this standard is dependent upon future transactions.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31F20"/>
        </w:rPr>
        <w:t xml:space="preserve">In November 2016, the FASB issued ASU 2016-18, </w:t>
      </w:r>
      <w:r>
        <w:rPr>
          <w:rFonts w:ascii="Arial" w:cs="Arial" w:eastAsia="Arial" w:hAnsi="Arial"/>
          <w:sz w:val="19"/>
          <w:szCs w:val="19"/>
          <w:i w:val="1"/>
          <w:iCs w:val="1"/>
          <w:color w:val="231F20"/>
        </w:rPr>
        <w:t>Statement of Cash Flows (Topic 230), Restricted Cash</w:t>
      </w:r>
      <w:r>
        <w:rPr>
          <w:rFonts w:ascii="Arial" w:cs="Arial" w:eastAsia="Arial" w:hAnsi="Arial"/>
          <w:sz w:val="19"/>
          <w:szCs w:val="19"/>
          <w:color w:val="231F20"/>
        </w:rPr>
        <w:t>, which requires a statement of cash flows to explain the change during the period in the total of cash, cash equivalents and amounts generally described as restricted cash and restricted cash equivalents when reconciling the beginning-of-period and end-of-period total amounts shown on the statement of cash flows. ASU 2016-18 was effective for fiscal years and interim periods within those fiscal years beginning after December 15, 2017. The adoption of this standard did not have a material impact on the Company’s financial statements.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In November 2016, the FASB issued ASU 2016-16, </w:t>
      </w:r>
      <w:r>
        <w:rPr>
          <w:rFonts w:ascii="Arial" w:cs="Arial" w:eastAsia="Arial" w:hAnsi="Arial"/>
          <w:sz w:val="20"/>
          <w:szCs w:val="20"/>
          <w:i w:val="1"/>
          <w:iCs w:val="1"/>
          <w:color w:val="auto"/>
        </w:rPr>
        <w:t>Intra-Entity Transfers of Assets Other Than Inventory</w:t>
      </w:r>
      <w:r>
        <w:rPr>
          <w:rFonts w:ascii="Arial" w:cs="Arial" w:eastAsia="Arial" w:hAnsi="Arial"/>
          <w:sz w:val="20"/>
          <w:szCs w:val="20"/>
          <w:color w:val="auto"/>
        </w:rPr>
        <w:t>. ASU 2016-16 requires companies to account for the income tax effects of intercompany transfers of assets other than inventory (e.g., intangible assets) when the transfer occurs. This guidance was effective for fiscal years beginning after December 15, 2017. The adoption of this standard did not have a material impact on the Company’s financial statements.</w:t>
      </w:r>
    </w:p>
    <w:p>
      <w:pPr>
        <w:spacing w:after="0" w:line="2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In August 2016, the FASB issued ASU 2016-15, </w:t>
      </w:r>
      <w:r>
        <w:rPr>
          <w:rFonts w:ascii="Arial" w:cs="Arial" w:eastAsia="Arial" w:hAnsi="Arial"/>
          <w:sz w:val="20"/>
          <w:szCs w:val="20"/>
          <w:i w:val="1"/>
          <w:iCs w:val="1"/>
          <w:color w:val="231F20"/>
        </w:rPr>
        <w:t>Statement of Cash Flows (Topic 230), Classification of Certain Cash Receipts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Cash Payments, </w:t>
      </w:r>
      <w:r>
        <w:rPr>
          <w:rFonts w:ascii="Arial" w:cs="Arial" w:eastAsia="Arial" w:hAnsi="Arial"/>
          <w:sz w:val="20"/>
          <w:szCs w:val="20"/>
          <w:color w:val="231F20"/>
        </w:rPr>
        <w:t>which clarifies how entities should classify certain cash receipts and cash payments on the statement of cash flows. The</w:t>
      </w:r>
      <w:r>
        <w:rPr>
          <w:rFonts w:ascii="Arial" w:cs="Arial" w:eastAsia="Arial" w:hAnsi="Arial"/>
          <w:sz w:val="20"/>
          <w:szCs w:val="20"/>
          <w:i w:val="1"/>
          <w:iCs w:val="1"/>
          <w:color w:val="231F20"/>
        </w:rPr>
        <w:t xml:space="preserve"> </w:t>
      </w:r>
      <w:r>
        <w:rPr>
          <w:rFonts w:ascii="Arial" w:cs="Arial" w:eastAsia="Arial" w:hAnsi="Arial"/>
          <w:sz w:val="20"/>
          <w:szCs w:val="20"/>
          <w:color w:val="231F20"/>
        </w:rPr>
        <w:t>guidance also clarifies how the predominance principle should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31F20"/>
        </w:rPr>
        <w:t>be applied when cash receipts and cash payments have aspects of more than one class of cash flows. ASU 2016-15 was effective for fiscal years beginning after December 15, 2017 and interim periods within those fiscal years. The Company adopted this standard retrospectively and it had no material impact on the Company’s financial statements.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 Accounting Pronouncements Not Yet Adopted</w:t>
      </w:r>
    </w:p>
    <w:p>
      <w:pPr>
        <w:spacing w:after="0" w:line="2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In February 2018, the FASB issued ASU 2018-02, </w:t>
      </w:r>
      <w:r>
        <w:rPr>
          <w:rFonts w:ascii="Arial" w:cs="Arial" w:eastAsia="Arial" w:hAnsi="Arial"/>
          <w:sz w:val="19"/>
          <w:szCs w:val="19"/>
          <w:i w:val="1"/>
          <w:iCs w:val="1"/>
          <w:color w:val="auto"/>
        </w:rPr>
        <w:t>Income Statement-Reporting Comprehensive Income (Topic 220): Reclassification of</w:t>
      </w:r>
      <w:r>
        <w:rPr>
          <w:rFonts w:ascii="Arial" w:cs="Arial" w:eastAsia="Arial" w:hAnsi="Arial"/>
          <w:sz w:val="19"/>
          <w:szCs w:val="19"/>
          <w:color w:val="auto"/>
        </w:rPr>
        <w:t xml:space="preserve"> </w:t>
      </w:r>
      <w:r>
        <w:rPr>
          <w:rFonts w:ascii="Arial" w:cs="Arial" w:eastAsia="Arial" w:hAnsi="Arial"/>
          <w:sz w:val="19"/>
          <w:szCs w:val="19"/>
          <w:i w:val="1"/>
          <w:iCs w:val="1"/>
          <w:color w:val="auto"/>
        </w:rPr>
        <w:t>Certain Tax Effects from Accumulated Other Comprehensive Income</w:t>
      </w:r>
      <w:r>
        <w:rPr>
          <w:rFonts w:ascii="Arial" w:cs="Arial" w:eastAsia="Arial" w:hAnsi="Arial"/>
          <w:sz w:val="19"/>
          <w:szCs w:val="19"/>
          <w:color w:val="auto"/>
        </w:rPr>
        <w:t>, which addresses the income tax effects of items in accumulated other</w:t>
      </w:r>
      <w:r>
        <w:rPr>
          <w:rFonts w:ascii="Arial" w:cs="Arial" w:eastAsia="Arial" w:hAnsi="Arial"/>
          <w:sz w:val="19"/>
          <w:szCs w:val="19"/>
          <w:i w:val="1"/>
          <w:iCs w:val="1"/>
          <w:color w:val="auto"/>
        </w:rPr>
        <w:t xml:space="preserve"> </w:t>
      </w:r>
      <w:r>
        <w:rPr>
          <w:rFonts w:ascii="Arial" w:cs="Arial" w:eastAsia="Arial" w:hAnsi="Arial"/>
          <w:sz w:val="19"/>
          <w:szCs w:val="19"/>
          <w:color w:val="auto"/>
        </w:rPr>
        <w:t>comprehensive income (“AOCI”) which were originally recognized in other comprehensive income, rather than in income from continuing operations. Specifically, it permits a reclassification from AOCI to retained earnings for the adjustment of deferred taxes due to the reduction of the historical corporate income tax rate to the newly enacted corporate income tax rate resulting from the U.S. tax law changes enacted in December 2017. This ASU is effective for fiscal years beginning after December 15, 2018, and interim periods within those fiscal years, with early adoption permitted. The new guidance must be applied either on a prospective basis in the period of adoption or retrospectively to each period (or periods) in which the effect of the change in the U.S. federal corporate income tax rate in the U.S. tax law changes are recognized. The Company is evaluating the effect of adopting this new accounting guidance, but does not expect adoption will have a material impact on the Company’s financial statements.</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 xml:space="preserve">In January 2017, the FASB issued ASU 2017-04, </w:t>
      </w:r>
      <w:r>
        <w:rPr>
          <w:rFonts w:ascii="Arial" w:cs="Arial" w:eastAsia="Arial" w:hAnsi="Arial"/>
          <w:sz w:val="18"/>
          <w:szCs w:val="18"/>
          <w:i w:val="1"/>
          <w:iCs w:val="1"/>
          <w:color w:val="231F20"/>
        </w:rPr>
        <w:t>Simplifying the Test for Goodwill Impairment</w:t>
      </w:r>
      <w:r>
        <w:rPr>
          <w:rFonts w:ascii="Arial" w:cs="Arial" w:eastAsia="Arial" w:hAnsi="Arial"/>
          <w:sz w:val="18"/>
          <w:szCs w:val="18"/>
          <w:color w:val="231F20"/>
        </w:rPr>
        <w:t>, which simplifies the accounting for goodwill impairment. The ASU requires impairment charges to be based on the first step in today’s two-step impairment test. ASU 2017-04 is effective for annual and interim impairment tests performed in periods beginning after December 15, 2021, and early adoption is permitted. Management does not expect the adoption of this guidance to have a significant impact on the Company’s financial statements.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w:t>
      </w:r>
      <w:r>
        <w:rPr>
          <w:rFonts w:ascii="Arial" w:cs="Arial" w:eastAsia="Arial" w:hAnsi="Arial"/>
          <w:sz w:val="18"/>
          <w:szCs w:val="18"/>
          <w:color w:val="231F20"/>
        </w:rPr>
        <w:t xml:space="preserve"> The standard will affect all entities that lease assets and will require lessees to recognize a lease liability and a right-of-use asset for all leases (except for short- 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8"/>
          <w:szCs w:val="18"/>
          <w:i w:val="1"/>
          <w:iCs w:val="1"/>
          <w:color w:val="231F20"/>
        </w:rPr>
        <w:t>Codification Improvements to Topic 842, Leases,</w:t>
      </w:r>
      <w:r>
        <w:rPr>
          <w:rFonts w:ascii="Arial" w:cs="Arial" w:eastAsia="Arial" w:hAnsi="Arial"/>
          <w:sz w:val="18"/>
          <w:szCs w:val="18"/>
          <w:color w:val="231F20"/>
        </w:rPr>
        <w:t xml:space="preserve"> to clarify how to apply certain aspects of the new leases standard. In July 2018, the FASB also issued ASU 2018-11, </w:t>
      </w:r>
      <w:r>
        <w:rPr>
          <w:rFonts w:ascii="Arial" w:cs="Arial" w:eastAsia="Arial" w:hAnsi="Arial"/>
          <w:sz w:val="18"/>
          <w:szCs w:val="18"/>
          <w:i w:val="1"/>
          <w:iCs w:val="1"/>
          <w:color w:val="231F20"/>
        </w:rPr>
        <w:t>Leases (Topic 842): Targeted Improvements,</w:t>
      </w:r>
      <w:r>
        <w:rPr>
          <w:rFonts w:ascii="Arial" w:cs="Arial" w:eastAsia="Arial" w:hAnsi="Arial"/>
          <w:sz w:val="18"/>
          <w:szCs w:val="18"/>
          <w:color w:val="231F20"/>
        </w:rPr>
        <w:t xml:space="preserve"> to give entities another option for transition and to provide lessors with a practical expedient to reduce the cost and complexity of implementing the new standard. The transition option allows entities to not apply the new leases standard in the comparative periods they present in their financial statements in the year of adoption.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In Ma</w:t>
      </w:r>
      <w:r>
        <w:rPr>
          <w:rFonts w:ascii="Arial" w:cs="Arial" w:eastAsia="Arial" w:hAnsi="Arial"/>
          <w:sz w:val="19"/>
          <w:szCs w:val="19"/>
          <w:color w:val="000000"/>
        </w:rPr>
        <w:t>y 2014, the FASB issued ASU 2014-09, “</w:t>
      </w:r>
      <w:r>
        <w:rPr>
          <w:rFonts w:ascii="Arial" w:cs="Arial" w:eastAsia="Arial" w:hAnsi="Arial"/>
          <w:sz w:val="19"/>
          <w:szCs w:val="19"/>
          <w:i w:val="1"/>
          <w:iCs w:val="1"/>
          <w:color w:val="000000"/>
        </w:rPr>
        <w:t>Revenue from Contracts with Customers</w:t>
      </w:r>
      <w:r>
        <w:rPr>
          <w:rFonts w:ascii="Arial" w:cs="Arial" w:eastAsia="Arial" w:hAnsi="Arial"/>
          <w:sz w:val="19"/>
          <w:szCs w:val="19"/>
          <w:color w:val="000000"/>
        </w:rPr>
        <w:t>.” This new guidance will replace most existing</w:t>
      </w:r>
      <w:r>
        <w:rPr>
          <w:rFonts w:ascii="Arial" w:cs="Arial" w:eastAsia="Arial" w:hAnsi="Arial"/>
          <w:sz w:val="19"/>
          <w:szCs w:val="19"/>
          <w:color w:val="231F20"/>
        </w:rPr>
        <w:t xml:space="preserve"> </w:t>
      </w:r>
      <w:r>
        <w:rPr>
          <w:rFonts w:ascii="Arial" w:cs="Arial" w:eastAsia="Arial" w:hAnsi="Arial"/>
          <w:sz w:val="19"/>
          <w:szCs w:val="19"/>
          <w:color w:val="000000"/>
        </w:rPr>
        <w:t>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9"/>
          <w:szCs w:val="19"/>
          <w:i w:val="1"/>
          <w:iCs w:val="1"/>
          <w:color w:val="000000"/>
        </w:rPr>
        <w:t>Revenue from Contracts with Customers: Deferral of the effective date,”</w:t>
      </w:r>
      <w:r>
        <w:rPr>
          <w:rFonts w:ascii="Arial" w:cs="Arial" w:eastAsia="Arial" w:hAnsi="Arial"/>
          <w:sz w:val="19"/>
          <w:szCs w:val="19"/>
          <w:color w:val="000000"/>
        </w:rPr>
        <w:t xml:space="preserve"> which deferred by one year the effective date for the new revenue reporting standard for entities reporting under GAAP. In accordance with the deferral, this guidance will be effective for the Company beginning in the year ended December 31, 2019. This guidance can be applied either retrospectively to each period presented or as a cumulative effect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adjustment as of the date of adoption. In December 2016, the FASB issued ASU 2016-20, </w:t>
      </w:r>
      <w:r>
        <w:rPr>
          <w:rFonts w:ascii="Arial" w:cs="Arial" w:eastAsia="Arial" w:hAnsi="Arial"/>
          <w:sz w:val="18"/>
          <w:szCs w:val="18"/>
          <w:i w:val="1"/>
          <w:iCs w:val="1"/>
          <w:color w:val="auto"/>
        </w:rPr>
        <w:t>“Revenue from Contracts with Customers, Technical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Corrections and Improvements to Topic 606,” </w:t>
      </w:r>
      <w:r>
        <w:rPr>
          <w:rFonts w:ascii="Arial" w:cs="Arial" w:eastAsia="Arial" w:hAnsi="Arial"/>
          <w:sz w:val="18"/>
          <w:szCs w:val="18"/>
          <w:color w:val="auto"/>
        </w:rPr>
        <w:t>which made 12 additional technical corrections and improvements to the new revenue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In March 2016, the FASB issued ASU 2016-08, “</w:t>
      </w:r>
      <w:r>
        <w:rPr>
          <w:rFonts w:ascii="Arial" w:cs="Arial" w:eastAsia="Arial" w:hAnsi="Arial"/>
          <w:sz w:val="18"/>
          <w:szCs w:val="18"/>
          <w:i w:val="1"/>
          <w:iCs w:val="1"/>
          <w:color w:val="auto"/>
        </w:rPr>
        <w:t>Revenue from Contracts with Customers,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Gross versus Net)</w:t>
      </w:r>
      <w:r>
        <w:rPr>
          <w:rFonts w:ascii="Arial" w:cs="Arial" w:eastAsia="Arial" w:hAnsi="Arial"/>
          <w:sz w:val="18"/>
          <w:szCs w:val="18"/>
          <w:color w:val="auto"/>
        </w:rPr>
        <w:t>” clarifying the implementation guidance on principal versus agent considerations. Specifically, an entity is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8"/>
          <w:szCs w:val="18"/>
          <w:i w:val="1"/>
          <w:iCs w:val="1"/>
          <w:color w:val="auto"/>
        </w:rPr>
        <w:t>“Revenue from Contracts with Customers, Identifying</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Obligations and Licensing”</w:t>
      </w:r>
      <w:r>
        <w:rPr>
          <w:rFonts w:ascii="Arial" w:cs="Arial" w:eastAsia="Arial" w:hAnsi="Arial"/>
          <w:sz w:val="18"/>
          <w:szCs w:val="18"/>
          <w:color w:val="auto"/>
        </w:rPr>
        <w:t>, clarifying the implementation guidance on identifying performance obligations and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8"/>
          <w:szCs w:val="18"/>
          <w:i w:val="1"/>
          <w:iCs w:val="1"/>
          <w:color w:val="auto"/>
        </w:rPr>
        <w:t>“Revenue from Contracts with Customers, Narrow-Scope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and Practical Expedients,” </w:t>
      </w:r>
      <w:r>
        <w:rPr>
          <w:rFonts w:ascii="Arial" w:cs="Arial" w:eastAsia="Arial" w:hAnsi="Arial"/>
          <w:sz w:val="18"/>
          <w:szCs w:val="18"/>
          <w:color w:val="auto"/>
        </w:rPr>
        <w:t>clarifying guidance on assessing collectability, presentation of sales taxes, noncash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contracts and contract modifications. The effective date and transition requirements for ASU 2016-20, ASU 2016-08 and ASU 2016-10 are the same as the effective date and transition requirements for ASU 2014-09, which will be effective for the Company beginning January 1, 2019.</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has selected the modified retrospective transition method of adoption and is in the process of completing its evaluation of the potential impacts of the new standard on its consolidated financial statements. While the Company has not yet completed the full analysis of the impact of the new standard, based on the Company’s evaluation to date, the Company does not believe there will be material changes to its revenue recognition. The Company expects that its revenue will continue to be recognized based on the usage by its customers, in the period the traffic traverses the Company’s network. The Company is still assessing the impact of the new standard on its accounting for sales commissions.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of Financial Instruments</w:t>
      </w:r>
    </w:p>
    <w:p>
      <w:pPr>
        <w:spacing w:after="0" w:line="2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carrying amounts of cash and cash equivalents, marketable securities, accounts receivable, accounts payable and accrued expenses approximate fair value as of December 31, 2017 and September 30, 2018 because of 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loss.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2017 and September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gridSpan w:val="9"/>
          </w:tcPr>
          <w:p>
            <w:pPr>
              <w:jc w:val="center"/>
              <w:ind w:left="710"/>
              <w:spacing w:after="0"/>
              <w:rPr>
                <w:sz w:val="20"/>
                <w:szCs w:val="20"/>
                <w:color w:val="auto"/>
              </w:rPr>
            </w:pPr>
            <w:r>
              <w:rPr>
                <w:rFonts w:ascii="Arial" w:cs="Arial" w:eastAsia="Arial" w:hAnsi="Arial"/>
                <w:sz w:val="18"/>
                <w:szCs w:val="18"/>
                <w:b w:val="1"/>
                <w:bCs w:val="1"/>
                <w:color w:val="auto"/>
                <w:w w:val="89"/>
              </w:rPr>
              <w:t>Fair value measurements on a recurring basis</w:t>
            </w:r>
          </w:p>
        </w:tc>
        <w:tc>
          <w:tcPr>
            <w:tcW w:w="106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 2017</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Money market account (included in 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28,015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28,015</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were no marketable securities as of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gridSpan w:val="10"/>
            <w:vMerge w:val="restart"/>
          </w:tcPr>
          <w:p>
            <w:pPr>
              <w:jc w:val="right"/>
              <w:ind w:right="550"/>
              <w:spacing w:after="0"/>
              <w:rPr>
                <w:sz w:val="20"/>
                <w:szCs w:val="20"/>
                <w:color w:val="auto"/>
              </w:rPr>
            </w:pPr>
            <w:r>
              <w:rPr>
                <w:rFonts w:ascii="Arial" w:cs="Arial" w:eastAsia="Arial" w:hAnsi="Arial"/>
                <w:sz w:val="18"/>
                <w:szCs w:val="18"/>
                <w:b w:val="1"/>
                <w:bCs w:val="1"/>
                <w:color w:val="auto"/>
              </w:rPr>
              <w:t>Fair value measurements on a recurring basis</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3"/>
              </w:rPr>
              <w:t>cost or</w:t>
            </w: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carrying</w:t>
            </w:r>
          </w:p>
        </w:tc>
        <w:tc>
          <w:tcPr>
            <w:tcW w:w="140" w:type="dxa"/>
            <w:vAlign w:val="bottom"/>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9"/>
                <w:szCs w:val="9"/>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Money market account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0" w:type="dxa"/>
            <w:vAlign w:val="bottom"/>
          </w:tcPr>
          <w:p>
            <w:pPr>
              <w:spacing w:after="0"/>
              <w:rPr>
                <w:sz w:val="1"/>
                <w:szCs w:val="1"/>
                <w:color w:val="auto"/>
              </w:rPr>
            </w:pPr>
          </w:p>
        </w:tc>
      </w:tr>
      <w:tr>
        <w:trPr>
          <w:trHeight w:val="229"/>
        </w:trPr>
        <w:tc>
          <w:tcPr>
            <w:tcW w:w="2760" w:type="dxa"/>
            <w:vAlign w:val="bottom"/>
          </w:tcPr>
          <w:p>
            <w:pPr>
              <w:ind w:left="120"/>
              <w:spacing w:after="0"/>
              <w:rPr>
                <w:sz w:val="20"/>
                <w:szCs w:val="20"/>
                <w:color w:val="auto"/>
              </w:rPr>
            </w:pPr>
            <w:r>
              <w:rPr>
                <w:rFonts w:ascii="Arial" w:cs="Arial" w:eastAsia="Arial" w:hAnsi="Arial"/>
                <w:sz w:val="18"/>
                <w:szCs w:val="18"/>
                <w:color w:val="auto"/>
              </w:rPr>
              <w:t>U.S. Reverse repurchase</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20"/>
              <w:spacing w:after="0"/>
              <w:rPr>
                <w:sz w:val="20"/>
                <w:szCs w:val="20"/>
                <w:color w:val="auto"/>
              </w:rPr>
            </w:pPr>
            <w:r>
              <w:rPr>
                <w:rFonts w:ascii="Arial" w:cs="Arial" w:eastAsia="Arial" w:hAnsi="Arial"/>
                <w:sz w:val="18"/>
                <w:szCs w:val="18"/>
                <w:color w:val="auto"/>
              </w:rPr>
              <w:t>agreements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Total included in cash and cash</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36,406</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0"/>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237"/>
        </w:trPr>
        <w:tc>
          <w:tcPr>
            <w:tcW w:w="2760" w:type="dxa"/>
            <w:vAlign w:val="bottom"/>
          </w:tcPr>
          <w:p>
            <w:pPr>
              <w:ind w:left="2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0"/>
              </w:rPr>
              <w:t>(4)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30,342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classifies its marketable securities as current assets as they are available for current operating needs. The following table summarizes the contractual maturities of marketable securities as of September 30,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Aggregate fair</w:t>
            </w:r>
          </w:p>
        </w:tc>
      </w:tr>
      <w:tr>
        <w:trPr>
          <w:trHeight w:val="234"/>
        </w:trPr>
        <w:tc>
          <w:tcPr>
            <w:tcW w:w="8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value</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Less than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14,936</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For fixed income securities that had unrealized losses as of September 30, 2018, the Company determined that no other-than-temporary impairment existed. As of September 30, 2018, all securities in an unrealized loss position have been in an unrealized loss position for less than one year. During the three and nine months ended September 30, 2018, there were $6,000 and $9,000, respectively, in maturities of marketable securities. Interest earned on marketable securities in the three and nine months ended September 30, 2018 was $22 and $70, respectively, and is recorded as other (expense) income, net, in the accompanying condensed consolidated statements of operations and comprehensive income.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Financial Statement Components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Accounts receivable, net of allowance for doubtful accounts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r>
      <w:tr>
        <w:trPr>
          <w:trHeight w:val="270"/>
        </w:trPr>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12,374</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11,831</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Other accounts receivable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Components of allowance for doubtful accounts are as follows: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beginning of period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Charged to bad debt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Deductions (1)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450"/>
              <w:spacing w:after="0"/>
              <w:rPr>
                <w:sz w:val="20"/>
                <w:szCs w:val="20"/>
                <w:color w:val="auto"/>
              </w:rPr>
            </w:pPr>
            <w:r>
              <w:rPr>
                <w:rFonts w:ascii="Arial" w:cs="Arial" w:eastAsia="Arial" w:hAnsi="Arial"/>
                <w:sz w:val="18"/>
                <w:szCs w:val="18"/>
                <w:color w:val="auto"/>
                <w:w w:val="86"/>
              </w:rPr>
              <w:t>189</w:t>
            </w:r>
          </w:p>
        </w:tc>
      </w:tr>
      <w:tr>
        <w:trPr>
          <w:trHeight w:val="270"/>
        </w:trPr>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center"/>
              <w:ind w:left="450"/>
              <w:spacing w:after="0"/>
              <w:rPr>
                <w:sz w:val="20"/>
                <w:szCs w:val="20"/>
                <w:color w:val="auto"/>
              </w:rPr>
            </w:pPr>
            <w:r>
              <w:rPr>
                <w:rFonts w:ascii="Arial" w:cs="Arial" w:eastAsia="Arial" w:hAnsi="Arial"/>
                <w:sz w:val="18"/>
                <w:szCs w:val="18"/>
                <w:color w:val="auto"/>
                <w:w w:val="86"/>
              </w:rPr>
              <w:t>283</w:t>
            </w:r>
          </w:p>
        </w:tc>
      </w:tr>
      <w:tr>
        <w:trPr>
          <w:trHeight w:val="270"/>
        </w:trPr>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90"/>
              </w:rPr>
              <w:t>(359)</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450"/>
              <w:spacing w:after="0"/>
              <w:rPr>
                <w:sz w:val="20"/>
                <w:szCs w:val="20"/>
                <w:color w:val="auto"/>
              </w:rPr>
            </w:pPr>
            <w:r>
              <w:rPr>
                <w:rFonts w:ascii="Arial" w:cs="Arial" w:eastAsia="Arial" w:hAnsi="Arial"/>
                <w:sz w:val="18"/>
                <w:szCs w:val="18"/>
                <w:color w:val="auto"/>
                <w:w w:val="86"/>
              </w:rPr>
              <w:t>113</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-736600</wp:posOffset>
            </wp:positionV>
            <wp:extent cx="72377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-385445</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4600" w:space="720"/>
            <w:col w:w="6100"/>
          </w:cols>
          <w:pgMar w:left="240" w:top="364"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Write off of uncollectible accounts after all collection efforts have been exhausted.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Allowance for CABS revenue:</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Charged to bad debt expense</w:t>
            </w:r>
          </w:p>
        </w:tc>
        <w:tc>
          <w:tcPr>
            <w:tcW w:w="3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Write-off of previously outstanding and fully reserved billings related to</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(24,968)</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Billings deemed not probable of collection (1)</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from outstanding billings previously deemed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uncollectible related to settlement</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Deductions (2)</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29,864</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firstLine="656"/>
        <w:spacing w:after="0" w:line="249" w:lineRule="auto"/>
        <w:tabs>
          <w:tab w:leader="none" w:pos="90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amounts billed in the period but where collectibility is not probable based on customers collection experience. Amounts were charged to a contra-revenue account.</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CABS revenue: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Billed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recognized from current billings (2)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Billings deemed not probable of collection (1)</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920" w:type="dxa"/>
            <w:vAlign w:val="bottom"/>
          </w:tcPr>
          <w:p>
            <w:pPr>
              <w:spacing w:after="0"/>
              <w:rPr>
                <w:sz w:val="20"/>
                <w:szCs w:val="20"/>
                <w:color w:val="auto"/>
              </w:rPr>
            </w:pPr>
          </w:p>
        </w:tc>
        <w:tc>
          <w:tcPr>
            <w:tcW w:w="15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7"/>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4,992</w:t>
            </w:r>
          </w:p>
        </w:tc>
        <w:tc>
          <w:tcPr>
            <w:tcW w:w="12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3,105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14,501</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10,313</w:t>
            </w:r>
          </w:p>
        </w:tc>
      </w:tr>
      <w:tr>
        <w:trPr>
          <w:trHeight w:val="270"/>
        </w:trPr>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2,507</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10,003</w:t>
            </w:r>
          </w:p>
        </w:tc>
      </w:tr>
      <w:tr>
        <w:trPr>
          <w:trHeight w:val="27"/>
        </w:trPr>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2,485</w:t>
            </w:r>
          </w:p>
        </w:tc>
        <w:tc>
          <w:tcPr>
            <w:tcW w:w="12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-565150</wp:posOffset>
            </wp:positionV>
            <wp:extent cx="723773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-213995</wp:posOffset>
            </wp:positionV>
            <wp:extent cx="723773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4580" w:space="720"/>
            <w:col w:w="6120"/>
          </w:cols>
          <w:pgMar w:left="240" w:top="364" w:right="239" w:bottom="1440" w:gutter="0" w:footer="0" w:header="0"/>
          <w:type w:val="continuous"/>
        </w:sectPr>
      </w:pPr>
    </w:p>
    <w:p>
      <w:pPr>
        <w:ind w:firstLine="648"/>
        <w:spacing w:after="0" w:line="273" w:lineRule="auto"/>
        <w:rPr>
          <w:sz w:val="20"/>
          <w:szCs w:val="20"/>
          <w:color w:val="auto"/>
        </w:rPr>
      </w:pPr>
      <w:r>
        <w:rPr>
          <w:rFonts w:ascii="Arial" w:cs="Arial" w:eastAsia="Arial" w:hAnsi="Arial"/>
          <w:sz w:val="18"/>
          <w:szCs w:val="18"/>
          <w:color w:val="auto"/>
        </w:rPr>
        <w:t>(1) Represents amounts billed in the period but where collectibility is not probable based on customers collection experience. Amounts were charged to a contra-revenue account.</w:t>
      </w:r>
    </w:p>
    <w:p>
      <w:pPr>
        <w:ind w:firstLine="656"/>
        <w:spacing w:after="0" w:line="274" w:lineRule="auto"/>
        <w:tabs>
          <w:tab w:leader="none" w:pos="917"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$6,268 in revenue recognized in the nine months ended September 30, 2018, as a result of a settlement agreement related to previously billed and outstanding and uncollectible invoices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 Pursuant to the settlement agreement, Verizon made a lump sum payment to the Company on February 8, 2018 of $4,400, which was recognized as revenue. Immediately following receipt of the $4,400 payment, the Company issued to Verizon bill credits with respect to other CABS amounts previously billed and reserved to Verizon of $24,968. The amount credited to Verizon comprised the majority of the allowance for CABS revenue as of December 31, 2017. The Company recognized as revenue $6,268, including the $4,400 payment made on February 8, 2018 and the other current outstanding Verizon CABS receivables which had been previously reserved as uncollectible, but for which collection was no longer in doubt as a result of the settlement. The settlement agreement also specifies certain terms for the Company’s CABS billings to Verizon prospectively.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Accrued expenses and other current liabilities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r>
      <w:tr>
        <w:trPr>
          <w:trHeight w:val="270"/>
        </w:trPr>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5,243</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sales, use, and telecom related taxes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Property and Equipment</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Property and equipment, net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r>
      <w:tr>
        <w:trPr>
          <w:trHeight w:val="270"/>
        </w:trPr>
        <w:tc>
          <w:tcPr>
            <w:tcW w:w="8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7,342</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Telecommunications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1,917</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Automobile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53,909</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Less—accumulated depreciation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(32,139)</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Company capitalized $988 and $2,586 of software development costs in the three and nine months ended September 30, 2017, respectively, and $1,964 and $3,511 in the three and nine months ended September 30, 2018, respectively.</w:t>
      </w:r>
    </w:p>
    <w:p>
      <w:pPr>
        <w:spacing w:after="0" w:line="18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Amortization expense related to capitalized software development costs were $524 and $1,659 in the three and nine months ended September 30, 2017, respectively, and $432 and $1,305 in the three and nine months ended September 30, 2018,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5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7"/>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5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5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1,241</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Intangible Assets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consisted of the following as of December 31, 2017: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Net Carrying</w:t>
            </w:r>
          </w:p>
        </w:tc>
        <w:tc>
          <w:tcPr>
            <w:tcW w:w="120" w:type="dxa"/>
            <w:vAlign w:val="bottom"/>
          </w:tcPr>
          <w:p>
            <w:pPr>
              <w:spacing w:after="0"/>
              <w:rPr>
                <w:sz w:val="18"/>
                <w:szCs w:val="18"/>
                <w:color w:val="auto"/>
              </w:rPr>
            </w:pPr>
          </w:p>
        </w:tc>
        <w:tc>
          <w:tcPr>
            <w:tcW w:w="1540" w:type="dxa"/>
            <w:vAlign w:val="bottom"/>
          </w:tcPr>
          <w:p>
            <w:pPr>
              <w:ind w:left="260"/>
              <w:spacing w:after="0"/>
              <w:rPr>
                <w:sz w:val="20"/>
                <w:szCs w:val="20"/>
                <w:color w:val="auto"/>
              </w:rPr>
            </w:pPr>
            <w:r>
              <w:rPr>
                <w:rFonts w:ascii="Arial" w:cs="Arial" w:eastAsia="Arial" w:hAnsi="Arial"/>
                <w:sz w:val="18"/>
                <w:szCs w:val="18"/>
                <w:b w:val="1"/>
                <w:bCs w:val="1"/>
                <w:color w:val="auto"/>
              </w:rPr>
              <w:t>Amortization</w:t>
            </w:r>
          </w:p>
        </w:tc>
      </w:tr>
      <w:tr>
        <w:trPr>
          <w:trHeight w:val="234"/>
        </w:trPr>
        <w:tc>
          <w:tcPr>
            <w:tcW w:w="4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7"/>
        </w:trPr>
        <w:tc>
          <w:tcPr>
            <w:tcW w:w="4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Domain name and related trademarks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3–7</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amortizable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2</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2–5</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Licenses, indefinite lived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8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consisted of the following as of September 30,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Net Carrying</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34"/>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7"/>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Domain name and related trademarks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3–7</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amortizable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2</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2–5</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Licenses, indefinite lived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8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Amortization expense for definite lived intangible assets was $210 and $629 in the three and nine months ended September 30, 2017, respectively, and $130 and $424 in the three and nine months ended September 30,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Future estimated amortization expense for definite lived intangible assets subsequent to September 30, 2018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b w:val="1"/>
                <w:bCs w:val="1"/>
                <w:color w:val="auto"/>
              </w:rPr>
              <w:t>Amount</w:t>
            </w:r>
          </w:p>
        </w:tc>
      </w:tr>
      <w:tr>
        <w:trPr>
          <w:trHeight w:val="27"/>
        </w:trPr>
        <w:tc>
          <w:tcPr>
            <w:tcW w:w="9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(remaining)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
        </w:trPr>
        <w:tc>
          <w:tcPr>
            <w:tcW w:w="9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
        </w:trPr>
        <w:tc>
          <w:tcPr>
            <w:tcW w:w="9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4,245</w:t>
            </w:r>
          </w:p>
        </w:tc>
      </w:tr>
      <w:tr>
        <w:trPr>
          <w:trHeight w:val="27"/>
        </w:trPr>
        <w:tc>
          <w:tcPr>
            <w:tcW w:w="9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94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Debt</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Revolving Loan</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2017 and September 30, 2018, the Company had $0 outstanding on the revolving loan and was in compliance with all financial and non-financial covenants for all periods presented. The available borrowing capacity under the revolving loan was $25,000 as of September 30, 2018.</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2017 and September 30, 2018, the outstanding unamortized loan fees associated with the availability of the revolving loan were $175 and $127, respectively, and are included in other long-term assets.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Capital Leases</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leases various equipment under leases accounted for as capital leases with expiration dates through December 2018. As of December 31, 2017, cost and accumulated depreciation of the assets under capital leases recorded by the Company were $1,951 and $1,855, respectively. As of September 30, 2018, cost and accumulated depreciation of the assets under capital leases recorded by the Company were $1,951 and $1,879, respectively.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Remaining payments due on the Company’s capital lease obligations as of September 30, 2018,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(remaining)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capital lease obligation (1)</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capital lease obligation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94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740" w:hanging="246"/>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Included in accrued expenses and other current liabilities on the condensed consolidated balance sheets.</w:t>
      </w:r>
    </w:p>
    <w:p>
      <w:pPr>
        <w:spacing w:after="0" w:line="227" w:lineRule="exact"/>
        <w:rPr>
          <w:rFonts w:ascii="Arial" w:cs="Arial" w:eastAsia="Arial" w:hAnsi="Arial"/>
          <w:sz w:val="18"/>
          <w:szCs w:val="18"/>
          <w:color w:val="auto"/>
        </w:rPr>
      </w:pPr>
    </w:p>
    <w:p>
      <w:pPr>
        <w:ind w:left="200" w:hanging="192"/>
        <w:spacing w:after="0"/>
        <w:tabs>
          <w:tab w:leader="none" w:pos="2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Segment and Geographic Information</w:t>
      </w:r>
    </w:p>
    <w:p>
      <w:pPr>
        <w:spacing w:after="0" w:line="2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3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33,397</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96,591</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120,267</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69,038</w:t>
            </w:r>
          </w:p>
        </w:tc>
      </w:tr>
      <w:tr>
        <w:trPr>
          <w:trHeight w:val="237"/>
        </w:trPr>
        <w:tc>
          <w:tcPr>
            <w:tcW w:w="530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40,197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51,229</w:t>
            </w: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43"/>
        </w:trPr>
        <w:tc>
          <w:tcPr>
            <w:tcW w:w="5300" w:type="dxa"/>
            <w:vAlign w:val="bottom"/>
          </w:tcPr>
          <w:p>
            <w:pPr>
              <w:ind w:left="3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23,898</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31,503</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10,366</w:t>
            </w:r>
          </w:p>
        </w:tc>
      </w:tr>
      <w:tr>
        <w:trPr>
          <w:trHeight w:val="237"/>
        </w:trPr>
        <w:tc>
          <w:tcPr>
            <w:tcW w:w="530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21,137</w:t>
            </w: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43"/>
        </w:trPr>
        <w:tc>
          <w:tcPr>
            <w:tcW w:w="5300" w:type="dxa"/>
            <w:vAlign w:val="bottom"/>
          </w:tcPr>
          <w:p>
            <w:pPr>
              <w:ind w:left="3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41,338</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50,454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120,489</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151,770</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79,404</w:t>
            </w:r>
          </w:p>
        </w:tc>
      </w:tr>
      <w:tr>
        <w:trPr>
          <w:trHeight w:val="237"/>
        </w:trPr>
        <w:tc>
          <w:tcPr>
            <w:tcW w:w="530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18,767</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22,980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72,366</w:t>
            </w: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assets were held in the United States as of December 31, 2017 and September 30, 2018.</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generates its revenue primarily in the United States. Revenue by geographical area is detailed in the table below (which is determined based on the customer billing address):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151,303</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500" w:right="9420" w:hanging="492"/>
        <w:spacing w:after="0" w:line="638" w:lineRule="auto"/>
        <w:tabs>
          <w:tab w:leader="none" w:pos="21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jc w:val="both"/>
        <w:ind w:firstLine="648"/>
        <w:spacing w:after="0" w:line="260" w:lineRule="auto"/>
        <w:rPr>
          <w:sz w:val="20"/>
          <w:szCs w:val="20"/>
          <w:color w:val="auto"/>
        </w:rPr>
      </w:pPr>
      <w:r>
        <w:rPr>
          <w:rFonts w:ascii="Arial" w:cs="Arial" w:eastAsia="Arial" w:hAnsi="Arial"/>
          <w:sz w:val="20"/>
          <w:szCs w:val="20"/>
          <w:color w:val="auto"/>
        </w:rPr>
        <w:t>As of December 31, 2017 and September 30, 2018, the Company had authorized 10,000,000 shares of undesignated preferred stock, par value $0.001, of which no shares were issued and outstanding.</w:t>
      </w:r>
    </w:p>
    <w:p>
      <w:pPr>
        <w:spacing w:after="0" w:line="31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Common Stock</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As of December 31, 2017 and September 30, 2018, the Company had authorized 100,000,000 shares of Class A common stock with one vote per share and 20,000,000 shares of Class B common stock with ten votes per share, each par value $0.001. As of December 31, 2017, 4,197,831 and 13,440,724 shares of Class A and B common stock, respectively, were issued and outstanding. As of September 30, 2018, 12,347,482 and 7,001,405 shares of Class A and B common stock, respectively, were issued and outstanding.</w:t>
      </w:r>
    </w:p>
    <w:p>
      <w:pPr>
        <w:spacing w:after="0" w:line="21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64"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had reserved shares of common stock for issuance under stock-based award agreements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8240" w:type="dxa"/>
            <w:vAlign w:val="bottom"/>
          </w:tcPr>
          <w:p>
            <w:pPr>
              <w:spacing w:after="0"/>
              <w:rPr>
                <w:sz w:val="23"/>
                <w:szCs w:val="23"/>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3,659,791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2,010,666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Nonvested restricted stock units issued and outstanding</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320,482</w:t>
            </w:r>
          </w:p>
        </w:tc>
      </w:tr>
      <w:tr>
        <w:trPr>
          <w:trHeight w:val="27"/>
        </w:trPr>
        <w:tc>
          <w:tcPr>
            <w:tcW w:w="8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purchase warrants issued and outstanding</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Stock-based awards available for grant under the 2017 Plan</w:t>
            </w:r>
          </w:p>
        </w:tc>
        <w:tc>
          <w:tcPr>
            <w:tcW w:w="1520" w:type="dxa"/>
            <w:vAlign w:val="bottom"/>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902,552</w:t>
            </w:r>
          </w:p>
        </w:tc>
      </w:tr>
      <w:tr>
        <w:trPr>
          <w:trHeight w:val="27"/>
        </w:trPr>
        <w:tc>
          <w:tcPr>
            <w:tcW w:w="8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4,761,141</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3,233,700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Stock Based Compensation</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2001 and 2010 Stock Option Plans</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2001, the Company adopted the Bandwidth Inc. Stock Option Plan (the “2001 Plan”). As of July 26, 2010, the Company adopted the 2010 Equity Compensation Plan (the “2010 Plan”).</w:t>
      </w:r>
    </w:p>
    <w:p>
      <w:pPr>
        <w:spacing w:after="0" w:line="2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Following the effectiveness of the 2010 Plan, the Company did not make any further grants under the 2001 Plan. On November 9, 2017, the 2010 Plan was terminated in connection with the Company’s IPO. Accordingly, no shares are available for future issuance under the 2010 Plan. However, the 2010 Plan continues to govern the terms and conditions of the outstanding awards granted thereunder.</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2017 Incentive Award Plan</w:t>
      </w:r>
    </w:p>
    <w:p>
      <w:pPr>
        <w:spacing w:after="0" w:line="2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2018, the shares available for grant under the 2017 Plan were automatically increased by 200,000 shares.</w:t>
      </w:r>
    </w:p>
    <w:p>
      <w:pPr>
        <w:spacing w:after="0" w:line="22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17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RSUs granted under the 2017 Plan are subject to a time-based vesting condition. The compensation expense related to these awards is based on the grant date fair value of the RSUs and is recognized on a ratable basis over the applicable service period. The Company granted restricted stock units to its non-employee Board of Directors, some of which vested immediately while others vest 25% as of each calendar quarter immediately following the grant date. Other RSUs awarded to executives and employees are earned over a service period of four years.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options</w:t>
      </w:r>
    </w:p>
    <w:p>
      <w:pPr>
        <w:spacing w:after="0" w:line="25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fair value of options granted is estimated on the date of grant using the Black-Scholes option pricing model based on the assumptions in the table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Three months ended</w:t>
            </w:r>
          </w:p>
        </w:tc>
        <w:tc>
          <w:tcPr>
            <w:tcW w:w="3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4960" w:type="dxa"/>
            <w:vAlign w:val="bottom"/>
          </w:tcPr>
          <w:p>
            <w:pPr>
              <w:spacing w:after="0"/>
              <w:rPr>
                <w:sz w:val="20"/>
                <w:szCs w:val="20"/>
                <w:color w:val="auto"/>
              </w:rPr>
            </w:pPr>
          </w:p>
        </w:tc>
        <w:tc>
          <w:tcPr>
            <w:tcW w:w="21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49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140" w:type="dxa"/>
            <w:vAlign w:val="bottom"/>
            <w:tcBorders>
              <w:bottom w:val="single" w:sz="8" w:color="CCEEFF"/>
            </w:tcBorders>
            <w:gridSpan w:val="3"/>
            <w:shd w:val="clear" w:color="auto" w:fill="CCEEFF"/>
          </w:tcPr>
          <w:p>
            <w:pPr>
              <w:jc w:val="center"/>
              <w:ind w:right="7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6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44%-49%</w:t>
            </w:r>
          </w:p>
        </w:tc>
        <w:tc>
          <w:tcPr>
            <w:tcW w:w="120" w:type="dxa"/>
            <w:vAlign w:val="bottom"/>
          </w:tcPr>
          <w:p>
            <w:pPr>
              <w:spacing w:after="0"/>
              <w:rPr>
                <w:sz w:val="21"/>
                <w:szCs w:val="21"/>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88"/>
              </w:rPr>
              <w:t>47%</w:t>
            </w:r>
          </w:p>
        </w:tc>
      </w:tr>
      <w:tr>
        <w:trPr>
          <w:trHeight w:val="27"/>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risk-free interest rate</w:t>
            </w:r>
          </w:p>
        </w:tc>
        <w:tc>
          <w:tcPr>
            <w:tcW w:w="15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6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1.9%–2.3%</w:t>
            </w:r>
          </w:p>
        </w:tc>
        <w:tc>
          <w:tcPr>
            <w:tcW w:w="15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2.5%</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214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6.2 years</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6.2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6.2 years</w:t>
            </w:r>
          </w:p>
        </w:tc>
      </w:tr>
      <w:tr>
        <w:trPr>
          <w:trHeight w:val="27"/>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$18.40-$20.83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$9.60-$20.83</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$22.81</w:t>
            </w:r>
          </w:p>
        </w:tc>
      </w:tr>
      <w:tr>
        <w:trPr>
          <w:trHeight w:val="27"/>
        </w:trPr>
        <w:tc>
          <w:tcPr>
            <w:tcW w:w="49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options were granted in the three months ended September 30, 2018.</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stock option activity for the nine months ended September 30,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Weighted-average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Weighted-average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Aggregate intrinsic</w:t>
            </w:r>
          </w:p>
        </w:tc>
      </w:tr>
      <w:tr>
        <w:trPr>
          <w:trHeight w:val="216"/>
        </w:trPr>
        <w:tc>
          <w:tcPr>
            <w:tcW w:w="50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options</w:t>
            </w:r>
          </w:p>
        </w:tc>
        <w:tc>
          <w:tcPr>
            <w:tcW w:w="10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exercise price (per</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 life (in</w:t>
            </w:r>
          </w:p>
        </w:tc>
        <w:tc>
          <w:tcPr>
            <w:tcW w:w="220" w:type="dxa"/>
            <w:vAlign w:val="bottom"/>
          </w:tcPr>
          <w:p>
            <w:pPr>
              <w:spacing w:after="0"/>
              <w:rPr>
                <w:sz w:val="18"/>
                <w:szCs w:val="18"/>
                <w:color w:val="auto"/>
              </w:rPr>
            </w:pPr>
          </w:p>
        </w:tc>
        <w:tc>
          <w:tcPr>
            <w:tcW w:w="1300" w:type="dxa"/>
            <w:vAlign w:val="bottom"/>
          </w:tcPr>
          <w:p>
            <w:pPr>
              <w:jc w:val="right"/>
              <w:ind w:right="336"/>
              <w:spacing w:after="0"/>
              <w:rPr>
                <w:sz w:val="20"/>
                <w:szCs w:val="20"/>
                <w:color w:val="auto"/>
              </w:rPr>
            </w:pPr>
            <w:r>
              <w:rPr>
                <w:rFonts w:ascii="Arial" w:cs="Arial" w:eastAsia="Arial" w:hAnsi="Arial"/>
                <w:sz w:val="18"/>
                <w:szCs w:val="18"/>
                <w:b w:val="1"/>
                <w:bCs w:val="1"/>
                <w:color w:val="auto"/>
              </w:rPr>
              <w:t>value (in</w:t>
            </w:r>
          </w:p>
        </w:tc>
      </w:tr>
      <w:tr>
        <w:trPr>
          <w:trHeight w:val="234"/>
        </w:trPr>
        <w:tc>
          <w:tcPr>
            <w:tcW w:w="5000" w:type="dxa"/>
            <w:vAlign w:val="bottom"/>
          </w:tcPr>
          <w:p>
            <w:pPr>
              <w:spacing w:after="0"/>
              <w:rPr>
                <w:sz w:val="20"/>
                <w:szCs w:val="20"/>
                <w:color w:val="auto"/>
              </w:rPr>
            </w:pPr>
          </w:p>
        </w:tc>
        <w:tc>
          <w:tcPr>
            <w:tcW w:w="1520" w:type="dxa"/>
            <w:vAlign w:val="bottom"/>
          </w:tcPr>
          <w:p>
            <w:pPr>
              <w:jc w:val="right"/>
              <w:ind w:right="237"/>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300" w:type="dxa"/>
            <w:vAlign w:val="bottom"/>
          </w:tcPr>
          <w:p>
            <w:pPr>
              <w:jc w:val="right"/>
              <w:ind w:right="276"/>
              <w:spacing w:after="0"/>
              <w:rPr>
                <w:sz w:val="20"/>
                <w:szCs w:val="20"/>
                <w:color w:val="auto"/>
              </w:rPr>
            </w:pPr>
            <w:r>
              <w:rPr>
                <w:rFonts w:ascii="Arial" w:cs="Arial" w:eastAsia="Arial" w:hAnsi="Arial"/>
                <w:sz w:val="18"/>
                <w:szCs w:val="18"/>
                <w:b w:val="1"/>
                <w:bCs w:val="1"/>
                <w:color w:val="auto"/>
                <w:w w:val="94"/>
              </w:rPr>
              <w:t>thousands)</w:t>
            </w: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3,659,791</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59,436</w:t>
            </w:r>
          </w:p>
        </w:tc>
      </w:tr>
      <w:tr>
        <w:trPr>
          <w:trHeight w:val="243"/>
        </w:trPr>
        <w:tc>
          <w:tcPr>
            <w:tcW w:w="50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17,988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53,332</w:t>
            </w:r>
          </w:p>
        </w:tc>
      </w:tr>
      <w:tr>
        <w:trPr>
          <w:trHeight w:val="243"/>
        </w:trPr>
        <w:tc>
          <w:tcPr>
            <w:tcW w:w="500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spacing w:after="0"/>
              <w:rPr>
                <w:sz w:val="20"/>
                <w:szCs w:val="20"/>
                <w:color w:val="auto"/>
              </w:rPr>
            </w:pPr>
            <w:r>
              <w:rPr>
                <w:rFonts w:ascii="Arial" w:cs="Arial" w:eastAsia="Arial" w:hAnsi="Arial"/>
                <w:sz w:val="16"/>
                <w:szCs w:val="16"/>
                <w:color w:val="auto"/>
              </w:rPr>
              <w:t>(14,993)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2,010,666</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92,849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77"/>
        </w:trPr>
        <w:tc>
          <w:tcPr>
            <w:tcW w:w="5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at September 30, 2018</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1,702,652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80,065</w:t>
            </w:r>
          </w:p>
        </w:tc>
      </w:tr>
      <w:tr>
        <w:trPr>
          <w:trHeight w:val="27"/>
        </w:trPr>
        <w:tc>
          <w:tcPr>
            <w:tcW w:w="5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Aggregate intrinsic value represents the total pre-tax intrinsic value, which is computed based on the difference between the option exercise price and the estimated fair value of the Company’s common stock. Prior to the IPO, the fair value of the Company’s common stock was estimated by the Company’s board of directors. After the IPO, the fair value of the Company’s common stock is the Company’s Class A common stock price as reported on the NASDAQ Global Select Market.</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 average grant-date fair value of stock options granted was $9.45 and $7.48 for the three and nine months ended September 30, 2017, respectively, and $11.10 for the nine months ended September 30, 2018. No options were granted during the three months ended September 30, 2018.</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total estimated grant date fair value of options vested was $443 and $1,070 for the three and nine months ended September 30, 2017, respectively, and $246 and $716 for the three and nine months ended September 30, 2018, respectively.</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September 30, 2018, total unrecognized compensation cost related to all non-vested stock options was $1,402, which will be amortized over a weighted-average period of 2.21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restricted stock unit activity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Weighted-average</w:t>
            </w:r>
          </w:p>
        </w:tc>
      </w:tr>
      <w:tr>
        <w:trPr>
          <w:trHeight w:val="216"/>
        </w:trPr>
        <w:tc>
          <w:tcPr>
            <w:tcW w:w="8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2"/>
              </w:rPr>
              <w:t>Number of awards</w:t>
            </w:r>
          </w:p>
        </w:tc>
        <w:tc>
          <w:tcPr>
            <w:tcW w:w="2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822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outstanding</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(per share)</w:t>
            </w:r>
          </w:p>
        </w:tc>
      </w:tr>
      <w:tr>
        <w:trPr>
          <w:trHeight w:val="27"/>
        </w:trPr>
        <w:tc>
          <w:tcPr>
            <w:tcW w:w="8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2017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335,089</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26.40</w:t>
            </w:r>
          </w:p>
        </w:tc>
      </w:tr>
      <w:tr>
        <w:trPr>
          <w:trHeight w:val="27"/>
        </w:trPr>
        <w:tc>
          <w:tcPr>
            <w:tcW w:w="8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spacing w:after="0"/>
              <w:rPr>
                <w:sz w:val="20"/>
                <w:szCs w:val="20"/>
                <w:color w:val="auto"/>
              </w:rPr>
            </w:pPr>
            <w:r>
              <w:rPr>
                <w:rFonts w:ascii="Arial" w:cs="Arial" w:eastAsia="Arial" w:hAnsi="Arial"/>
                <w:sz w:val="18"/>
                <w:szCs w:val="18"/>
                <w:color w:val="auto"/>
              </w:rPr>
              <w:t>(5,629)</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29.35</w:t>
            </w:r>
          </w:p>
        </w:tc>
      </w:tr>
      <w:tr>
        <w:trPr>
          <w:trHeight w:val="27"/>
        </w:trPr>
        <w:tc>
          <w:tcPr>
            <w:tcW w:w="8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September 30, 2018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September 30, 2018, total unrecognized compensation cost related to non-vested RSUs was $7,360, which will be amortized over a weighted-average period of 3.42 years.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 Expense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total stock-based compensation expense in continuing operations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80" w:type="dxa"/>
            <w:vAlign w:val="bottom"/>
          </w:tcPr>
          <w:p>
            <w:pPr>
              <w:spacing w:after="0"/>
              <w:rPr>
                <w:sz w:val="20"/>
                <w:szCs w:val="20"/>
                <w:color w:val="auto"/>
              </w:rPr>
            </w:pPr>
          </w:p>
        </w:tc>
        <w:tc>
          <w:tcPr>
            <w:tcW w:w="24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5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7"/>
        </w:trPr>
        <w:tc>
          <w:tcPr>
            <w:tcW w:w="5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 leases approximately 181,000 square feet of office space under operating lease agreements that expire at various dates beginning in 2021 and extend through 2025 in several locations within the United States including its headquarters, which is located in Raleigh, NC. On January 12, 2018, the Company entered into an 84-month operating lease agreement to provide 40,035 square feet of additional office space, which was occupied in September 2018. On March 27, 2018, the Company entered into a 60-month operating lease agreement to provide 5,930 square feet of additional office space, which commenced in June 2018. On July 20, 2018, the Company entered into a 12-month operating lease agreement to provide 2,605 square feet of additional office space, which commenced in July 2018. The leases contain escalation clauses and various landlord concessions including tenant improvement allowances. The Company recognizes the total minimum lease payments on a straight-line basis over the term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2"/>
        </w:trPr>
        <w:tc>
          <w:tcPr>
            <w:tcW w:w="9380" w:type="dxa"/>
            <w:vAlign w:val="bottom"/>
          </w:tcPr>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86"/>
        </w:trPr>
        <w:tc>
          <w:tcPr>
            <w:tcW w:w="9380" w:type="dxa"/>
            <w:vAlign w:val="bottom"/>
          </w:tcPr>
          <w:p>
            <w:pPr>
              <w:ind w:left="414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826"/>
        </w:trPr>
        <w:tc>
          <w:tcPr>
            <w:tcW w:w="9380" w:type="dxa"/>
            <w:vAlign w:val="bottom"/>
          </w:tcPr>
          <w:p>
            <w:pPr>
              <w:ind w:left="660"/>
              <w:spacing w:after="0"/>
              <w:rPr>
                <w:sz w:val="20"/>
                <w:szCs w:val="20"/>
                <w:color w:val="auto"/>
              </w:rPr>
            </w:pPr>
            <w:r>
              <w:rPr>
                <w:rFonts w:ascii="Arial" w:cs="Arial" w:eastAsia="Arial" w:hAnsi="Arial"/>
                <w:sz w:val="20"/>
                <w:szCs w:val="20"/>
                <w:color w:val="auto"/>
                <w:w w:val="91"/>
              </w:rPr>
              <w:t>Future minimum lease payments required under operating leases as of September 30, 2018 are as follows:</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6"/>
        </w:trPr>
        <w:tc>
          <w:tcPr>
            <w:tcW w:w="9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b w:val="1"/>
                <w:bCs w:val="1"/>
                <w:color w:val="auto"/>
              </w:rPr>
              <w:t>Amount</w:t>
            </w:r>
          </w:p>
        </w:tc>
      </w:tr>
      <w:tr>
        <w:trPr>
          <w:trHeight w:val="27"/>
        </w:trPr>
        <w:tc>
          <w:tcPr>
            <w:tcW w:w="9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(remaining)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5,044</w:t>
            </w:r>
          </w:p>
        </w:tc>
      </w:tr>
      <w:tr>
        <w:trPr>
          <w:trHeight w:val="27"/>
        </w:trPr>
        <w:tc>
          <w:tcPr>
            <w:tcW w:w="9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5,254</w:t>
            </w:r>
          </w:p>
        </w:tc>
      </w:tr>
      <w:tr>
        <w:trPr>
          <w:trHeight w:val="27"/>
        </w:trPr>
        <w:tc>
          <w:tcPr>
            <w:tcW w:w="9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3,742</w:t>
            </w:r>
          </w:p>
        </w:tc>
      </w:tr>
      <w:tr>
        <w:trPr>
          <w:trHeight w:val="27"/>
        </w:trPr>
        <w:tc>
          <w:tcPr>
            <w:tcW w:w="9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3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23,905</w:t>
            </w:r>
          </w:p>
        </w:tc>
      </w:tr>
      <w:tr>
        <w:trPr>
          <w:trHeight w:val="27"/>
        </w:trPr>
        <w:tc>
          <w:tcPr>
            <w:tcW w:w="9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
        </w:trPr>
        <w:tc>
          <w:tcPr>
            <w:tcW w:w="9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incurred rent expense of $1,034 and $2,414 for the three and nine months ended September 30, 2017, respectively, and $1,173 and $3,128 for the three and nine months ended September 30, 2018, respectively, which is included in general and administrative expenses in the condensed consolidated statements of operations and comprehensive income.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w:t>
      </w:r>
    </w:p>
    <w:p>
      <w:pPr>
        <w:spacing w:after="0" w:line="2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conjunction with the Spin-Off, the Company signed a Facilities Service Agreement with Republic in which the Company agreed to sub-lease 40,657 square feet of office space to Republic. The sub-lease is non-cancellable and extends to May 2022. The Company recorded a reduction of rent expense of $251 and $697 for the three and nine months ended September 30, 2017, respectively, and $251 and $753 for the three and nine months ended September 30, 2018, respectively, which is included in general and administrative expenses in the condensed consolidated statements of operations and comprehensive income.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sub-lease receipts required under the non-cancellable lease as of September 30, 2018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b w:val="1"/>
                <w:bCs w:val="1"/>
                <w:color w:val="auto"/>
              </w:rPr>
              <w:t>Amount</w:t>
            </w:r>
          </w:p>
        </w:tc>
      </w:tr>
      <w:tr>
        <w:trPr>
          <w:trHeight w:val="27"/>
        </w:trPr>
        <w:tc>
          <w:tcPr>
            <w:tcW w:w="9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(remaining)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7"/>
        </w:trPr>
        <w:tc>
          <w:tcPr>
            <w:tcW w:w="9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7"/>
        </w:trPr>
        <w:tc>
          <w:tcPr>
            <w:tcW w:w="9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7"/>
        </w:trPr>
        <w:tc>
          <w:tcPr>
            <w:tcW w:w="94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w:t>
            </w:r>
          </w:p>
        </w:tc>
      </w:tr>
      <w:tr>
        <w:trPr>
          <w:trHeight w:val="27"/>
        </w:trPr>
        <w:tc>
          <w:tcPr>
            <w:tcW w:w="9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
        </w:trPr>
        <w:tc>
          <w:tcPr>
            <w:tcW w:w="9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Contractual Obligations</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September 30, 2018 the Company has $3,933 in other non-cancellable purchase obligations, consisting of primarily network equipment maintenance and software license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Matters</w:t>
      </w:r>
    </w:p>
    <w:p>
      <w:pPr>
        <w:spacing w:after="0" w:line="2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Employee Benefit Plan</w:t>
      </w:r>
    </w:p>
    <w:p>
      <w:pPr>
        <w:spacing w:after="0" w:line="2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sponsors a defined contribution 401(k) plan which allows eligible employees to defer a portion of their compensation. The Company, at its discretion, may make matching contributions. The Company made matching contributions of $181 and $596 for the three and nine months ended September 30, 2017, respectively, and $261 and $807 for the three and nine months ended September 30, 2018, respectively.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2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and state income taxes and certain non-deductible items.</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Company’s effective tax rate was 35.5% and 37.2% for the three and nine months ended September 30, 2017, respectively, and (1,221.1)% and (87.2)% for the three and nine months ended September 30, 2018, respectively. The change in tax rate is primarily due to the decrease in the federal statutory tax rate under the Tax Cuts and Jobs Act from 35.0% to 21.0%, as well as the impact of stock compensation tax deductions as a result of stock option exercises, which occurred during the three and nine months ended September 30, 2018.</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effective tax rate for the three and nine months ended September 30, 2018, respectively, is lower than the U.S. federal statutory rate of 21.0% primarily due to the impact of stock compensation tax deductions.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has been no material change to the Company’s SAB 118 assertion.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Related Parties</w:t>
      </w:r>
    </w:p>
    <w:p>
      <w:pPr>
        <w:spacing w:after="0" w:line="2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pre-IPO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 voting rights, the Company concluded that Republic is a VIE, but Bandwidth is not a primary beneficiary. The Company’s maximum exposure to loss relating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to this variable interest entity is limited to amounts due under the service agreements between the Company and Republic.</w:t>
      </w:r>
    </w:p>
    <w:p>
      <w:pPr>
        <w:spacing w:after="0" w:line="2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 received net compensation under the Transition Services Agreement of $37 and $548 for the three and nine months ended September 30, 2017, respectively, and $19 and $69 for the three and nine months ended September 30, 2018, respectively, which is included in general and administrative expenses in the condensed consolidated statements of operations and comprehensive income. In addition, there was approximately $15 and $6 due from Republic as of December 31, 2017 and September 30, 2018, respectively, which was recorded within accounts receivable in the accompanying condensed consolidated balance sheets.</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received rental payments under the Facilities Sharing Agreement of $251 and $697 for the three and nine months ended September 30, 2017, respectively, and $251 and $753 for the three and nine months ended September 30, 2018, respectively, which is included in general and administrative expenses in the condensed consolidated statements of operations and comprehensive income. No amounts were due to the Company under the Facilities Sharing Agreement as of December 31, 2017 and September 30, 2018.</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2017 and September 30, 2018.</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Master Services Agreement specifies certain wholesale telecommunications services to be provided by the Company. The agreement is cancellable at any time by either party. The Company provided telecommunication services to Republic of $550 and $1,623 for the three and nine months ended September 30, 2017, respectively, and $994 and $2,985 for the three and nine months ended September 30, 2018, respectively. The Company recognized such amounts as revenue in the accompanying condensed consolidated statements of operations and comprehensive income. As of December 31, 2017 and September 30, 2018, the Company had a receivable of $311 and $332, respectively, under the Master Services Agreement.</w:t>
      </w:r>
    </w:p>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Subsequent to the expiration of the 180-day blackout window on May 9, 2018, Republic employees that held Bandwidth stock options began exercising their options. Upon exercise, Bandwidth withholds the employee tax amounts due from the proceeds. For the three and nine months ended September 30, 2018, Bandwidth had collected on behalf of and remitted withholding tax to Republic of $2,691 and $9,166, respectively, and had a related payable of $0 as of September 30, 2018.</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Basic and Diluted Income per Common Share</w:t>
      </w:r>
    </w:p>
    <w:p>
      <w:pPr>
        <w:spacing w:after="0" w:line="2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During the year ended December 31, 2017, the Company used the two-class method to compute net income per common share, because it had issued securities, other than common stock, that contractually entitled the holders to participate in dividends and earnings. These participating securities included the Company’s redeemable convertible preferred stock which had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Diluted net income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21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As of January 1, 2018, the Company no longer had outstanding securities other than common stock, which required holders’ participation in dividends and earnings; therefore, the Company no longer was required to calculate EPS under the two-class method. Basic net income per share is computed by dividing net income by the weighted-average number of shares of common stock outstanding during the period. Diluted net income per share is computed by giving effect to all potential shares of common stock, including stock options, stock related to unvested restricted stock awards, and outstanding warrants to the extent dilutive.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basic and diluted earnings per share, or EPS,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18"/>
                <w:szCs w:val="18"/>
                <w:color w:val="auto"/>
              </w:rPr>
            </w:pPr>
          </w:p>
        </w:tc>
        <w:tc>
          <w:tcPr>
            <w:tcW w:w="23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19,213</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allocated to participating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19,213</w:t>
            </w: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618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11,828,657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11,814,045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18,300,435</w:t>
            </w:r>
          </w:p>
        </w:tc>
      </w:tr>
      <w:tr>
        <w:trPr>
          <w:trHeight w:val="243"/>
        </w:trPr>
        <w:tc>
          <w:tcPr>
            <w:tcW w:w="6180" w:type="dxa"/>
            <w:vAlign w:val="bottom"/>
          </w:tcPr>
          <w:p>
            <w:pPr>
              <w:ind w:left="340"/>
              <w:spacing w:after="0"/>
              <w:rPr>
                <w:sz w:val="20"/>
                <w:szCs w:val="20"/>
                <w:color w:val="auto"/>
              </w:rPr>
            </w:pPr>
            <w:r>
              <w:rPr>
                <w:rFonts w:ascii="Arial" w:cs="Arial" w:eastAsia="Arial" w:hAnsi="Arial"/>
                <w:sz w:val="18"/>
                <w:szCs w:val="18"/>
                <w:color w:val="auto"/>
              </w:rPr>
              <w:t>Dilutive effect of stock options, restricted stock units, and warrants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2,073,928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1,673,604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2,765,367</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13,252,737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21,146,124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13,487,649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21,065,802</w:t>
            </w:r>
          </w:p>
        </w:tc>
      </w:tr>
      <w:tr>
        <w:trPr>
          <w:trHeight w:val="20"/>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4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common share equivalents have been excluded from the calculation of weighted-average common shares outstanding, because the effect is anti-dilutive for the periods presented: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18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6280" w:type="dxa"/>
            <w:vAlign w:val="bottom"/>
          </w:tcPr>
          <w:p>
            <w:pPr>
              <w:spacing w:after="0"/>
              <w:rPr>
                <w:sz w:val="20"/>
                <w:szCs w:val="20"/>
                <w:color w:val="auto"/>
              </w:rPr>
            </w:pPr>
          </w:p>
        </w:tc>
        <w:tc>
          <w:tcPr>
            <w:tcW w:w="218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6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62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Anti-dilutive Disclosure</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340"/>
              <w:spacing w:after="0"/>
              <w:rPr>
                <w:sz w:val="20"/>
                <w:szCs w:val="20"/>
                <w:color w:val="auto"/>
              </w:rPr>
            </w:pPr>
            <w:r>
              <w:rPr>
                <w:rFonts w:ascii="Arial" w:cs="Arial" w:eastAsia="Arial" w:hAnsi="Arial"/>
                <w:sz w:val="18"/>
                <w:szCs w:val="18"/>
                <w:color w:val="auto"/>
              </w:rPr>
              <w:t>Series A redeemable convertible preferred stock outstanding</w:t>
            </w:r>
          </w:p>
        </w:tc>
        <w:tc>
          <w:tcPr>
            <w:tcW w:w="1200" w:type="dxa"/>
            <w:vAlign w:val="bottom"/>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and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Subsequent Events</w:t>
      </w:r>
    </w:p>
    <w:p>
      <w:pPr>
        <w:spacing w:after="0" w:line="26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On October 30, 2018, Bandwidth Inc. announced the resignation of its co-founder and director, Henry R. Kaestner, effective as of October 30, 2018.</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Company also announced that the Board of Directors (the “Board”) appointed Luke Roush to fill the vacancy resulting from Mr. Kaestner’s resignation, effective as of October 30, 2018. Mr. Roush will serve as a Class I Director and will serve until the 2021 annual meeting of the Company’s stockholders. Mr. Roush will also serve on the Board’s Audit Committee and Compensation Committee.</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Mr. Roush co-founded Sovereign’s Capital in 2012 and is a Managing Partner for Sovereign’s Capital. Prior to Sovereign’s Capital, Mr. Roush served as Vice President for Sales, Marketing, and Business Development at TransEnterix, a medical device company that developed and commercialized a minimally invasive surgical system in the United States, Europe, and Asia. Prior to joining TransEnterix, Mr. Roush served as Chief Operating Officer at Liquidia Technologies, a nanotechnology company focused on biopharmaceutical applications. Mr. Roush previously served as global marketing manager for the neurovascular stroke business at Boston Scientific. Mr. Roush graduated summa cum laude from Duke University, and later earned his MBA from The Fuqua School of Business.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Mr. Roush will receive the standard compensation provided to the Company’s independent directors. Mr. Roush will receive the following compensation in connection with his service on the Board:</w:t>
      </w:r>
    </w:p>
    <w:p>
      <w:pPr>
        <w:spacing w:after="0" w:line="69" w:lineRule="exact"/>
        <w:rPr>
          <w:sz w:val="20"/>
          <w:szCs w:val="20"/>
          <w:color w:val="auto"/>
        </w:rPr>
      </w:pPr>
    </w:p>
    <w:p>
      <w:pPr>
        <w:ind w:left="1100" w:hanging="120"/>
        <w:spacing w:after="0"/>
        <w:tabs>
          <w:tab w:leader="none" w:pos="11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annual retainer of $50,000 for service as a Board member;</w:t>
      </w:r>
    </w:p>
    <w:p>
      <w:pPr>
        <w:spacing w:after="0" w:line="94" w:lineRule="exact"/>
        <w:rPr>
          <w:rFonts w:ascii="Arial" w:cs="Arial" w:eastAsia="Arial" w:hAnsi="Arial"/>
          <w:sz w:val="20"/>
          <w:szCs w:val="20"/>
          <w:color w:val="auto"/>
        </w:rPr>
      </w:pPr>
    </w:p>
    <w:p>
      <w:pPr>
        <w:ind w:left="1100" w:hanging="120"/>
        <w:spacing w:after="0"/>
        <w:tabs>
          <w:tab w:leader="none" w:pos="11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annual retainer of $5,000 for service as an Audit Committee member; and</w:t>
      </w:r>
    </w:p>
    <w:p>
      <w:pPr>
        <w:spacing w:after="0" w:line="94" w:lineRule="exact"/>
        <w:rPr>
          <w:rFonts w:ascii="Arial" w:cs="Arial" w:eastAsia="Arial" w:hAnsi="Arial"/>
          <w:sz w:val="20"/>
          <w:szCs w:val="20"/>
          <w:color w:val="auto"/>
        </w:rPr>
      </w:pPr>
    </w:p>
    <w:p>
      <w:pPr>
        <w:ind w:left="1100" w:hanging="120"/>
        <w:spacing w:after="0"/>
        <w:tabs>
          <w:tab w:leader="none" w:pos="11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annual retainer of $2,500 for service as a Compensation Committee member.</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also provides that each of the Company’s independent directors, on an annual basis, will be granted restricted stock units having a grant date value of $75,000. Mr. Roush was awarded 378 restricted stock units, which represents a pro-rated grant date value of $18,750 for the year ending December 31, 2018. The grant will vest on December 31, 2018, subject to Mr. Roush’s continued service as a director.</w:t>
      </w:r>
    </w:p>
    <w:p>
      <w:pPr>
        <w:spacing w:after="0" w:line="23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In addition, Mr. Roush and the Company will enter into the Company’s standard indemnification agreement, the terms of which are described in the Company’s Registration Statement on Form S-1 (File No. 333-220945) (the “Registration Statement”) and a form of such agreement was filed as Exhibit 10.2 to the Registration Statement.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as of October 30, 2018, the Board’s Audit Committee consists of Brian D. Bailey, Luke Roush, and Douglas A. Suriano.</w:t>
      </w:r>
    </w:p>
    <w:p>
      <w:pPr>
        <w:spacing w:after="0" w:line="2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Effective as of October 30, 2018, the Board’s Compensation Committee consists of Brian D. Bailey, Luke Roush, and Douglas A Suriano.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231F20"/>
        </w:rPr>
        <w:t>The following discussion and analysis of our financial condition and results of operations should be read in conjunction with our condensed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6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the three months ended September 30, 2017 and 2018, total revenue was $41.3 million and $50.5 million, respectively. CPaaS revenue for the three months ended September 30, 2017 and 2018 was $33.4 million and $41.5 million, respectively, representing an increase of 24%. Net income for the three months ended September 30, 2017 and 2018 was $1.6 million and $2.5 million, respectively. The number of active CPaaS customer accounts increased from 918 as of September 30, 2017, to 1,155 as of September 30, 2018, which represents a 26%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w w:val="98"/>
              </w:rPr>
              <w:t>Nine months ended</w:t>
            </w:r>
          </w:p>
        </w:tc>
        <w:tc>
          <w:tcPr>
            <w:tcW w:w="24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87"/>
              </w:rPr>
              <w:t>September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77"/>
        </w:trPr>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7"/>
              </w:rPr>
              <w:t>(Dollars in thousands)</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active CPaaS customers (as of period end)</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Dollar-based net retention rate</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9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1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16,175</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2,652</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3,112</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4,936</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15,569</w:t>
            </w:r>
          </w:p>
        </w:tc>
        <w:tc>
          <w:tcPr>
            <w:tcW w:w="240" w:type="dxa"/>
            <w:vAlign w:val="bottom"/>
          </w:tcPr>
          <w:p>
            <w:pPr>
              <w:spacing w:after="0"/>
              <w:rPr>
                <w:sz w:val="21"/>
                <w:szCs w:val="21"/>
                <w:color w:val="auto"/>
              </w:rPr>
            </w:pPr>
          </w:p>
        </w:tc>
      </w:tr>
    </w:tbl>
    <w:p>
      <w:pPr>
        <w:spacing w:after="0" w:line="26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Number of Active CPaaS Customer Accounts</w:t>
      </w:r>
    </w:p>
    <w:p>
      <w:pPr>
        <w:spacing w:after="0" w:line="2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31F20"/>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2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For the three and nine months ended September 30, 2017 and 2018, </w:t>
      </w:r>
      <w:r>
        <w:rPr>
          <w:rFonts w:ascii="Arial" w:cs="Arial" w:eastAsia="Arial" w:hAnsi="Arial"/>
          <w:sz w:val="20"/>
          <w:szCs w:val="20"/>
          <w:color w:val="231F20"/>
        </w:rPr>
        <w:t>revenue from active CPaaS customer accounts represented</w:t>
      </w:r>
      <w:r>
        <w:rPr>
          <w:rFonts w:ascii="Arial" w:cs="Arial" w:eastAsia="Arial" w:hAnsi="Arial"/>
          <w:sz w:val="20"/>
          <w:szCs w:val="20"/>
          <w:color w:val="auto"/>
        </w:rPr>
        <w:t xml:space="preserve"> </w:t>
      </w:r>
      <w:r>
        <w:rPr>
          <w:rFonts w:ascii="Arial" w:cs="Arial" w:eastAsia="Arial" w:hAnsi="Arial"/>
          <w:sz w:val="20"/>
          <w:szCs w:val="20"/>
          <w:color w:val="231F20"/>
        </w:rPr>
        <w:t>approximately 99% of total CPaaS revenue.</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Dollar-Based Net Retention Rate</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Components of Statements of Operations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2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months ended September 30, 2017 and 2018, we generated 58% and 65% of our CPaaS revenue, respectively, from usage-based fees. We also earn monthly fees from services such as phone number services and 911 access service. For the three months ended September 30, 2017 and 2018, we generated 40% and 34% of our CPaaS revenue, respectively, in each period from monthly per unit fees.</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the nine months ended September 30, 2017 and 2018, we generated 57% and 64% of our CPaaS revenue, respectively, from usage-based fees. We also earn monthly fees from services such as phone number services and 911 access service. For the nine months ended September 30, 2017 and 2018, we generated 40% and 34% of our CPaaS revenue, respectively, in each period from monthly per unit fees. The remaining 2-3% of our CPaaS revenue is generated from other miscellaneous services.</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recognize accounts receivable at the time the customer is invoiced. Additionally, we record a receivable and revenue for unbilled revenue if the services have been delivered and are billable in subsequent periods. Unbilled revenue made up 42% and 50% of outstanding accounts receivable, net of allowance for doubtful accounts as of September 30, 2017 and 2018, respectively.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Research and Development</w:t>
      </w:r>
    </w:p>
    <w:p>
      <w:pPr>
        <w:spacing w:after="0" w:line="2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Research and development (“R&amp;D”)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Sales and Marketing</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Income Taxes</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three months ended September 30, 2017 and 2018, our effective tax rate was 35.5% and (1,221.1)%, respectively. The decrease in our effective tax rate is primarily due to the impact of stock compensation tax deductions from stock option exercises, as well as the decrease in the federal statutory tax rate under the Tax Cuts and Jobs Act (the “Act”).</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nine months ended September 30, 2017 and 2018, our effective tax rate was 37.2% and (87.2)%, respectively. The decrease in our effective tax rate is primarily due to the impact of stock compensation tax deductions from stock option exercises, as well as, the decrease in the federal statutory tax rate under the Act.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Non-GAAP Financial Measures</w:t>
      </w:r>
    </w:p>
    <w:p>
      <w:pPr>
        <w:spacing w:after="0" w:line="2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31F20"/>
        </w:rPr>
        <w:t>We use Non-GAAP gross profit, Non-GAAP gross margin, Adjusted EBITDA, Non-GAAP net income and free cash flow for financial and operational decision making and to evaluate period-to-period differences in our performance. Non-GAAP gross profit, Non-GAAP gross margin, Adjusted EBITDA, Non-GAAP net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below.</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Gross Profit and Non-GAAP Gross Margin</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227" w:lineRule="exact"/>
        <w:rPr>
          <w:sz w:val="20"/>
          <w:szCs w:val="20"/>
          <w:color w:val="auto"/>
        </w:rPr>
      </w:pPr>
    </w:p>
    <w:p>
      <w:pPr>
        <w:ind w:left="460" w:hanging="128"/>
        <w:spacing w:after="0"/>
        <w:tabs>
          <w:tab w:leader="none" w:pos="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depreciation; and</w:t>
      </w:r>
    </w:p>
    <w:p>
      <w:pPr>
        <w:spacing w:after="0" w:line="53" w:lineRule="exact"/>
        <w:rPr>
          <w:rFonts w:ascii="Arial" w:cs="Arial" w:eastAsia="Arial" w:hAnsi="Arial"/>
          <w:sz w:val="20"/>
          <w:szCs w:val="20"/>
          <w:color w:val="auto"/>
        </w:rPr>
      </w:pPr>
    </w:p>
    <w:p>
      <w:pPr>
        <w:ind w:left="460" w:hanging="128"/>
        <w:spacing w:after="0"/>
        <w:tabs>
          <w:tab w:leader="none" w:pos="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add back depreciation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Non-GAAP to remove the impact of these non-cash expenses, such as depreciation and stock-based compensation, is helpful to investors in assessing our gross profit and gross margin performance in a way that is similar to how management assesses our performance.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calculate Non-GAAP gross margin by dividing Non-GAAP gross profit by revenue, expressed as a percentage of revenue.</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Management uses Non-GAAP gross profit and Non-GAAP gross margin to evaluate operating performance and to determine resource allocation among our various service offerings. We believe that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Consolidated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72,366</w:t>
            </w: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3,214</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19,945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24,145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57,360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75,659</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Margin %</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r>
      <w:tr>
        <w:trPr>
          <w:trHeight w:val="27"/>
        </w:trPr>
        <w:tc>
          <w:tcPr>
            <w:tcW w:w="5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By Segment</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CPaaS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20" w:type="dxa"/>
            <w:vAlign w:val="bottom"/>
            <w:gridSpan w:val="5"/>
          </w:tcPr>
          <w:p>
            <w:pPr>
              <w:ind w:left="42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 Gross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51,229</w:t>
            </w:r>
          </w:p>
        </w:tc>
      </w:tr>
      <w:tr>
        <w:trPr>
          <w:trHeight w:val="243"/>
        </w:trPr>
        <w:tc>
          <w:tcPr>
            <w:tcW w:w="54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3,214</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64"/>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15,328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43,499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54,522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CPaaS Gross Margin %</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45 %</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r>
      <w:tr>
        <w:trPr>
          <w:trHeight w:val="27"/>
        </w:trPr>
        <w:tc>
          <w:tcPr>
            <w:tcW w:w="5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Other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are no Non-GAAP adjustments to gross profit for the Other segment</w:t>
      </w:r>
      <w:r>
        <w:rPr>
          <w:rFonts w:ascii="Arial" w:cs="Arial" w:eastAsia="Arial" w:hAnsi="Arial"/>
          <w:sz w:val="20"/>
          <w:szCs w:val="20"/>
          <w:b w:val="1"/>
          <w:bCs w:val="1"/>
          <w:color w:val="auto"/>
        </w:rPr>
        <w:t>.</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Adjusted EBITDA</w:t>
      </w:r>
    </w:p>
    <w:p>
      <w:pPr>
        <w:spacing w:after="0" w:line="25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231F20"/>
        </w:rPr>
        <w:t>We define Adjusted EBITDA as net income adjusted to reflect the addition or elimination of certain income statement items including, but not limited to:</w:t>
      </w:r>
    </w:p>
    <w:p>
      <w:pPr>
        <w:spacing w:after="0" w:line="217" w:lineRule="exact"/>
        <w:rPr>
          <w:sz w:val="20"/>
          <w:szCs w:val="20"/>
          <w:color w:val="auto"/>
        </w:rPr>
      </w:pPr>
    </w:p>
    <w:p>
      <w:pPr>
        <w:ind w:left="480" w:hanging="112"/>
        <w:spacing w:after="0"/>
        <w:tabs>
          <w:tab w:leader="none" w:pos="4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income tax provision (benefit);</w:t>
      </w:r>
    </w:p>
    <w:p>
      <w:pPr>
        <w:spacing w:after="0" w:line="53" w:lineRule="exact"/>
        <w:rPr>
          <w:rFonts w:ascii="Arial" w:cs="Arial" w:eastAsia="Arial" w:hAnsi="Arial"/>
          <w:sz w:val="20"/>
          <w:szCs w:val="20"/>
          <w:color w:val="231F20"/>
        </w:rPr>
      </w:pPr>
    </w:p>
    <w:p>
      <w:pPr>
        <w:ind w:left="480" w:hanging="112"/>
        <w:spacing w:after="0"/>
        <w:tabs>
          <w:tab w:leader="none" w:pos="4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interest expense (income), net;</w:t>
      </w:r>
    </w:p>
    <w:p>
      <w:pPr>
        <w:spacing w:after="0" w:line="53" w:lineRule="exact"/>
        <w:rPr>
          <w:rFonts w:ascii="Arial" w:cs="Arial" w:eastAsia="Arial" w:hAnsi="Arial"/>
          <w:sz w:val="20"/>
          <w:szCs w:val="20"/>
          <w:color w:val="231F20"/>
        </w:rPr>
      </w:pPr>
    </w:p>
    <w:p>
      <w:pPr>
        <w:ind w:left="480" w:hanging="112"/>
        <w:spacing w:after="0"/>
        <w:tabs>
          <w:tab w:leader="none" w:pos="4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depreciation and amortization expense;</w:t>
      </w:r>
    </w:p>
    <w:p>
      <w:pPr>
        <w:spacing w:after="0" w:line="53" w:lineRule="exact"/>
        <w:rPr>
          <w:rFonts w:ascii="Arial" w:cs="Arial" w:eastAsia="Arial" w:hAnsi="Arial"/>
          <w:sz w:val="20"/>
          <w:szCs w:val="20"/>
          <w:color w:val="231F20"/>
        </w:rPr>
      </w:pPr>
    </w:p>
    <w:p>
      <w:pPr>
        <w:ind w:left="480" w:hanging="112"/>
        <w:spacing w:after="0"/>
        <w:tabs>
          <w:tab w:leader="none" w:pos="4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stock-based compensation expense;</w:t>
      </w:r>
    </w:p>
    <w:p>
      <w:pPr>
        <w:spacing w:after="0" w:line="53" w:lineRule="exact"/>
        <w:rPr>
          <w:rFonts w:ascii="Arial" w:cs="Arial" w:eastAsia="Arial" w:hAnsi="Arial"/>
          <w:sz w:val="20"/>
          <w:szCs w:val="20"/>
          <w:color w:val="231F20"/>
        </w:rPr>
      </w:pPr>
    </w:p>
    <w:p>
      <w:pPr>
        <w:ind w:left="480" w:hanging="112"/>
        <w:spacing w:after="0"/>
        <w:tabs>
          <w:tab w:leader="none" w:pos="4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impairment of intangible assets, if any;</w:t>
      </w:r>
    </w:p>
    <w:p>
      <w:pPr>
        <w:spacing w:after="0" w:line="53" w:lineRule="exact"/>
        <w:rPr>
          <w:rFonts w:ascii="Arial" w:cs="Arial" w:eastAsia="Arial" w:hAnsi="Arial"/>
          <w:sz w:val="20"/>
          <w:szCs w:val="20"/>
          <w:color w:val="231F20"/>
        </w:rPr>
      </w:pPr>
    </w:p>
    <w:p>
      <w:pPr>
        <w:ind w:left="480" w:hanging="112"/>
        <w:spacing w:after="0"/>
        <w:tabs>
          <w:tab w:leader="none" w:pos="4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loss on disposal of property and equipment; and</w:t>
      </w:r>
    </w:p>
    <w:p>
      <w:pPr>
        <w:spacing w:after="0" w:line="53" w:lineRule="exact"/>
        <w:rPr>
          <w:rFonts w:ascii="Arial" w:cs="Arial" w:eastAsia="Arial" w:hAnsi="Arial"/>
          <w:sz w:val="20"/>
          <w:szCs w:val="20"/>
          <w:color w:val="231F20"/>
        </w:rPr>
      </w:pPr>
    </w:p>
    <w:p>
      <w:pPr>
        <w:ind w:left="480" w:hanging="112"/>
        <w:spacing w:after="0"/>
        <w:tabs>
          <w:tab w:leader="none" w:pos="4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change in fair value of financial instruments, including any change in shareholders’ anti-dilutive arrangements.</w:t>
      </w:r>
    </w:p>
    <w:p>
      <w:pPr>
        <w:spacing w:after="0" w:line="2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231F20"/>
        </w:rPr>
        <w:t>Adjusted EBITDA is a key measure u</w:t>
      </w:r>
      <w:r>
        <w:rPr>
          <w:rFonts w:ascii="Arial" w:cs="Arial" w:eastAsia="Arial" w:hAnsi="Arial"/>
          <w:sz w:val="19"/>
          <w:szCs w:val="19"/>
          <w:color w:val="000000"/>
        </w:rPr>
        <w:t>sed by management to understand and evaluate our core operating performance and trends, to</w:t>
      </w:r>
      <w:r>
        <w:rPr>
          <w:rFonts w:ascii="Arial" w:cs="Arial" w:eastAsia="Arial" w:hAnsi="Arial"/>
          <w:sz w:val="19"/>
          <w:szCs w:val="19"/>
          <w:color w:val="231F20"/>
        </w:rPr>
        <w:t xml:space="preserve"> </w:t>
      </w:r>
      <w:r>
        <w:rPr>
          <w:rFonts w:ascii="Arial" w:cs="Arial" w:eastAsia="Arial" w:hAnsi="Arial"/>
          <w:sz w:val="19"/>
          <w:szCs w:val="19"/>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1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5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19,213</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Income tax provision (benefit) (1)</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(8,949)</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3,685</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Change in fair value of shareholders' anti-dilutive arrangement (2)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17,835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16,175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firstLine="494"/>
        <w:spacing w:after="0" w:line="249" w:lineRule="auto"/>
        <w:tabs>
          <w:tab w:leader="none" w:pos="7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$4,163 and $11,215 of excess tax benefits associated with the exercise of stock options in the three and nine months ended September 30, 2018, respectively.</w:t>
      </w:r>
    </w:p>
    <w:p>
      <w:pPr>
        <w:spacing w:after="0" w:line="1" w:lineRule="exact"/>
        <w:rPr>
          <w:rFonts w:ascii="Arial" w:cs="Arial" w:eastAsia="Arial" w:hAnsi="Arial"/>
          <w:sz w:val="18"/>
          <w:szCs w:val="18"/>
          <w:color w:val="auto"/>
        </w:rPr>
      </w:pPr>
    </w:p>
    <w:p>
      <w:pPr>
        <w:ind w:right="20" w:firstLine="494"/>
        <w:spacing w:after="0" w:line="261" w:lineRule="auto"/>
        <w:tabs>
          <w:tab w:leader="none" w:pos="7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Relates to an anti-dilutive agreement which allows certain principal non-founder shareholders the ability to purchase additional common shares. See Note 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in the Annual Report on Form 10-K for further explanation.</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Net Income</w:t>
      </w:r>
    </w:p>
    <w:p>
      <w:pPr>
        <w:spacing w:after="0" w:line="25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We define Non-GAAP net income as net income adjusted for certain items affecting period-to-period comparability. Non-GAAP net income excludes:</w:t>
      </w:r>
    </w:p>
    <w:p>
      <w:pPr>
        <w:spacing w:after="0" w:line="204" w:lineRule="exact"/>
        <w:rPr>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53" w:lineRule="exact"/>
        <w:rPr>
          <w:rFonts w:ascii="Arial" w:cs="Arial" w:eastAsia="Arial" w:hAnsi="Arial"/>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change in fair value of shareholders’ antidilutive arrangement;</w:t>
      </w:r>
    </w:p>
    <w:p>
      <w:pPr>
        <w:spacing w:after="0" w:line="53" w:lineRule="exact"/>
        <w:rPr>
          <w:rFonts w:ascii="Arial" w:cs="Arial" w:eastAsia="Arial" w:hAnsi="Arial"/>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amortization of acquired intangible assets related to the acquisition of Dash Carrier Services, LLC;</w:t>
      </w:r>
    </w:p>
    <w:p>
      <w:pPr>
        <w:spacing w:after="0" w:line="53" w:lineRule="exact"/>
        <w:rPr>
          <w:rFonts w:ascii="Arial" w:cs="Arial" w:eastAsia="Arial" w:hAnsi="Arial"/>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impairment charges of intangibles assets</w:t>
      </w:r>
      <w:r>
        <w:rPr>
          <w:rFonts w:ascii="Arial" w:cs="Arial" w:eastAsia="Arial" w:hAnsi="Arial"/>
          <w:sz w:val="20"/>
          <w:szCs w:val="20"/>
          <w:color w:val="231F20"/>
        </w:rPr>
        <w:t>, if any</w:t>
      </w:r>
      <w:r>
        <w:rPr>
          <w:rFonts w:ascii="Arial" w:cs="Arial" w:eastAsia="Arial" w:hAnsi="Arial"/>
          <w:sz w:val="20"/>
          <w:szCs w:val="20"/>
          <w:color w:val="auto"/>
        </w:rPr>
        <w:t>;</w:t>
      </w:r>
    </w:p>
    <w:p>
      <w:pPr>
        <w:spacing w:after="0" w:line="53" w:lineRule="exact"/>
        <w:rPr>
          <w:rFonts w:ascii="Arial" w:cs="Arial" w:eastAsia="Arial" w:hAnsi="Arial"/>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loss on disposal of property and equipment;</w:t>
      </w:r>
    </w:p>
    <w:p>
      <w:pPr>
        <w:spacing w:after="0" w:line="53" w:lineRule="exact"/>
        <w:rPr>
          <w:rFonts w:ascii="Arial" w:cs="Arial" w:eastAsia="Arial" w:hAnsi="Arial"/>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estimated tax impact of above adjustments;</w:t>
      </w:r>
    </w:p>
    <w:p>
      <w:pPr>
        <w:spacing w:after="0" w:line="53" w:lineRule="exact"/>
        <w:rPr>
          <w:rFonts w:ascii="Arial" w:cs="Arial" w:eastAsia="Arial" w:hAnsi="Arial"/>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income tax benefit resulting from excess tax benefits associated with the exercise of stock options;</w:t>
      </w:r>
    </w:p>
    <w:p>
      <w:pPr>
        <w:spacing w:after="0" w:line="53" w:lineRule="exact"/>
        <w:rPr>
          <w:rFonts w:ascii="Arial" w:cs="Arial" w:eastAsia="Arial" w:hAnsi="Arial"/>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benefit resulting from the release of the valuation allowance on our deferred tax assets (“DTA”); and</w:t>
      </w:r>
    </w:p>
    <w:p>
      <w:pPr>
        <w:spacing w:after="0" w:line="53" w:lineRule="exact"/>
        <w:rPr>
          <w:rFonts w:ascii="Arial" w:cs="Arial" w:eastAsia="Arial" w:hAnsi="Arial"/>
          <w:sz w:val="20"/>
          <w:szCs w:val="20"/>
          <w:color w:val="auto"/>
        </w:rPr>
      </w:pPr>
    </w:p>
    <w:p>
      <w:pPr>
        <w:ind w:left="480" w:hanging="112"/>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impact on remeasurement of DTA as a result of 2017 tax reform.</w:t>
      </w:r>
    </w:p>
    <w:p>
      <w:pPr>
        <w:spacing w:after="0" w:line="35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8"/>
                <w:szCs w:val="18"/>
                <w:color w:val="auto"/>
              </w:rPr>
            </w:pPr>
          </w:p>
        </w:tc>
        <w:tc>
          <w:tcPr>
            <w:tcW w:w="22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ind w:left="4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19,213</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fair value of shareholders' anti-dilutive arrangement (1)</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Amortization related to acquisitions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Estimated tax effects of adjustments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benefit of option exercises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r>
      <w:tr>
        <w:trPr>
          <w:trHeight w:val="264"/>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Non-GAAP net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9,807</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income (loss) per Non-GAAP share</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70"/>
        </w:trPr>
        <w:tc>
          <w:tcPr>
            <w:tcW w:w="6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 Weighted Average Number of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11,828,657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19,072,196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11,814,045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18,300,435</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Non-GAAP Basic Shares</w:t>
            </w: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13,603,657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19,072,196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13,589,045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18,300,435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13,252,737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21,146,124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13,487,649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21,065,802</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Non-GAAP Diluted Shares</w:t>
            </w: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15,027,737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21,146,124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15,262,649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21,065,802</w:t>
            </w:r>
          </w:p>
        </w:tc>
      </w:tr>
      <w:tr>
        <w:trPr>
          <w:trHeight w:val="21"/>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firstLine="494"/>
        <w:spacing w:after="0" w:line="259" w:lineRule="auto"/>
        <w:tabs>
          <w:tab w:leader="none" w:pos="7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Relates to an anti-dilutive agreement which allowed certain principal non-founder shareholders the ability to purchase additional common shares. See Note 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in the Annual Report on Form 10-K for further explanation.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Free Cash Flow</w:t>
      </w:r>
    </w:p>
    <w:p>
      <w:pPr>
        <w:spacing w:after="0" w:line="2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20" w:type="dxa"/>
            <w:vAlign w:val="bottom"/>
            <w:gridSpan w:val="5"/>
          </w:tcPr>
          <w:p>
            <w:pPr>
              <w:ind w:left="42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8"/>
              </w:rPr>
              <w:t>4,671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9,677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24,001</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Net cash used in investing in capital assets (1)</w:t>
            </w:r>
          </w:p>
        </w:tc>
        <w:tc>
          <w:tcPr>
            <w:tcW w:w="300" w:type="dxa"/>
            <w:vAlign w:val="bottom"/>
          </w:tcPr>
          <w:p>
            <w:pPr>
              <w:spacing w:after="0"/>
              <w:rPr>
                <w:sz w:val="21"/>
                <w:szCs w:val="21"/>
                <w:color w:val="auto"/>
              </w:rPr>
            </w:pP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91"/>
              </w:rPr>
              <w:t>(2,020)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left="470"/>
              <w:spacing w:after="0"/>
              <w:rPr>
                <w:sz w:val="20"/>
                <w:szCs w:val="20"/>
                <w:color w:val="auto"/>
              </w:rPr>
            </w:pPr>
            <w:r>
              <w:rPr>
                <w:rFonts w:ascii="Arial" w:cs="Arial" w:eastAsia="Arial" w:hAnsi="Arial"/>
                <w:sz w:val="18"/>
                <w:szCs w:val="18"/>
                <w:color w:val="auto"/>
                <w:w w:val="91"/>
              </w:rPr>
              <w:t>(4,741)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w w:val="94"/>
              </w:rPr>
              <w:t>(8,432)</w:t>
            </w:r>
          </w:p>
        </w:tc>
      </w:tr>
      <w:tr>
        <w:trPr>
          <w:trHeight w:val="27"/>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b w:val="1"/>
                <w:bCs w:val="1"/>
                <w:color w:val="auto"/>
                <w:w w:val="88"/>
              </w:rPr>
              <w:t>2,651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3"/>
              </w:rPr>
              <w:t>4,936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98"/>
              </w:rPr>
              <w:t>15,569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Represents the acquisition cost of property, equipment and capitalized development costs for software for internal use.</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231F20"/>
        </w:rPr>
        <w:t>Consolidated Results of Operations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the consolidated statements of operations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3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CPaaS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33,397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96,591</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120,267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31,503</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41,338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50,454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120,489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151,770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CPaaS cost of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69,038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10,366</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66,431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79,404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CPaaS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51,229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21,137</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22,980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72,366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14,598</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33,635</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62,344</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stockholders’ anti-dilutive arrangement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8,949</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19,213</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60"/>
          </w:cols>
          <w:pgMar w:left="240" w:top="121" w:right="2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320" w:firstLine="648"/>
        <w:spacing w:after="0" w:line="260" w:lineRule="auto"/>
        <w:rPr>
          <w:sz w:val="20"/>
          <w:szCs w:val="20"/>
          <w:color w:val="auto"/>
        </w:rPr>
      </w:pPr>
      <w:r>
        <w:rPr>
          <w:rFonts w:ascii="Arial" w:cs="Arial" w:eastAsia="Arial" w:hAnsi="Arial"/>
          <w:sz w:val="20"/>
          <w:szCs w:val="20"/>
          <w:color w:val="231F20"/>
        </w:rPr>
        <w:t>The following table sets forth our results of operations as a percentage of our total revenue for the periods presented.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2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CPaaS revenue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14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CPaaS cost of revenue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Arial" w:cs="Arial" w:eastAsia="Arial" w:hAnsi="Arial"/>
                <w:sz w:val="18"/>
                <w:szCs w:val="18"/>
                <w:color w:val="auto"/>
              </w:rPr>
              <w:t>Other cost of revenue</w:t>
            </w:r>
          </w:p>
        </w:tc>
        <w:tc>
          <w:tcPr>
            <w:tcW w:w="14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CPaaS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profit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Other expense: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income, net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Arial" w:cs="Arial" w:eastAsia="Arial" w:hAnsi="Arial"/>
                <w:sz w:val="18"/>
                <w:szCs w:val="18"/>
                <w:color w:val="auto"/>
              </w:rPr>
              <w:t>Change in fair value of stockholders’ anti-dilutive arrangement</w:t>
            </w:r>
          </w:p>
        </w:tc>
        <w:tc>
          <w:tcPr>
            <w:tcW w:w="2000" w:type="dxa"/>
            <w:vAlign w:val="bottom"/>
            <w:gridSpan w:val="3"/>
          </w:tcPr>
          <w:p>
            <w:pPr>
              <w:jc w:val="right"/>
              <w:ind w:right="62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4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1"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Three Months Ended September 30, 2017 and 2018</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(Dollars in thousands)</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8,140</w:t>
            </w: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976</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50,454</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9,116</w:t>
            </w:r>
          </w:p>
        </w:tc>
        <w:tc>
          <w:tcPr>
            <w:tcW w:w="7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 xml:space="preserve">For the three months ended September 30, 2018, total revenue increased by $9.1 million, or 22%, compared to the same period in 2017, and CPaaS revenue increased by $8.1 million, or 24%, compared to the same period in 2017. </w:t>
      </w:r>
      <w:r>
        <w:rPr>
          <w:rFonts w:ascii="Arial" w:cs="Arial" w:eastAsia="Arial" w:hAnsi="Arial"/>
          <w:sz w:val="16"/>
          <w:szCs w:val="16"/>
          <w:color w:val="231F20"/>
        </w:rPr>
        <w:t>The increase in CPaaS revenue was primarily</w:t>
      </w:r>
      <w:r>
        <w:rPr>
          <w:rFonts w:ascii="Arial" w:cs="Arial" w:eastAsia="Arial" w:hAnsi="Arial"/>
          <w:sz w:val="16"/>
          <w:szCs w:val="16"/>
          <w:color w:val="auto"/>
        </w:rPr>
        <w:t xml:space="preserve"> </w:t>
      </w:r>
      <w:r>
        <w:rPr>
          <w:rFonts w:ascii="Arial" w:cs="Arial" w:eastAsia="Arial" w:hAnsi="Arial"/>
          <w:sz w:val="16"/>
          <w:szCs w:val="16"/>
          <w:color w:val="231F20"/>
        </w:rPr>
        <w:t xml:space="preserve">attributable to an increase in the usage of all our service offerings, particularly our voice and messaging usage, which accounted for $9.1 million of the increase in CPaaS revenue, and our phone number services and 911-enabled phone number services, which accounted for $1.4 million of the increase in CPaaS revenue. This overall increase in CPaaS revenue was partially offset by $2.4 million related to pricing decreases that we have implemented over time with our customers in the form of lower usage prices to increase the reach and scale of our platform. The changes in usage and price in the three months ended September 30, 2018 compared to the same period in 2017 were reflected in our dollar-based net retention rate of 117%. The increase in usage was also attributable to a 26% increase in the number of active CPaaS customer accounts, from 918 as of September 30, 2017 to 1,155 as of September 30, 2018. In addition, revenue from new CPaaS customers contributed $2.4 million, or 7%, to CPaaS revenue for the three months ended September 30, 2018 compared to $1.5 million, or 5% to CPaaS revenue in the same period in 2017. </w:t>
      </w:r>
      <w:r>
        <w:rPr>
          <w:rFonts w:ascii="Arial" w:cs="Arial" w:eastAsia="Arial" w:hAnsi="Arial"/>
          <w:sz w:val="16"/>
          <w:szCs w:val="16"/>
          <w:color w:val="000000"/>
        </w:rPr>
        <w:t>As a percentage of total revenue, CPaaS revenue increased from 81% to 82% from the three months ended</w:t>
      </w:r>
      <w:r>
        <w:rPr>
          <w:rFonts w:ascii="Arial" w:cs="Arial" w:eastAsia="Arial" w:hAnsi="Arial"/>
          <w:sz w:val="16"/>
          <w:szCs w:val="16"/>
          <w:color w:val="231F20"/>
        </w:rPr>
        <w:t xml:space="preserve"> </w:t>
      </w:r>
      <w:r>
        <w:rPr>
          <w:rFonts w:ascii="Arial" w:cs="Arial" w:eastAsia="Arial" w:hAnsi="Arial"/>
          <w:sz w:val="16"/>
          <w:szCs w:val="16"/>
          <w:color w:val="000000"/>
        </w:rPr>
        <w:t xml:space="preserve">September 30, 2017 to the same period in 2018. </w:t>
      </w:r>
      <w:r>
        <w:rPr>
          <w:rFonts w:ascii="Arial" w:cs="Arial" w:eastAsia="Arial" w:hAnsi="Arial"/>
          <w:sz w:val="16"/>
          <w:szCs w:val="16"/>
          <w:color w:val="231F20"/>
        </w:rPr>
        <w:t>Other revenue increased by $1.0 million, or 12%, due to a higher than usual amount of indirect</w:t>
      </w:r>
      <w:r>
        <w:rPr>
          <w:rFonts w:ascii="Arial" w:cs="Arial" w:eastAsia="Arial" w:hAnsi="Arial"/>
          <w:sz w:val="16"/>
          <w:szCs w:val="16"/>
          <w:color w:val="000000"/>
        </w:rPr>
        <w:t xml:space="preserve"> </w:t>
      </w:r>
      <w:r>
        <w:rPr>
          <w:rFonts w:ascii="Arial" w:cs="Arial" w:eastAsia="Arial" w:hAnsi="Arial"/>
          <w:sz w:val="16"/>
          <w:szCs w:val="16"/>
          <w:color w:val="231F20"/>
        </w:rPr>
        <w:t>revenue, which increased by $1.7 million. This increase was partially offset by the expected declines in our legacy services of $0.7 million.</w:t>
      </w:r>
    </w:p>
    <w:p>
      <w:pPr>
        <w:spacing w:after="0" w:line="3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(Dollars in thousands)</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19,247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23,996</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4,749</w:t>
            </w:r>
          </w:p>
        </w:tc>
        <w:tc>
          <w:tcPr>
            <w:tcW w:w="7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7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538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27,474</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7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22,980</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7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 xml:space="preserve">For the three months ended September 30, 2018, </w:t>
      </w:r>
      <w:r>
        <w:rPr>
          <w:rFonts w:ascii="Arial" w:cs="Arial" w:eastAsia="Arial" w:hAnsi="Arial"/>
          <w:sz w:val="16"/>
          <w:szCs w:val="16"/>
          <w:color w:val="231F20"/>
        </w:rPr>
        <w:t>total gross profit increased by $4.2 million, or 22%, compared to the same period in</w:t>
      </w:r>
      <w:r>
        <w:rPr>
          <w:rFonts w:ascii="Arial" w:cs="Arial" w:eastAsia="Arial" w:hAnsi="Arial"/>
          <w:sz w:val="16"/>
          <w:szCs w:val="16"/>
          <w:color w:val="auto"/>
        </w:rPr>
        <w:t xml:space="preserve"> </w:t>
      </w:r>
      <w:r>
        <w:rPr>
          <w:rFonts w:ascii="Arial" w:cs="Arial" w:eastAsia="Arial" w:hAnsi="Arial"/>
          <w:sz w:val="16"/>
          <w:szCs w:val="16"/>
          <w:color w:val="231F20"/>
        </w:rPr>
        <w:t xml:space="preserve">2017. Total gross margin increased from 45% to 46% during the same period. </w:t>
      </w:r>
      <w:r>
        <w:rPr>
          <w:rFonts w:ascii="Arial" w:cs="Arial" w:eastAsia="Arial" w:hAnsi="Arial"/>
          <w:sz w:val="16"/>
          <w:szCs w:val="16"/>
          <w:color w:val="000000"/>
        </w:rPr>
        <w:t>In 2018,</w:t>
      </w:r>
      <w:r>
        <w:rPr>
          <w:rFonts w:ascii="Arial" w:cs="Arial" w:eastAsia="Arial" w:hAnsi="Arial"/>
          <w:sz w:val="16"/>
          <w:szCs w:val="16"/>
          <w:color w:val="231F20"/>
        </w:rPr>
        <w:t xml:space="preserve"> CPaaS cost of revenue increased by $4.7 million, or 25% compared to the same period in 2017. CPaaS cost of revenue increased primarily due to an increase in voice usage costs of $2.7 million due to growth in minutes used by customers, partially offset by a decrease in the cost per minute from vendors. Network costs also increased $1.6 million due to network expansions. Cost of messaging increased by $0.4 million due to growth in messages used by customers. Cost of phone numbers increased by $0.1 million, partially offset by a $0.03 million decrease in 911 enabled numbers costs. For the three months ended September 30, 2017 and 2018, CPaaS gross margin remained flat at 42%. Excluding depreciation and stock-based compensation of $1.2 million </w:t>
      </w:r>
      <w:r>
        <w:rPr>
          <w:rFonts w:ascii="Arial" w:cs="Arial" w:eastAsia="Arial" w:hAnsi="Arial"/>
          <w:sz w:val="16"/>
          <w:szCs w:val="16"/>
          <w:color w:val="000000"/>
        </w:rPr>
        <w:t>for both the three months ended September 30, 2017 and 2018</w:t>
      </w:r>
      <w:r>
        <w:rPr>
          <w:rFonts w:ascii="Arial" w:cs="Arial" w:eastAsia="Arial" w:hAnsi="Arial"/>
          <w:sz w:val="16"/>
          <w:szCs w:val="16"/>
          <w:color w:val="231F20"/>
        </w:rPr>
        <w:t xml:space="preserve">, CPaaS Non-GAAP gross margin would have been 46% and 45% for the three months ended September 30, 2017 </w:t>
      </w:r>
      <w:r>
        <w:rPr>
          <w:rFonts w:ascii="Arial" w:cs="Arial" w:eastAsia="Arial" w:hAnsi="Arial"/>
          <w:sz w:val="16"/>
          <w:szCs w:val="16"/>
          <w:color w:val="000000"/>
        </w:rPr>
        <w:t>and 2018</w:t>
      </w:r>
      <w:r>
        <w:rPr>
          <w:rFonts w:ascii="Arial" w:cs="Arial" w:eastAsia="Arial" w:hAnsi="Arial"/>
          <w:sz w:val="16"/>
          <w:szCs w:val="16"/>
          <w:color w:val="231F20"/>
        </w:rPr>
        <w:t>, respectively, and total Non-GAAP gross margin would have been 48% for the same periods.</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Other cost of revenue increased by $0.2 million, which was due to a $0.4 million increase in cost of indirect revenue related to cost of carrier access revenue, partially offset by a $0.2 million decrease as a result of churn in legacy services.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(Dollars in thousands)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3,124</w:t>
            </w: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2,294</w:t>
            </w:r>
          </w:p>
        </w:tc>
        <w:tc>
          <w:tcPr>
            <w:tcW w:w="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1,779</w:t>
            </w:r>
          </w:p>
        </w:tc>
        <w:tc>
          <w:tcPr>
            <w:tcW w:w="7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54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7,197</w:t>
            </w:r>
          </w:p>
        </w:tc>
        <w:tc>
          <w:tcPr>
            <w:tcW w:w="7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September 30, 2018, </w:t>
      </w:r>
      <w:r>
        <w:rPr>
          <w:rFonts w:ascii="Arial" w:cs="Arial" w:eastAsia="Arial" w:hAnsi="Arial"/>
          <w:sz w:val="20"/>
          <w:szCs w:val="20"/>
          <w:color w:val="231F20"/>
        </w:rPr>
        <w:t>research and development expenses increased by $3.1 million, or 113%, compared to</w:t>
      </w:r>
      <w:r>
        <w:rPr>
          <w:rFonts w:ascii="Arial" w:cs="Arial" w:eastAsia="Arial" w:hAnsi="Arial"/>
          <w:sz w:val="20"/>
          <w:szCs w:val="20"/>
          <w:color w:val="auto"/>
        </w:rPr>
        <w:t xml:space="preserve"> </w:t>
      </w:r>
      <w:r>
        <w:rPr>
          <w:rFonts w:ascii="Arial" w:cs="Arial" w:eastAsia="Arial" w:hAnsi="Arial"/>
          <w:sz w:val="20"/>
          <w:szCs w:val="20"/>
          <w:color w:val="231F20"/>
        </w:rPr>
        <w:t>the same period in 2017. This increase was primarily due to increased personnel costs of $2.7 million and other non-headcount costs of $0.4 million.</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For the three months ended September 30, 2018, </w:t>
      </w:r>
      <w:r>
        <w:rPr>
          <w:rFonts w:ascii="Arial" w:cs="Arial" w:eastAsia="Arial" w:hAnsi="Arial"/>
          <w:sz w:val="18"/>
          <w:szCs w:val="18"/>
          <w:color w:val="231F20"/>
        </w:rPr>
        <w:t>sales and marketing expenses increased by $2.3 million, or 73%, compared to the</w:t>
      </w:r>
      <w:r>
        <w:rPr>
          <w:rFonts w:ascii="Arial" w:cs="Arial" w:eastAsia="Arial" w:hAnsi="Arial"/>
          <w:sz w:val="18"/>
          <w:szCs w:val="18"/>
          <w:color w:val="auto"/>
        </w:rPr>
        <w:t xml:space="preserve"> </w:t>
      </w:r>
      <w:r>
        <w:rPr>
          <w:rFonts w:ascii="Arial" w:cs="Arial" w:eastAsia="Arial" w:hAnsi="Arial"/>
          <w:sz w:val="18"/>
          <w:szCs w:val="18"/>
          <w:color w:val="231F20"/>
        </w:rPr>
        <w:t>same period in 2017 primarily due to an overall increase in sales personnel costs of $1.9 million and other non-headcount costs of $0.4 million.</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 months ended September 30, 2018, g</w:t>
      </w:r>
      <w:r>
        <w:rPr>
          <w:rFonts w:ascii="Arial" w:cs="Arial" w:eastAsia="Arial" w:hAnsi="Arial"/>
          <w:sz w:val="20"/>
          <w:szCs w:val="20"/>
          <w:color w:val="231F20"/>
        </w:rPr>
        <w:t>eneral and administrative expenses increased by $1.8 million</w:t>
      </w:r>
      <w:r>
        <w:rPr>
          <w:rFonts w:ascii="Arial" w:cs="Arial" w:eastAsia="Arial" w:hAnsi="Arial"/>
          <w:sz w:val="20"/>
          <w:szCs w:val="20"/>
          <w:color w:val="auto"/>
        </w:rPr>
        <w:t xml:space="preserve">, </w:t>
      </w:r>
      <w:r>
        <w:rPr>
          <w:rFonts w:ascii="Arial" w:cs="Arial" w:eastAsia="Arial" w:hAnsi="Arial"/>
          <w:sz w:val="20"/>
          <w:szCs w:val="20"/>
          <w:color w:val="231F20"/>
        </w:rPr>
        <w:t>or 18%,</w:t>
      </w:r>
      <w:r>
        <w:rPr>
          <w:rFonts w:ascii="Arial" w:cs="Arial" w:eastAsia="Arial" w:hAnsi="Arial"/>
          <w:sz w:val="20"/>
          <w:szCs w:val="20"/>
          <w:color w:val="auto"/>
        </w:rPr>
        <w:t xml:space="preserve"> compared to the same period in 2017. </w:t>
      </w:r>
      <w:r>
        <w:rPr>
          <w:rFonts w:ascii="Arial" w:cs="Arial" w:eastAsia="Arial" w:hAnsi="Arial"/>
          <w:sz w:val="20"/>
          <w:szCs w:val="20"/>
          <w:color w:val="231F20"/>
        </w:rPr>
        <w:t>This increase was due to higher professional expenses of $0.6 million, hosted software costs of $0.5 million facilities</w:t>
      </w:r>
      <w:r>
        <w:rPr>
          <w:rFonts w:ascii="Arial" w:cs="Arial" w:eastAsia="Arial" w:hAnsi="Arial"/>
          <w:sz w:val="20"/>
          <w:szCs w:val="20"/>
          <w:color w:val="auto"/>
        </w:rPr>
        <w:t xml:space="preserve"> </w:t>
      </w:r>
      <w:r>
        <w:rPr>
          <w:rFonts w:ascii="Arial" w:cs="Arial" w:eastAsia="Arial" w:hAnsi="Arial"/>
          <w:sz w:val="20"/>
          <w:szCs w:val="20"/>
          <w:color w:val="231F20"/>
        </w:rPr>
        <w:t>expense of $0.4 million, personnel cost of $0.1 million, and other non-headcount costs of $0.2 million also contributed the overall increase in general and administrative expenses.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Expense, Net</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For the three months ended September 30, 2018, interest expense decreased by $0.5 million compared to the same period in 2017, </w:t>
      </w:r>
      <w:r>
        <w:rPr>
          <w:rFonts w:ascii="Arial" w:cs="Arial" w:eastAsia="Arial" w:hAnsi="Arial"/>
          <w:sz w:val="20"/>
          <w:szCs w:val="20"/>
          <w:color w:val="000000"/>
        </w:rPr>
        <w:t>due</w:t>
      </w:r>
      <w:r>
        <w:rPr>
          <w:rFonts w:ascii="Arial" w:cs="Arial" w:eastAsia="Arial" w:hAnsi="Arial"/>
          <w:sz w:val="20"/>
          <w:szCs w:val="20"/>
          <w:color w:val="231F20"/>
        </w:rPr>
        <w:t xml:space="preserve"> </w:t>
      </w:r>
      <w:r>
        <w:rPr>
          <w:rFonts w:ascii="Arial" w:cs="Arial" w:eastAsia="Arial" w:hAnsi="Arial"/>
          <w:sz w:val="20"/>
          <w:szCs w:val="20"/>
          <w:color w:val="000000"/>
        </w:rPr>
        <w:t>to the repayment of all outstanding debt in 2017 with the proceeds from the IPO and increased interest income from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Expense</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September 30, 2018, </w:t>
      </w:r>
      <w:r>
        <w:rPr>
          <w:rFonts w:ascii="Arial" w:cs="Arial" w:eastAsia="Arial" w:hAnsi="Arial"/>
          <w:sz w:val="20"/>
          <w:szCs w:val="20"/>
          <w:color w:val="231F20"/>
        </w:rPr>
        <w:t>income tax expense decreased by $3.2 million compared to the same period in 2017.</w:t>
      </w:r>
      <w:r>
        <w:rPr>
          <w:rFonts w:ascii="Arial" w:cs="Arial" w:eastAsia="Arial" w:hAnsi="Arial"/>
          <w:sz w:val="20"/>
          <w:szCs w:val="20"/>
          <w:color w:val="auto"/>
        </w:rPr>
        <w:t xml:space="preserve"> </w:t>
      </w:r>
      <w:r>
        <w:rPr>
          <w:rFonts w:ascii="Arial" w:cs="Arial" w:eastAsia="Arial" w:hAnsi="Arial"/>
          <w:sz w:val="20"/>
          <w:szCs w:val="20"/>
          <w:color w:val="231F20"/>
        </w:rPr>
        <w:t>The effective tax rate for the three months ended September 30, 2018 was (1,221)% compared to 35% in the same period in 2017. The decrease in our effective tax rate is primarily due to the impact of stock compensation tax deductions from stock option exercises, as well as, the decrease in the federal statutory tax rate under the Act.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Nine Months Ended September 30, 2017 and 2018</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80"/>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Change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(Dollars in thousands)</w:t>
            </w: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120,267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23,676</w:t>
            </w: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31,503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7,605</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151,770</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31,281</w:t>
            </w:r>
          </w:p>
        </w:tc>
        <w:tc>
          <w:tcPr>
            <w:tcW w:w="7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For the nine months ended September 30, 2018, total revenue increased by $31.3 million, or 26%, compared to the same period in 2017, and CPaaS revenue increased by $23.7 million, or 25%, compared to the same period in 2017. </w:t>
      </w:r>
      <w:r>
        <w:rPr>
          <w:rFonts w:ascii="Arial" w:cs="Arial" w:eastAsia="Arial" w:hAnsi="Arial"/>
          <w:sz w:val="16"/>
          <w:szCs w:val="16"/>
          <w:color w:val="231F20"/>
        </w:rPr>
        <w:t>The increase in CPaaS revenue was</w:t>
      </w:r>
      <w:r>
        <w:rPr>
          <w:rFonts w:ascii="Arial" w:cs="Arial" w:eastAsia="Arial" w:hAnsi="Arial"/>
          <w:sz w:val="16"/>
          <w:szCs w:val="16"/>
          <w:color w:val="auto"/>
        </w:rPr>
        <w:t xml:space="preserve"> </w:t>
      </w:r>
      <w:r>
        <w:rPr>
          <w:rFonts w:ascii="Arial" w:cs="Arial" w:eastAsia="Arial" w:hAnsi="Arial"/>
          <w:sz w:val="16"/>
          <w:szCs w:val="16"/>
          <w:color w:val="231F20"/>
        </w:rPr>
        <w:t xml:space="preserve">primarily attributable to an increase in the usage of all our service offerings, particularly our voice and messaging usage, which accounted for </w:t>
      </w:r>
      <w:r>
        <w:rPr>
          <w:rFonts w:ascii="Arial" w:cs="Arial" w:eastAsia="Arial" w:hAnsi="Arial"/>
          <w:sz w:val="16"/>
          <w:szCs w:val="16"/>
          <w:color w:val="000000"/>
        </w:rPr>
        <w:t xml:space="preserve">$29.6 million </w:t>
      </w:r>
      <w:r>
        <w:rPr>
          <w:rFonts w:ascii="Arial" w:cs="Arial" w:eastAsia="Arial" w:hAnsi="Arial"/>
          <w:sz w:val="16"/>
          <w:szCs w:val="16"/>
          <w:color w:val="231F20"/>
        </w:rPr>
        <w:t>of the increase in CPaaS revenue, and our phone number services and 911-enabled phone number services, which accounted for</w:t>
      </w:r>
      <w:r>
        <w:rPr>
          <w:rFonts w:ascii="Arial" w:cs="Arial" w:eastAsia="Arial" w:hAnsi="Arial"/>
          <w:sz w:val="16"/>
          <w:szCs w:val="16"/>
          <w:color w:val="000000"/>
        </w:rPr>
        <w:t xml:space="preserve"> $4.6 million </w:t>
      </w:r>
      <w:r>
        <w:rPr>
          <w:rFonts w:ascii="Arial" w:cs="Arial" w:eastAsia="Arial" w:hAnsi="Arial"/>
          <w:sz w:val="16"/>
          <w:szCs w:val="16"/>
          <w:color w:val="231F20"/>
        </w:rPr>
        <w:t>of the increase in CPaaS revenue. This overall increase in CPaaS revenue was partially offset by</w:t>
      </w:r>
      <w:r>
        <w:rPr>
          <w:rFonts w:ascii="Arial" w:cs="Arial" w:eastAsia="Arial" w:hAnsi="Arial"/>
          <w:sz w:val="16"/>
          <w:szCs w:val="16"/>
          <w:color w:val="000000"/>
        </w:rPr>
        <w:t xml:space="preserve"> $10.4 million </w:t>
      </w:r>
      <w:r>
        <w:rPr>
          <w:rFonts w:ascii="Arial" w:cs="Arial" w:eastAsia="Arial" w:hAnsi="Arial"/>
          <w:sz w:val="16"/>
          <w:szCs w:val="16"/>
          <w:color w:val="231F20"/>
        </w:rPr>
        <w:t>related to pricing</w:t>
      </w:r>
      <w:r>
        <w:rPr>
          <w:rFonts w:ascii="Arial" w:cs="Arial" w:eastAsia="Arial" w:hAnsi="Arial"/>
          <w:sz w:val="16"/>
          <w:szCs w:val="16"/>
          <w:color w:val="000000"/>
        </w:rPr>
        <w:t xml:space="preserve"> </w:t>
      </w:r>
      <w:r>
        <w:rPr>
          <w:rFonts w:ascii="Arial" w:cs="Arial" w:eastAsia="Arial" w:hAnsi="Arial"/>
          <w:sz w:val="16"/>
          <w:szCs w:val="16"/>
          <w:color w:val="231F20"/>
        </w:rPr>
        <w:t xml:space="preserve">decreases that we have implemented over time with our customers in the form of lower usage prices to increase the reach and scale of our platform. The changes in usage and price in the nine months ended September 30, 2018 compared to the same period in </w:t>
      </w:r>
      <w:r>
        <w:rPr>
          <w:rFonts w:ascii="Arial" w:cs="Arial" w:eastAsia="Arial" w:hAnsi="Arial"/>
          <w:sz w:val="16"/>
          <w:szCs w:val="16"/>
          <w:color w:val="000000"/>
        </w:rPr>
        <w:t>2017</w:t>
      </w:r>
      <w:r>
        <w:rPr>
          <w:rFonts w:ascii="Arial" w:cs="Arial" w:eastAsia="Arial" w:hAnsi="Arial"/>
          <w:sz w:val="16"/>
          <w:szCs w:val="16"/>
          <w:color w:val="231F20"/>
        </w:rPr>
        <w:t xml:space="preserve"> were reflected in our dollar-based net retention rate of 117%. The increase in usage was also attributable to a 26% increase in the number of active CPaaS customer accounts, from 918 as of September 30, 2017 to 1,155 as of September 30, 2018. In addition, revenue from new CPaaS customers contributed $6.9 million, or 7%, to CPaaS revenue for the nine months ended September 30, 2018 compared to </w:t>
      </w:r>
      <w:r>
        <w:rPr>
          <w:rFonts w:ascii="Arial" w:cs="Arial" w:eastAsia="Arial" w:hAnsi="Arial"/>
          <w:sz w:val="16"/>
          <w:szCs w:val="16"/>
          <w:color w:val="000000"/>
        </w:rPr>
        <w:t>$4.0 million</w:t>
      </w:r>
      <w:r>
        <w:rPr>
          <w:rFonts w:ascii="Arial" w:cs="Arial" w:eastAsia="Arial" w:hAnsi="Arial"/>
          <w:sz w:val="16"/>
          <w:szCs w:val="16"/>
          <w:color w:val="231F20"/>
        </w:rPr>
        <w:t xml:space="preserve">, or 5% to CPaaS revenue in the same period in 2017. </w:t>
      </w:r>
      <w:r>
        <w:rPr>
          <w:rFonts w:ascii="Arial" w:cs="Arial" w:eastAsia="Arial" w:hAnsi="Arial"/>
          <w:sz w:val="16"/>
          <w:szCs w:val="16"/>
          <w:color w:val="000000"/>
        </w:rPr>
        <w:t>As a percentage of total revenue, CPaaS revenue decreased from 80% to 79% from the nine months ended</w:t>
      </w:r>
      <w:r>
        <w:rPr>
          <w:rFonts w:ascii="Arial" w:cs="Arial" w:eastAsia="Arial" w:hAnsi="Arial"/>
          <w:sz w:val="16"/>
          <w:szCs w:val="16"/>
          <w:color w:val="231F20"/>
        </w:rPr>
        <w:t xml:space="preserve"> </w:t>
      </w:r>
      <w:r>
        <w:rPr>
          <w:rFonts w:ascii="Arial" w:cs="Arial" w:eastAsia="Arial" w:hAnsi="Arial"/>
          <w:sz w:val="16"/>
          <w:szCs w:val="16"/>
          <w:color w:val="000000"/>
        </w:rPr>
        <w:t xml:space="preserve">September 30, 2017 to the same period in 2018. </w:t>
      </w:r>
      <w:r>
        <w:rPr>
          <w:rFonts w:ascii="Arial" w:cs="Arial" w:eastAsia="Arial" w:hAnsi="Arial"/>
          <w:sz w:val="16"/>
          <w:szCs w:val="16"/>
          <w:color w:val="231F20"/>
        </w:rPr>
        <w:t>Other revenue increased by</w:t>
      </w:r>
      <w:r>
        <w:rPr>
          <w:rFonts w:ascii="Arial" w:cs="Arial" w:eastAsia="Arial" w:hAnsi="Arial"/>
          <w:sz w:val="16"/>
          <w:szCs w:val="16"/>
          <w:color w:val="000000"/>
        </w:rPr>
        <w:t xml:space="preserve"> $7.6 million</w:t>
      </w:r>
      <w:r>
        <w:rPr>
          <w:rFonts w:ascii="Arial" w:cs="Arial" w:eastAsia="Arial" w:hAnsi="Arial"/>
          <w:sz w:val="16"/>
          <w:szCs w:val="16"/>
          <w:color w:val="231F20"/>
        </w:rPr>
        <w:t>, or 32%, for the nine months ended September 30,</w:t>
      </w:r>
      <w:r>
        <w:rPr>
          <w:rFonts w:ascii="Arial" w:cs="Arial" w:eastAsia="Arial" w:hAnsi="Arial"/>
          <w:sz w:val="16"/>
          <w:szCs w:val="16"/>
          <w:color w:val="000000"/>
        </w:rPr>
        <w:t xml:space="preserve"> </w:t>
      </w:r>
      <w:r>
        <w:rPr>
          <w:rFonts w:ascii="Arial" w:cs="Arial" w:eastAsia="Arial" w:hAnsi="Arial"/>
          <w:sz w:val="16"/>
          <w:szCs w:val="16"/>
          <w:color w:val="231F20"/>
        </w:rPr>
        <w:t xml:space="preserve">2018, due to an increase in indirect revenue of </w:t>
      </w:r>
      <w:r>
        <w:rPr>
          <w:rFonts w:ascii="Arial" w:cs="Arial" w:eastAsia="Arial" w:hAnsi="Arial"/>
          <w:sz w:val="16"/>
          <w:szCs w:val="16"/>
          <w:color w:val="000000"/>
        </w:rPr>
        <w:t>$9.8 million</w:t>
      </w:r>
      <w:r>
        <w:rPr>
          <w:rFonts w:ascii="Arial" w:cs="Arial" w:eastAsia="Arial" w:hAnsi="Arial"/>
          <w:sz w:val="16"/>
          <w:szCs w:val="16"/>
          <w:color w:val="231F20"/>
        </w:rPr>
        <w:t xml:space="preserve"> resulting from the settlement of a dispute and higher than expected other revenue for the three months ended September 30, 2018. This increase was partially offset by expected declines in our legacy services of </w:t>
      </w:r>
      <w:r>
        <w:rPr>
          <w:rFonts w:ascii="Arial" w:cs="Arial" w:eastAsia="Arial" w:hAnsi="Arial"/>
          <w:sz w:val="16"/>
          <w:szCs w:val="16"/>
          <w:color w:val="000000"/>
        </w:rPr>
        <w:t>$2.2 million</w:t>
      </w:r>
      <w:r>
        <w:rPr>
          <w:rFonts w:ascii="Arial" w:cs="Arial" w:eastAsia="Arial" w:hAnsi="Arial"/>
          <w:sz w:val="16"/>
          <w:szCs w:val="16"/>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(Dollars in thousands)</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56,394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69,038</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12,644</w:t>
            </w:r>
          </w:p>
        </w:tc>
        <w:tc>
          <w:tcPr>
            <w:tcW w:w="7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7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538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79,404</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12,973</w:t>
            </w:r>
          </w:p>
        </w:tc>
        <w:tc>
          <w:tcPr>
            <w:tcW w:w="7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72,366</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18,308</w:t>
            </w:r>
          </w:p>
        </w:tc>
        <w:tc>
          <w:tcPr>
            <w:tcW w:w="7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For the nine months ended September 30, 2018, </w:t>
      </w:r>
      <w:r>
        <w:rPr>
          <w:rFonts w:ascii="Arial" w:cs="Arial" w:eastAsia="Arial" w:hAnsi="Arial"/>
          <w:sz w:val="19"/>
          <w:szCs w:val="19"/>
          <w:color w:val="231F20"/>
        </w:rPr>
        <w:t>total gross profit increased by $18.3 million, or 34%, compared to the same period in</w:t>
      </w:r>
      <w:r>
        <w:rPr>
          <w:rFonts w:ascii="Arial" w:cs="Arial" w:eastAsia="Arial" w:hAnsi="Arial"/>
          <w:sz w:val="19"/>
          <w:szCs w:val="19"/>
          <w:color w:val="auto"/>
        </w:rPr>
        <w:t xml:space="preserve"> </w:t>
      </w:r>
      <w:r>
        <w:rPr>
          <w:rFonts w:ascii="Arial" w:cs="Arial" w:eastAsia="Arial" w:hAnsi="Arial"/>
          <w:sz w:val="19"/>
          <w:szCs w:val="19"/>
          <w:color w:val="231F20"/>
        </w:rPr>
        <w:t xml:space="preserve">2017. Total gross margin increased from 45% to 48% during the same period. </w:t>
      </w:r>
      <w:r>
        <w:rPr>
          <w:rFonts w:ascii="Arial" w:cs="Arial" w:eastAsia="Arial" w:hAnsi="Arial"/>
          <w:sz w:val="19"/>
          <w:szCs w:val="19"/>
          <w:color w:val="000000"/>
        </w:rPr>
        <w:t>In 2018,</w:t>
      </w:r>
      <w:r>
        <w:rPr>
          <w:rFonts w:ascii="Arial" w:cs="Arial" w:eastAsia="Arial" w:hAnsi="Arial"/>
          <w:sz w:val="19"/>
          <w:szCs w:val="19"/>
          <w:color w:val="231F20"/>
        </w:rPr>
        <w:t xml:space="preserve"> CPaaS cost of revenue increased by $12.6 million, or 22%, compared to the same period in 2017. CPaaS cost of revenue increased primarily due to an increase in voice usage costs of $8.6 million due to growth in minutes used by customers, partially offset by a decrease in the cost per minute from vendors. Network costs also increased $3.6 million due to network expansion. Cost of messaging increased by $0.6 million due to growth in messages used by customers. Cost of 911 enabled numbers decreased by $0.2 million due to a decrease in cost from vendors. For the nine months ended September 30, 2018, CPaaS gross margin increased from 42% to 43% compared to the same period in 2017. Excluding depreciation and stock-based compensation of $3.3 million for both the nine months ended September 30, 2017 and 2018, respectively, CPaaS Non-GAAP gross margin would have been 45% for the nine months ended September 30, 2017 and 2018, and total Non-GAAP gross margin would have been 48% and 50% for the same periods.</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Other cost of revenue increased by $0.3 million, which was due to a $1.2 million increase in cost of indirect revenue related to cost of carrier access revenue, partially offset by a $0.8 million decrease as a result of churn in legacy services.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80"/>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Change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(Dollars in thousands)</w:t>
            </w: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6,499</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7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54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62,344</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20,692</w:t>
            </w:r>
          </w:p>
        </w:tc>
        <w:tc>
          <w:tcPr>
            <w:tcW w:w="7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nine months ended September 30, 2018, </w:t>
      </w:r>
      <w:r>
        <w:rPr>
          <w:rFonts w:ascii="Arial" w:cs="Arial" w:eastAsia="Arial" w:hAnsi="Arial"/>
          <w:sz w:val="20"/>
          <w:szCs w:val="20"/>
          <w:color w:val="231F20"/>
        </w:rPr>
        <w:t>research and development expenses increased by $6.2 million, or 79%, compared to</w:t>
      </w:r>
      <w:r>
        <w:rPr>
          <w:rFonts w:ascii="Arial" w:cs="Arial" w:eastAsia="Arial" w:hAnsi="Arial"/>
          <w:sz w:val="20"/>
          <w:szCs w:val="20"/>
          <w:color w:val="auto"/>
        </w:rPr>
        <w:t xml:space="preserve"> </w:t>
      </w:r>
      <w:r>
        <w:rPr>
          <w:rFonts w:ascii="Arial" w:cs="Arial" w:eastAsia="Arial" w:hAnsi="Arial"/>
          <w:sz w:val="20"/>
          <w:szCs w:val="20"/>
          <w:color w:val="231F20"/>
        </w:rPr>
        <w:t>the same period in 2017. This increase was primarily due to increased personnel costs of $5.5 million and other non-headcount costs of $0.7 million.</w:t>
      </w:r>
    </w:p>
    <w:p>
      <w:pPr>
        <w:spacing w:after="0" w:line="18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For the nine months ended September 30, 2018, </w:t>
      </w:r>
      <w:r>
        <w:rPr>
          <w:rFonts w:ascii="Arial" w:cs="Arial" w:eastAsia="Arial" w:hAnsi="Arial"/>
          <w:sz w:val="18"/>
          <w:szCs w:val="18"/>
          <w:color w:val="231F20"/>
        </w:rPr>
        <w:t>sales and marketing expenses increased by $6.5 million, or 80%, compared to the same</w:t>
      </w:r>
      <w:r>
        <w:rPr>
          <w:rFonts w:ascii="Arial" w:cs="Arial" w:eastAsia="Arial" w:hAnsi="Arial"/>
          <w:sz w:val="18"/>
          <w:szCs w:val="18"/>
          <w:color w:val="auto"/>
        </w:rPr>
        <w:t xml:space="preserve"> </w:t>
      </w:r>
      <w:r>
        <w:rPr>
          <w:rFonts w:ascii="Arial" w:cs="Arial" w:eastAsia="Arial" w:hAnsi="Arial"/>
          <w:sz w:val="18"/>
          <w:szCs w:val="18"/>
          <w:color w:val="231F20"/>
        </w:rPr>
        <w:t>period in 2017 primarily due to an overall increase in sales personnel costs of $5.3 million and other non-headcount costs of $1.2 million.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nine months ended September 30, 2018, g</w:t>
      </w:r>
      <w:r>
        <w:rPr>
          <w:rFonts w:ascii="Arial" w:cs="Arial" w:eastAsia="Arial" w:hAnsi="Arial"/>
          <w:sz w:val="20"/>
          <w:szCs w:val="20"/>
          <w:color w:val="231F20"/>
        </w:rPr>
        <w:t>eneral and administrative expenses increased by $7.9 million</w:t>
      </w:r>
      <w:r>
        <w:rPr>
          <w:rFonts w:ascii="Arial" w:cs="Arial" w:eastAsia="Arial" w:hAnsi="Arial"/>
          <w:sz w:val="20"/>
          <w:szCs w:val="20"/>
          <w:color w:val="auto"/>
        </w:rPr>
        <w:t xml:space="preserve">, </w:t>
      </w:r>
      <w:r>
        <w:rPr>
          <w:rFonts w:ascii="Arial" w:cs="Arial" w:eastAsia="Arial" w:hAnsi="Arial"/>
          <w:sz w:val="20"/>
          <w:szCs w:val="20"/>
          <w:color w:val="231F20"/>
        </w:rPr>
        <w:t>or 31%,</w:t>
      </w:r>
      <w:r>
        <w:rPr>
          <w:rFonts w:ascii="Arial" w:cs="Arial" w:eastAsia="Arial" w:hAnsi="Arial"/>
          <w:sz w:val="20"/>
          <w:szCs w:val="20"/>
          <w:color w:val="auto"/>
        </w:rPr>
        <w:t xml:space="preserve"> compared to the same period in 2017. </w:t>
      </w:r>
      <w:r>
        <w:rPr>
          <w:rFonts w:ascii="Arial" w:cs="Arial" w:eastAsia="Arial" w:hAnsi="Arial"/>
          <w:sz w:val="20"/>
          <w:szCs w:val="20"/>
          <w:color w:val="231F20"/>
        </w:rPr>
        <w:t>This increase was due to higher personnel cost of $3.1 million. Professional expenses of $2.0 million, facilities</w:t>
      </w:r>
      <w:r>
        <w:rPr>
          <w:rFonts w:ascii="Arial" w:cs="Arial" w:eastAsia="Arial" w:hAnsi="Arial"/>
          <w:sz w:val="20"/>
          <w:szCs w:val="20"/>
          <w:color w:val="auto"/>
        </w:rPr>
        <w:t xml:space="preserve"> </w:t>
      </w:r>
      <w:r>
        <w:rPr>
          <w:rFonts w:ascii="Arial" w:cs="Arial" w:eastAsia="Arial" w:hAnsi="Arial"/>
          <w:sz w:val="20"/>
          <w:szCs w:val="20"/>
          <w:color w:val="231F20"/>
        </w:rPr>
        <w:t>expense of $1.1 million mainly as a result of additional office space, hosted software costs of $1.0 million and other non-headcount costs of $0.7 million also contributed the overall general and administrative expenses.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Expense, Net</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nine months ended September 30, 2018, </w:t>
      </w:r>
      <w:r>
        <w:rPr>
          <w:rFonts w:ascii="Arial" w:cs="Arial" w:eastAsia="Arial" w:hAnsi="Arial"/>
          <w:sz w:val="20"/>
          <w:szCs w:val="20"/>
          <w:color w:val="231F20"/>
        </w:rPr>
        <w:t>interest expense decreased by $1.5 million compared to the same period in 2017,</w:t>
      </w:r>
      <w:r>
        <w:rPr>
          <w:rFonts w:ascii="Arial" w:cs="Arial" w:eastAsia="Arial" w:hAnsi="Arial"/>
          <w:sz w:val="20"/>
          <w:szCs w:val="20"/>
          <w:color w:val="auto"/>
        </w:rPr>
        <w:t xml:space="preserve"> due to repayment of all outstanding debt in 2017 with the proceeds from the IPO and increased interest income from investments in marketable securities.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Expense</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nine months ended September 30, 2018, </w:t>
      </w:r>
      <w:r>
        <w:rPr>
          <w:rFonts w:ascii="Arial" w:cs="Arial" w:eastAsia="Arial" w:hAnsi="Arial"/>
          <w:sz w:val="20"/>
          <w:szCs w:val="20"/>
          <w:color w:val="231F20"/>
        </w:rPr>
        <w:t>income tax expense decreased by $12.8 million compared to the same period in 2017.</w:t>
      </w:r>
      <w:r>
        <w:rPr>
          <w:rFonts w:ascii="Arial" w:cs="Arial" w:eastAsia="Arial" w:hAnsi="Arial"/>
          <w:sz w:val="20"/>
          <w:szCs w:val="20"/>
          <w:color w:val="auto"/>
        </w:rPr>
        <w:t xml:space="preserve"> </w:t>
      </w:r>
      <w:r>
        <w:rPr>
          <w:rFonts w:ascii="Arial" w:cs="Arial" w:eastAsia="Arial" w:hAnsi="Arial"/>
          <w:sz w:val="20"/>
          <w:szCs w:val="20"/>
          <w:color w:val="231F20"/>
        </w:rPr>
        <w:t>The effective tax rate for the nine months ended September 30, 2018 was (87)% compared to 37% in the same period in 2017. The decrease in our effective tax rate is primarily due to the impact of stock compensation tax deductions from stock option exercises, as well as, the decrease in the federal statutory tax rate under the Act.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To date, our principal sources of liquidity have been the proceeds of $74.4 million, net of underwriting discounts and commissions, from our initial public offering in November 2017, in addition to free cash flow driven by payments received from customers using our services.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Statement of Cash Flows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summarizes our cash flows for the periods indicated:</w:t>
      </w:r>
    </w:p>
    <w:p>
      <w:pPr>
        <w:spacing w:after="0" w:line="268"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22860</wp:posOffset>
            </wp:positionV>
            <wp:extent cx="1620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8"/>
              </w:rPr>
              <w:t>9,677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0"/>
              </w:rPr>
              <w:t>24,001</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940" w:type="dxa"/>
            <w:vAlign w:val="bottom"/>
          </w:tcPr>
          <w:p>
            <w:pPr>
              <w:jc w:val="center"/>
              <w:ind w:left="310"/>
              <w:spacing w:after="0"/>
              <w:rPr>
                <w:sz w:val="20"/>
                <w:szCs w:val="20"/>
                <w:color w:val="auto"/>
              </w:rPr>
            </w:pPr>
            <w:r>
              <w:rPr>
                <w:rFonts w:ascii="Arial" w:cs="Arial" w:eastAsia="Arial" w:hAnsi="Arial"/>
                <w:sz w:val="18"/>
                <w:szCs w:val="18"/>
                <w:color w:val="auto"/>
                <w:w w:val="94"/>
              </w:rPr>
              <w:t>(4,738)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89"/>
              </w:rPr>
              <w:t>(23,289)</w:t>
            </w:r>
          </w:p>
        </w:tc>
      </w:tr>
      <w:tr>
        <w:trPr>
          <w:trHeight w:val="27"/>
        </w:trPr>
        <w:tc>
          <w:tcPr>
            <w:tcW w:w="8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4"/>
              </w:rPr>
              <w:t>(6,375)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0"/>
              </w:rPr>
              <w:t>10,225</w:t>
            </w:r>
          </w:p>
        </w:tc>
      </w:tr>
      <w:tr>
        <w:trPr>
          <w:trHeight w:val="237"/>
        </w:trPr>
        <w:tc>
          <w:tcPr>
            <w:tcW w:w="886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94"/>
              </w:rPr>
              <w:t>(1,436)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center"/>
              <w:ind w:left="250"/>
              <w:spacing w:after="0"/>
              <w:rPr>
                <w:sz w:val="20"/>
                <w:szCs w:val="20"/>
                <w:color w:val="auto"/>
              </w:rPr>
            </w:pPr>
            <w:r>
              <w:rPr>
                <w:rFonts w:ascii="Arial" w:cs="Arial" w:eastAsia="Arial" w:hAnsi="Arial"/>
                <w:sz w:val="18"/>
                <w:szCs w:val="18"/>
                <w:color w:val="auto"/>
                <w:w w:val="90"/>
              </w:rPr>
              <w:t>10,937</w:t>
            </w:r>
          </w:p>
        </w:tc>
      </w:tr>
      <w:tr>
        <w:trPr>
          <w:trHeight w:val="27"/>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Operating Activities</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nine months ended September 30, 2018, </w:t>
      </w:r>
      <w:r>
        <w:rPr>
          <w:rFonts w:ascii="Arial" w:cs="Arial" w:eastAsia="Arial" w:hAnsi="Arial"/>
          <w:sz w:val="20"/>
          <w:szCs w:val="20"/>
          <w:color w:val="231F20"/>
        </w:rPr>
        <w:t>cash provided by operating activities was $24.0 million, consisting of net income of</w:t>
      </w:r>
      <w:r>
        <w:rPr>
          <w:rFonts w:ascii="Arial" w:cs="Arial" w:eastAsia="Arial" w:hAnsi="Arial"/>
          <w:sz w:val="20"/>
          <w:szCs w:val="20"/>
          <w:color w:val="auto"/>
        </w:rPr>
        <w:t xml:space="preserve"> </w:t>
      </w:r>
      <w:r>
        <w:rPr>
          <w:rFonts w:ascii="Arial" w:cs="Arial" w:eastAsia="Arial" w:hAnsi="Arial"/>
          <w:sz w:val="20"/>
          <w:szCs w:val="20"/>
          <w:color w:val="231F20"/>
        </w:rPr>
        <w:t>$19.2 million adjusted for non-cash items. These non-cash items included depreciation and amortization expense of $4.1 million, stock-based compensation expenses of $2.0 million, deferred tax benefit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31F20"/>
        </w:rPr>
        <w:t>of $9.0 million and cash provided by changes in operating assets and liabilities of $7.7 million. Cash generated from operating assets and liabilities included an increase in deferred revenue of $5.3 million, an increase in accrued expenses and other liabilities of $6.5 million and a decrease in deferred costs of $0.3 million. Offsetting these cash generating items in assets and liabilities were an increase in accounts receivable of $2.6 million, an increase in prepaid expenses and other assets of $1.1 million and a decrease in accounts payable of $0.8 million, respectively.</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For the nine months ended September 30, 2017, </w:t>
      </w:r>
      <w:r>
        <w:rPr>
          <w:rFonts w:ascii="Arial" w:cs="Arial" w:eastAsia="Arial" w:hAnsi="Arial"/>
          <w:sz w:val="18"/>
          <w:szCs w:val="18"/>
          <w:color w:val="231F20"/>
        </w:rPr>
        <w:t>cash provided by operating activities was $9.7 million, consisting of net income of</w:t>
      </w:r>
      <w:r>
        <w:rPr>
          <w:rFonts w:ascii="Arial" w:cs="Arial" w:eastAsia="Arial" w:hAnsi="Arial"/>
          <w:sz w:val="18"/>
          <w:szCs w:val="18"/>
          <w:color w:val="auto"/>
        </w:rPr>
        <w:t xml:space="preserve"> </w:t>
      </w:r>
      <w:r>
        <w:rPr>
          <w:rFonts w:ascii="Arial" w:cs="Arial" w:eastAsia="Arial" w:hAnsi="Arial"/>
          <w:sz w:val="18"/>
          <w:szCs w:val="18"/>
          <w:color w:val="231F20"/>
        </w:rPr>
        <w:t>$6.6 million adjusted for non-cash items. These non-cash items included depreciation and amortization expense of $4.3 million, deferred tax expense of $3.5 million, stock-based compensation expenses of $1.1 million, change in fair value of stockholder's anti-dilutive arrangement of $0.7 million and cash used for changes in operating assets and liabilities of $6.6 million. Cash outflows from operating assets and liabilities included increases in accounts receivable of $1.9 million, prepaid expenses and other assets of $1.5 million, deferred costs of $3.6 million along with a decrease in accounts payable of $2.3 million. Offsetting these cash outflows was an increase in deferred revenue and advanced billings of $1.4 million and an increase in accrued expenses and other liabilities of $1.3 million.</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Investing Activities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For the nine months ended September 30, 2018, </w:t>
      </w:r>
      <w:r>
        <w:rPr>
          <w:rFonts w:ascii="Arial" w:cs="Arial" w:eastAsia="Arial" w:hAnsi="Arial"/>
          <w:sz w:val="19"/>
          <w:szCs w:val="19"/>
          <w:color w:val="231F20"/>
        </w:rPr>
        <w:t>cash used in investing activities from continuing operations was $23.3 million from the</w:t>
      </w:r>
      <w:r>
        <w:rPr>
          <w:rFonts w:ascii="Arial" w:cs="Arial" w:eastAsia="Arial" w:hAnsi="Arial"/>
          <w:sz w:val="19"/>
          <w:szCs w:val="19"/>
          <w:color w:val="auto"/>
        </w:rPr>
        <w:t xml:space="preserve"> </w:t>
      </w:r>
      <w:r>
        <w:rPr>
          <w:rFonts w:ascii="Arial" w:cs="Arial" w:eastAsia="Arial" w:hAnsi="Arial"/>
          <w:sz w:val="19"/>
          <w:szCs w:val="19"/>
          <w:color w:val="231F20"/>
        </w:rPr>
        <w:t>investment in marketable securities of $23.9 million, the purchase of property and equipment of $4.9 million and capitalized internally developed software costs of $3.5 million, partially offset by maturities of marketable securities of $9.0 million.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For the nine months ended September 30, 2017, </w:t>
      </w:r>
      <w:r>
        <w:rPr>
          <w:rFonts w:ascii="Arial" w:cs="Arial" w:eastAsia="Arial" w:hAnsi="Arial"/>
          <w:sz w:val="19"/>
          <w:szCs w:val="19"/>
          <w:color w:val="231F20"/>
        </w:rPr>
        <w:t>cash used in investing activities from continuing operations was $4.7 million from the</w:t>
      </w:r>
      <w:r>
        <w:rPr>
          <w:rFonts w:ascii="Arial" w:cs="Arial" w:eastAsia="Arial" w:hAnsi="Arial"/>
          <w:sz w:val="19"/>
          <w:szCs w:val="19"/>
          <w:color w:val="auto"/>
        </w:rPr>
        <w:t xml:space="preserve"> </w:t>
      </w:r>
      <w:r>
        <w:rPr>
          <w:rFonts w:ascii="Arial" w:cs="Arial" w:eastAsia="Arial" w:hAnsi="Arial"/>
          <w:sz w:val="19"/>
          <w:szCs w:val="19"/>
          <w:color w:val="231F20"/>
        </w:rPr>
        <w:t>purchase of property and equipment of $2.2 million and capitalized internally developed software costs of $2.6 million.</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Financing Activities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nine months ended September 30, 2018, </w:t>
      </w:r>
      <w:r>
        <w:rPr>
          <w:rFonts w:ascii="Arial" w:cs="Arial" w:eastAsia="Arial" w:hAnsi="Arial"/>
          <w:sz w:val="20"/>
          <w:szCs w:val="20"/>
          <w:color w:val="231F20"/>
        </w:rPr>
        <w:t>cash provided by financing activities from continuing operations was $10.2 million</w:t>
      </w:r>
      <w:r>
        <w:rPr>
          <w:rFonts w:ascii="Arial" w:cs="Arial" w:eastAsia="Arial" w:hAnsi="Arial"/>
          <w:sz w:val="20"/>
          <w:szCs w:val="20"/>
          <w:color w:val="auto"/>
        </w:rPr>
        <w:t xml:space="preserve"> </w:t>
      </w:r>
      <w:r>
        <w:rPr>
          <w:rFonts w:ascii="Arial" w:cs="Arial" w:eastAsia="Arial" w:hAnsi="Arial"/>
          <w:sz w:val="20"/>
          <w:szCs w:val="20"/>
          <w:color w:val="231F20"/>
        </w:rPr>
        <w:t>consisting primarily of $10.6 million in proceeds from the exercises of stock options, partially offset by $0.3 million in payments related to the cost of the IPO.</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For the nine months ended September 30, 2017, </w:t>
      </w:r>
      <w:r>
        <w:rPr>
          <w:rFonts w:ascii="Arial" w:cs="Arial" w:eastAsia="Arial" w:hAnsi="Arial"/>
          <w:sz w:val="20"/>
          <w:szCs w:val="20"/>
          <w:color w:val="231F20"/>
        </w:rPr>
        <w:t>cash used in financing activities from continuing operations was $6.4 million</w:t>
      </w:r>
      <w:r>
        <w:rPr>
          <w:rFonts w:ascii="Arial" w:cs="Arial" w:eastAsia="Arial" w:hAnsi="Arial"/>
          <w:sz w:val="20"/>
          <w:szCs w:val="20"/>
          <w:color w:val="auto"/>
        </w:rPr>
        <w:t xml:space="preserve"> </w:t>
      </w:r>
      <w:r>
        <w:rPr>
          <w:rFonts w:ascii="Arial" w:cs="Arial" w:eastAsia="Arial" w:hAnsi="Arial"/>
          <w:sz w:val="20"/>
          <w:szCs w:val="20"/>
          <w:color w:val="231F20"/>
        </w:rPr>
        <w:t>consisting primarily of $5.0 million in net repayments on our line of credit and $1.5 million in repayments on our term loan.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Debt</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231F20"/>
        </w:rPr>
        <w:t xml:space="preserve">As of </w:t>
      </w:r>
      <w:r>
        <w:rPr>
          <w:rFonts w:ascii="Arial" w:cs="Arial" w:eastAsia="Arial" w:hAnsi="Arial"/>
          <w:sz w:val="20"/>
          <w:szCs w:val="20"/>
          <w:color w:val="000000"/>
        </w:rPr>
        <w:t>September 30, 2018, the Company had $0 outstanding on the revolving loan and was in compliance with all financial and non-financial covenants for all periods presented. The available borrowing capacity under our revolving credit facility loan was $25.0 million as of September 30, 2018.</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September 30, 2018, the outstanding unamortized loan fees for the revolving loan was $0.1 million and were included in other long-term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Other Commitments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non-cancellable contractual obligations as of September 30,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More</w:t>
            </w:r>
          </w:p>
        </w:tc>
      </w:tr>
      <w:tr>
        <w:trPr>
          <w:trHeight w:val="216"/>
        </w:trPr>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than 1</w:t>
            </w:r>
          </w:p>
        </w:tc>
        <w:tc>
          <w:tcPr>
            <w:tcW w:w="12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b w:val="1"/>
                <w:bCs w:val="1"/>
                <w:color w:val="auto"/>
              </w:rPr>
              <w:t>1 to 2</w:t>
            </w:r>
          </w:p>
        </w:tc>
        <w:tc>
          <w:tcPr>
            <w:tcW w:w="3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3 to 5</w:t>
            </w:r>
          </w:p>
        </w:tc>
        <w:tc>
          <w:tcPr>
            <w:tcW w:w="30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than 5</w:t>
            </w:r>
          </w:p>
        </w:tc>
      </w:tr>
      <w:tr>
        <w:trPr>
          <w:trHeight w:val="234"/>
        </w:trPr>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r>
      <w:tr>
        <w:trPr>
          <w:trHeight w:val="27"/>
        </w:trPr>
        <w:tc>
          <w:tcPr>
            <w:tcW w:w="3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Capital leases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 (2)</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2,688</w:t>
            </w:r>
          </w:p>
        </w:tc>
      </w:tr>
      <w:tr>
        <w:trPr>
          <w:trHeight w:val="27"/>
        </w:trPr>
        <w:tc>
          <w:tcPr>
            <w:tcW w:w="3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3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w:t>
      </w:r>
    </w:p>
    <w:p>
      <w:pPr>
        <w:spacing w:after="0" w:line="7" w:lineRule="exact"/>
        <w:rPr>
          <w:rFonts w:ascii="Arial" w:cs="Arial" w:eastAsia="Arial" w:hAnsi="Arial"/>
          <w:sz w:val="18"/>
          <w:szCs w:val="18"/>
          <w:color w:val="auto"/>
        </w:rPr>
      </w:pPr>
    </w:p>
    <w:p>
      <w:pPr>
        <w:ind w:right="20" w:firstLine="656"/>
        <w:spacing w:after="0" w:line="261" w:lineRule="auto"/>
        <w:tabs>
          <w:tab w:leader="none" w:pos="916"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Purchase obligations represent total future minimum payments under contracts to various service providers, and exclude agreements that are cancellable without penalty.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Off-Balance Sheet Arrangements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have not entered into any off-balance sheet arrangements and do not have any holdings in variable interest entities.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Accounting Policies and Significant Judgments and Estimates</w:t>
      </w:r>
    </w:p>
    <w:p>
      <w:pPr>
        <w:spacing w:after="0" w:line="2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26, 2018.</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Guidance</w:t>
      </w:r>
    </w:p>
    <w:p>
      <w:pPr>
        <w:spacing w:after="0" w:line="2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See Note 2, “Summary of Significant Accounting Policies,” to the unaudited condensed consolidated financial statements included elsewhere in this Quarterly Report on Form 10-Q, for a summary of recently adopted accounting standards and recent accounting pronouncements not yet adopted.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1"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primary exposure to market risk relates to interest rate changes. We had cash and cash equivalents of $48.6 million and marketable securities of $14.9 million as of September 30, 2018, which were held for working capital purposes. Our cash and cash equivalents are comprised primarily of interest bearing checking accounts and money market accounts. Marketable securities consist of U.S. treasury securities not otherwise classified as cash equivalents.</w:t>
      </w:r>
    </w:p>
    <w:p>
      <w:pPr>
        <w:spacing w:after="0" w:line="2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debt is comprised of a revolving line of credit account, which had no amount outstanding as of September 30, 2018. The revolving line of credit has an interest rate based on the 1-month LIBOR rate plus 225 basis points as of September 30, 2018. A one-eighth percentage point increase or decrease in the applicable rate for our credit facility (assuming the revolving portion of the credit facility is fully drawn) would have an annual impact of less than $0.1 million on cash interest expense.</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2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customers consume our services primarily in the United States. Our revenue and expenses are denominated in U.S. dollars and as a result we have no foreign currency risk.</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Inflation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32"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231F20"/>
        </w:rPr>
        <w:t>Item 4. Controls and Procedures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Evaluation of disclosure controls and procedures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Changes in internal control over financial reporting</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There were no changes in our internal control over financial reporting identified in connection with the evaluation required by Rule 13a-15(d) and 15d-15(d) of the Exchange Act during the period covered by this Quarterly Report on Form 10-Q that materially affected, or are reasonably likely to materially affect, our internal control over financial reporting.</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Inherent limitation on the effectiveness of internal control</w:t>
      </w:r>
    </w:p>
    <w:p>
      <w:pPr>
        <w:spacing w:after="0" w:line="2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On September 5, 2017, Phone Recovery Services filed a notice of appeal to the Minnesota Supreme Court. To date, we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32" w:right="239" w:bottom="1440" w:gutter="0" w:footer="0" w:header="0"/>
        </w:sectPr>
      </w:pPr>
    </w:p>
    <w:bookmarkStart w:id="46" w:name="page47"/>
    <w:bookmarkEnd w:id="46"/>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have not received any material adverse decision in connection with those matters. The case in Allegheny County, Pennsylvania has been stayed pending the outcome of a related proceeding before the FCC.</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face similar lawsuits brought directly by various state and local governments alleging underpayment of 911 taxes and surcharges, although we understand that Phone Recovery Services may be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County, Clarion County, Cumberland County, Dauphin County, Delaware County, Lancaster County, Lebanon County, Mercer County, Somerset County, Washington County, Westmoreland County, and York County, Pennsylvania (collectively, the “Pennsylvania Cases”); and Richland County, Charleston County, Dorchester County, and Town of Summerville, South Carolina. The complaints allege that we failed to bill, collect and remit certain taxes and surcharges associated with 911 service pursuant to applicable laws. The Georgia Cases have been closed administratively during the appeal of a related case in the Georgia courts; the Georgia Cases may be reopened. We understand that Augusta-Richmond County, Bartow County, Chatham County, Cherokee County, City of Atlanta, City of Savannah, Forsyth County, Houston County and Spalding County, Georgia each intends to initiate legal proceedings against us with allegations substantially similar to those in the Georgia Cases. The Pennsylvania Case in Butler County, Pennsylvania was dismissed in August 2016 and that dismissal is currently pending appeal; the remaining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addition to the litigation discussed above, from time to time, we may be subject to legal actions and claims in the ordinary course of business.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40" w:right="239" w:bottom="1440" w:gutter="0" w:footer="0" w:header="0"/>
        </w:sectPr>
      </w:pPr>
    </w:p>
    <w:bookmarkStart w:id="47" w:name="page48"/>
    <w:bookmarkEnd w:id="47"/>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success of our growth and expansion plans depends on a number of factors that are beyond our control.</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32" w:lineRule="exact"/>
        <w:rPr>
          <w:sz w:val="20"/>
          <w:szCs w:val="20"/>
          <w:color w:val="auto"/>
        </w:rPr>
      </w:pPr>
    </w:p>
    <w:p>
      <w:pPr>
        <w:ind w:left="460" w:hanging="1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and retention of qualified and effective personnel with the expertise required to sell and operate effectively or successfully;</w:t>
      </w:r>
    </w:p>
    <w:p>
      <w:pPr>
        <w:spacing w:after="0" w:line="184" w:lineRule="exact"/>
        <w:rPr>
          <w:rFonts w:ascii="Arial" w:cs="Arial" w:eastAsia="Arial" w:hAnsi="Arial"/>
          <w:sz w:val="18"/>
          <w:szCs w:val="18"/>
          <w:color w:val="auto"/>
        </w:rPr>
      </w:pPr>
    </w:p>
    <w:p>
      <w:pPr>
        <w:ind w:left="460" w:hanging="128"/>
        <w:spacing w:after="0"/>
        <w:tabs>
          <w:tab w:leader="none" w:pos="4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overall economic health of new and existing markets;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number and effectiveness of competitors;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pricing structure under which we will be able to purchase services required to serve our customers;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availability to us of technologies needed to remain competitive; and</w:t>
      </w:r>
    </w:p>
    <w:p>
      <w:pPr>
        <w:spacing w:after="0" w:line="161" w:lineRule="exact"/>
        <w:rPr>
          <w:rFonts w:ascii="Arial" w:cs="Arial" w:eastAsia="Arial" w:hAnsi="Arial"/>
          <w:sz w:val="20"/>
          <w:szCs w:val="20"/>
          <w:color w:val="auto"/>
        </w:rPr>
      </w:pPr>
    </w:p>
    <w:p>
      <w:pPr>
        <w:ind w:left="660" w:hanging="328"/>
        <w:spacing w:after="0" w:line="250" w:lineRule="auto"/>
        <w:tabs>
          <w:tab w:leader="none" w:pos="455" w:val="left"/>
        </w:tabs>
        <w:numPr>
          <w:ilvl w:val="0"/>
          <w:numId w:val="17"/>
        </w:numPr>
        <w:rPr>
          <w:rFonts w:ascii="Arial" w:cs="Arial" w:eastAsia="Arial" w:hAnsi="Arial"/>
          <w:sz w:val="20"/>
          <w:szCs w:val="20"/>
          <w:color w:val="auto"/>
        </w:rPr>
      </w:pPr>
      <w:r>
        <w:rPr>
          <w:rFonts w:ascii="Arial" w:cs="Arial" w:eastAsia="Arial" w:hAnsi="Arial"/>
          <w:sz w:val="20"/>
          <w:szCs w:val="20"/>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in which we participate is highly competitive, and if we do not compete effectively, our business, results of operations and financial condition could be harmed.</w:t>
      </w:r>
    </w:p>
    <w:p>
      <w:pPr>
        <w:spacing w:after="0" w:line="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141" w:lineRule="exact"/>
        <w:rPr>
          <w:sz w:val="20"/>
          <w:szCs w:val="20"/>
          <w:color w:val="auto"/>
        </w:rPr>
      </w:pPr>
    </w:p>
    <w:p>
      <w:pPr>
        <w:ind w:left="660" w:hanging="328"/>
        <w:spacing w:after="0" w:line="260" w:lineRule="auto"/>
        <w:tabs>
          <w:tab w:leader="none" w:pos="455" w:val="left"/>
        </w:tabs>
        <w:numPr>
          <w:ilvl w:val="0"/>
          <w:numId w:val="18"/>
        </w:numPr>
        <w:rPr>
          <w:rFonts w:ascii="Arial" w:cs="Arial" w:eastAsia="Arial" w:hAnsi="Arial"/>
          <w:sz w:val="20"/>
          <w:szCs w:val="20"/>
          <w:color w:val="auto"/>
        </w:rPr>
      </w:pPr>
      <w:r>
        <w:rPr>
          <w:rFonts w:ascii="Arial" w:cs="Arial" w:eastAsia="Arial" w:hAnsi="Arial"/>
          <w:sz w:val="20"/>
          <w:szCs w:val="20"/>
          <w:color w:val="auto"/>
        </w:rPr>
        <w:t>CPaaS companies that offer a narrower set of software APIs, less robust customer support and fewer other features while relying on third-party networks and physical infrastructure; and</w:t>
      </w:r>
    </w:p>
    <w:p>
      <w:pPr>
        <w:spacing w:after="0" w:line="122" w:lineRule="exact"/>
        <w:rPr>
          <w:rFonts w:ascii="Arial" w:cs="Arial" w:eastAsia="Arial" w:hAnsi="Arial"/>
          <w:sz w:val="20"/>
          <w:szCs w:val="20"/>
          <w:color w:val="auto"/>
        </w:rPr>
      </w:pPr>
    </w:p>
    <w:p>
      <w:pPr>
        <w:ind w:left="660" w:right="20" w:hanging="328"/>
        <w:spacing w:after="0" w:line="260" w:lineRule="auto"/>
        <w:tabs>
          <w:tab w:leader="none" w:pos="468" w:val="left"/>
        </w:tabs>
        <w:numPr>
          <w:ilvl w:val="0"/>
          <w:numId w:val="18"/>
        </w:numPr>
        <w:rPr>
          <w:rFonts w:ascii="Arial" w:cs="Arial" w:eastAsia="Arial" w:hAnsi="Arial"/>
          <w:sz w:val="20"/>
          <w:szCs w:val="20"/>
          <w:color w:val="auto"/>
        </w:rPr>
      </w:pPr>
      <w:r>
        <w:rPr>
          <w:rFonts w:ascii="Arial" w:cs="Arial" w:eastAsia="Arial" w:hAnsi="Arial"/>
          <w:sz w:val="20"/>
          <w:szCs w:val="20"/>
          <w:color w:val="auto"/>
        </w:rPr>
        <w:t>network service providers that offer limited developer functionality on top of their own networks and physical infrastructure, such as AT&amp;T, Level 3 and Verizon.</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40" w:right="239" w:bottom="1440" w:gutter="0" w:footer="0" w:header="0"/>
        </w:sectPr>
      </w:pPr>
    </w:p>
    <w:bookmarkStart w:id="48" w:name="page49"/>
    <w:bookmarkEnd w:id="48"/>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have difficulty or find it impractical to replace our services with a competitor’s services, while customers that use only limited functionality may be able to more easily replace our services with competitive offerings.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9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presently operate in the United States and provide certain limited services in Canada.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30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attract new customers in a cost-effective manner, then our business, results of operations and financial condition would be adversely affected.</w:t>
      </w:r>
    </w:p>
    <w:p>
      <w:pPr>
        <w:spacing w:after="0" w:line="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have been developing and providing a cloud-based platform that enables developers and organizations to integrate voice and messaging communications capabilities into their software applications. This market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40" w:right="239" w:bottom="1440" w:gutter="0" w:footer="0" w:header="0"/>
        </w:sectPr>
      </w:pPr>
    </w:p>
    <w:bookmarkStart w:id="49" w:name="page50"/>
    <w:bookmarkEnd w:id="49"/>
    <w:p>
      <w:pPr>
        <w:spacing w:after="0" w:line="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132" w:lineRule="exact"/>
        <w:rPr>
          <w:sz w:val="20"/>
          <w:szCs w:val="20"/>
          <w:color w:val="auto"/>
        </w:rPr>
      </w:pPr>
    </w:p>
    <w:p>
      <w:pPr>
        <w:ind w:left="460" w:hanging="128"/>
        <w:spacing w:after="0"/>
        <w:tabs>
          <w:tab w:leader="none" w:pos="4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do not maintain or improve our current relationships with existing key customers;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are not able to expand the available capacity on our network to meet our customers’ demands in a timely manner;</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do not develop new large wholesale and enterprise customers; or</w:t>
      </w:r>
    </w:p>
    <w:p>
      <w:pPr>
        <w:spacing w:after="0" w:line="161" w:lineRule="exact"/>
        <w:rPr>
          <w:rFonts w:ascii="Arial" w:cs="Arial" w:eastAsia="Arial" w:hAnsi="Arial"/>
          <w:sz w:val="20"/>
          <w:szCs w:val="20"/>
          <w:color w:val="auto"/>
        </w:rPr>
      </w:pPr>
    </w:p>
    <w:p>
      <w:pPr>
        <w:ind w:left="660" w:hanging="328"/>
        <w:spacing w:after="0" w:line="260" w:lineRule="auto"/>
        <w:tabs>
          <w:tab w:leader="none" w:pos="455"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customers determine to obtain these services from either their own network or from one of our competitors, then we may be unable to increase or maintain our revenue at acceptable margins.</w:t>
      </w:r>
    </w:p>
    <w:p>
      <w:pPr>
        <w:spacing w:after="0" w:line="2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40" w:right="239" w:bottom="1440" w:gutter="0" w:footer="0" w:header="0"/>
        </w:sectPr>
      </w:pPr>
    </w:p>
    <w:bookmarkStart w:id="50" w:name="page51"/>
    <w:bookmarkEnd w:id="50"/>
    <w:p>
      <w:pPr>
        <w:spacing w:after="0" w:line="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 introduction of new services, the success of these upgrades may be dependent on reaching mutually acceptable terms with vendors and on vendors meeting their obligations in a timely manner.</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3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40" w:right="239" w:bottom="1440" w:gutter="0" w:footer="0" w:header="0"/>
        </w:sectPr>
      </w:pPr>
    </w:p>
    <w:bookmarkStart w:id="51" w:name="page52"/>
    <w:bookmarkEnd w:id="51"/>
    <w:p>
      <w:pPr>
        <w:spacing w:after="0" w:line="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pricing and billing systems are complex and errors could adversely affect our revenue and profits.</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continue to develop effective business support systems to implement customer orders and to provide and bill for services.</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16" w:lineRule="exact"/>
        <w:rPr>
          <w:sz w:val="20"/>
          <w:szCs w:val="20"/>
          <w:color w:val="auto"/>
        </w:rPr>
      </w:pPr>
    </w:p>
    <w:p>
      <w:pPr>
        <w:ind w:left="460" w:hanging="128"/>
        <w:spacing w:after="0"/>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quoting, accepting and inputting customer orders for services;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provisioning, installing and delivering services;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40" w:right="239" w:bottom="1440" w:gutter="0" w:footer="0" w:header="0"/>
        </w:sectPr>
      </w:pPr>
    </w:p>
    <w:bookmarkStart w:id="52" w:name="page53"/>
    <w:bookmarkEnd w:id="52"/>
    <w:p>
      <w:pPr>
        <w:spacing w:after="0" w:line="61" w:lineRule="exact"/>
        <w:rPr>
          <w:sz w:val="20"/>
          <w:szCs w:val="20"/>
          <w:color w:val="auto"/>
        </w:rPr>
      </w:pPr>
    </w:p>
    <w:p>
      <w:pPr>
        <w:ind w:left="660" w:hanging="328"/>
        <w:spacing w:after="0" w:line="260" w:lineRule="auto"/>
        <w:tabs>
          <w:tab w:leader="none" w:pos="455"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billing for services.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30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40" w:right="239" w:bottom="1440" w:gutter="0" w:footer="0" w:header="0"/>
        </w:sectPr>
      </w:pPr>
    </w:p>
    <w:bookmarkStart w:id="53" w:name="page54"/>
    <w:bookmarkEnd w:id="53"/>
    <w:p>
      <w:pPr>
        <w:spacing w:after="0" w:line="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plan to expand our operations internationally, which will expose us to significant risks.</w:t>
      </w:r>
    </w:p>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part of our growth strategy, we are planning to expand our operations to include international offerings. We expect, in the future, to hire employees to provide international support to our existing U.S.-based customers and may, in the future, open foreign offices in order to reach new customers and further support our existing U.S.-based customers. Operating in international markets requires significant resources and management attention and will subject us to regulatory, economic and political risks in addition to those we already face in the United States. Because of our limited experience with international operations, our international expansion efforts may not be successful.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we may face risks in doing business internationally that could adversely affect our business, including:</w:t>
      </w:r>
    </w:p>
    <w:p>
      <w:pPr>
        <w:spacing w:after="0" w:line="148" w:lineRule="exact"/>
        <w:rPr>
          <w:sz w:val="20"/>
          <w:szCs w:val="20"/>
          <w:color w:val="auto"/>
        </w:rPr>
      </w:pPr>
    </w:p>
    <w:p>
      <w:pPr>
        <w:ind w:left="660" w:hanging="328"/>
        <w:spacing w:after="0" w:line="237" w:lineRule="auto"/>
        <w:tabs>
          <w:tab w:leader="none" w:pos="455"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exposure to political developments in the United Kingdom (“U.K.”), including the outcome of the U.K. referendum on membership in the European Union (“EU”), which has created an uncertain political and economic environment, instability for businesses and volatility in global financial markets;</w:t>
      </w:r>
    </w:p>
    <w:p>
      <w:pPr>
        <w:spacing w:after="0" w:line="129" w:lineRule="exact"/>
        <w:rPr>
          <w:rFonts w:ascii="Arial" w:cs="Arial" w:eastAsia="Arial" w:hAnsi="Arial"/>
          <w:sz w:val="20"/>
          <w:szCs w:val="20"/>
          <w:color w:val="auto"/>
        </w:rPr>
      </w:pPr>
    </w:p>
    <w:p>
      <w:pPr>
        <w:ind w:left="660" w:hanging="328"/>
        <w:spacing w:after="0" w:line="246" w:lineRule="auto"/>
        <w:tabs>
          <w:tab w:leader="none" w:pos="522"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effectively price our products in competitive international markets;</w:t>
      </w:r>
    </w:p>
    <w:p>
      <w:pPr>
        <w:spacing w:after="0" w:line="148" w:lineRule="exact"/>
        <w:rPr>
          <w:rFonts w:ascii="Arial" w:cs="Arial" w:eastAsia="Arial" w:hAnsi="Arial"/>
          <w:sz w:val="20"/>
          <w:szCs w:val="20"/>
          <w:color w:val="auto"/>
        </w:rPr>
      </w:pPr>
    </w:p>
    <w:p>
      <w:pPr>
        <w:ind w:left="460" w:hanging="128"/>
        <w:spacing w:after="0"/>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new and different sources of competition;</w:t>
      </w:r>
    </w:p>
    <w:p>
      <w:pPr>
        <w:spacing w:after="0" w:line="148" w:lineRule="exact"/>
        <w:rPr>
          <w:rFonts w:ascii="Arial" w:cs="Arial" w:eastAsia="Arial" w:hAnsi="Arial"/>
          <w:sz w:val="20"/>
          <w:szCs w:val="20"/>
          <w:color w:val="auto"/>
        </w:rPr>
      </w:pPr>
    </w:p>
    <w:p>
      <w:pPr>
        <w:ind w:left="460" w:hanging="128"/>
        <w:spacing w:after="0"/>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costs associated with network service provider fees outside of the United States;</w:t>
      </w:r>
    </w:p>
    <w:p>
      <w:pPr>
        <w:spacing w:after="0" w:line="148" w:lineRule="exact"/>
        <w:rPr>
          <w:rFonts w:ascii="Arial" w:cs="Arial" w:eastAsia="Arial" w:hAnsi="Arial"/>
          <w:sz w:val="20"/>
          <w:szCs w:val="20"/>
          <w:color w:val="auto"/>
        </w:rPr>
      </w:pPr>
    </w:p>
    <w:p>
      <w:pPr>
        <w:ind w:left="460" w:hanging="128"/>
        <w:spacing w:after="0"/>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need to adapt and localize our products for specific countries;</w:t>
      </w:r>
    </w:p>
    <w:p>
      <w:pPr>
        <w:spacing w:after="0" w:line="148" w:lineRule="exact"/>
        <w:rPr>
          <w:rFonts w:ascii="Arial" w:cs="Arial" w:eastAsia="Arial" w:hAnsi="Arial"/>
          <w:sz w:val="20"/>
          <w:szCs w:val="20"/>
          <w:color w:val="auto"/>
        </w:rPr>
      </w:pPr>
    </w:p>
    <w:p>
      <w:pPr>
        <w:ind w:left="660" w:hanging="328"/>
        <w:spacing w:after="0" w:line="246" w:lineRule="auto"/>
        <w:tabs>
          <w:tab w:leader="none" w:pos="455"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difficulties in understanding and complying with local laws, regulations and customs in foreign jurisdictions, particularly in the areas of data privacy and personal privacy;</w:t>
      </w:r>
    </w:p>
    <w:p>
      <w:pPr>
        <w:spacing w:after="0" w:line="122" w:lineRule="exact"/>
        <w:rPr>
          <w:rFonts w:ascii="Arial" w:cs="Arial" w:eastAsia="Arial" w:hAnsi="Arial"/>
          <w:sz w:val="20"/>
          <w:szCs w:val="20"/>
          <w:color w:val="auto"/>
        </w:rPr>
      </w:pPr>
    </w:p>
    <w:p>
      <w:pPr>
        <w:ind w:left="660" w:hanging="328"/>
        <w:spacing w:after="0" w:line="246" w:lineRule="auto"/>
        <w:tabs>
          <w:tab w:leader="none" w:pos="455"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122" w:lineRule="exact"/>
        <w:rPr>
          <w:rFonts w:ascii="Arial" w:cs="Arial" w:eastAsia="Arial" w:hAnsi="Arial"/>
          <w:sz w:val="20"/>
          <w:szCs w:val="20"/>
          <w:color w:val="auto"/>
        </w:rPr>
      </w:pPr>
    </w:p>
    <w:p>
      <w:pPr>
        <w:ind w:left="660" w:hanging="328"/>
        <w:spacing w:after="0" w:line="246" w:lineRule="auto"/>
        <w:tabs>
          <w:tab w:leader="none" w:pos="468"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22" w:lineRule="exact"/>
        <w:rPr>
          <w:rFonts w:ascii="Arial" w:cs="Arial" w:eastAsia="Arial" w:hAnsi="Arial"/>
          <w:sz w:val="20"/>
          <w:szCs w:val="20"/>
          <w:color w:val="auto"/>
        </w:rPr>
      </w:pPr>
    </w:p>
    <w:p>
      <w:pPr>
        <w:ind w:left="660" w:hanging="328"/>
        <w:spacing w:after="0" w:line="246" w:lineRule="auto"/>
        <w:tabs>
          <w:tab w:leader="none" w:pos="482"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compliance with various anti-bribery and anti-corruption laws, such as the U.S. Foreign Corrupt Practices Act and United Kingdom Bribery Act 2010;</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tariffs and other non-tariff barriers, such as quotas;</w:t>
      </w:r>
    </w:p>
    <w:p>
      <w:pPr>
        <w:spacing w:after="0" w:line="148" w:lineRule="exact"/>
        <w:rPr>
          <w:rFonts w:ascii="Arial" w:cs="Arial" w:eastAsia="Arial" w:hAnsi="Arial"/>
          <w:sz w:val="20"/>
          <w:szCs w:val="20"/>
          <w:color w:val="auto"/>
        </w:rPr>
      </w:pPr>
    </w:p>
    <w:p>
      <w:pPr>
        <w:ind w:left="460" w:hanging="128"/>
        <w:spacing w:after="0"/>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more limited protection for intellectual property rights in some countries;</w:t>
      </w:r>
    </w:p>
    <w:p>
      <w:pPr>
        <w:spacing w:after="0" w:line="148" w:lineRule="exact"/>
        <w:rPr>
          <w:rFonts w:ascii="Arial" w:cs="Arial" w:eastAsia="Arial" w:hAnsi="Arial"/>
          <w:sz w:val="20"/>
          <w:szCs w:val="20"/>
          <w:color w:val="auto"/>
        </w:rPr>
      </w:pPr>
    </w:p>
    <w:p>
      <w:pPr>
        <w:ind w:left="460" w:hanging="128"/>
        <w:spacing w:after="0"/>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adverse tax consequences;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40" w:right="239" w:bottom="1440" w:gutter="0" w:footer="0" w:header="0"/>
        </w:sectPr>
      </w:pPr>
    </w:p>
    <w:bookmarkStart w:id="54" w:name="page55"/>
    <w:bookmarkEnd w:id="54"/>
    <w:p>
      <w:pPr>
        <w:spacing w:after="0" w:line="61" w:lineRule="exact"/>
        <w:rPr>
          <w:sz w:val="20"/>
          <w:szCs w:val="20"/>
          <w:color w:val="auto"/>
        </w:rPr>
      </w:pPr>
    </w:p>
    <w:p>
      <w:pPr>
        <w:ind w:left="660" w:right="20" w:hanging="328"/>
        <w:spacing w:after="0" w:line="246" w:lineRule="auto"/>
        <w:tabs>
          <w:tab w:leader="none" w:pos="455" w:val="left"/>
        </w:tabs>
        <w:numPr>
          <w:ilvl w:val="0"/>
          <w:numId w:val="23"/>
        </w:numPr>
        <w:rPr>
          <w:rFonts w:ascii="Arial" w:cs="Arial" w:eastAsia="Arial" w:hAnsi="Arial"/>
          <w:sz w:val="20"/>
          <w:szCs w:val="20"/>
          <w:color w:val="auto"/>
        </w:rPr>
      </w:pPr>
      <w:r>
        <w:rPr>
          <w:rFonts w:ascii="Arial" w:cs="Arial" w:eastAsia="Arial" w:hAnsi="Arial"/>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currency control regulations, which might restrict or prohibit our conversion of other currencies into U.S. dollars;</w:t>
      </w:r>
    </w:p>
    <w:p>
      <w:pPr>
        <w:spacing w:after="0" w:line="148" w:lineRule="exact"/>
        <w:rPr>
          <w:rFonts w:ascii="Arial" w:cs="Arial" w:eastAsia="Arial" w:hAnsi="Arial"/>
          <w:sz w:val="20"/>
          <w:szCs w:val="20"/>
          <w:color w:val="auto"/>
        </w:rPr>
      </w:pPr>
    </w:p>
    <w:p>
      <w:pPr>
        <w:ind w:left="460" w:hanging="128"/>
        <w:spacing w:after="0"/>
        <w:tabs>
          <w:tab w:leader="none" w:pos="4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48" w:lineRule="exact"/>
        <w:rPr>
          <w:rFonts w:ascii="Arial" w:cs="Arial" w:eastAsia="Arial" w:hAnsi="Arial"/>
          <w:sz w:val="20"/>
          <w:szCs w:val="20"/>
          <w:color w:val="auto"/>
        </w:rPr>
      </w:pPr>
    </w:p>
    <w:p>
      <w:pPr>
        <w:ind w:left="460" w:hanging="128"/>
        <w:spacing w:after="0"/>
        <w:tabs>
          <w:tab w:leader="none" w:pos="4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deterioration of political relations between the United States and other countries; and</w:t>
      </w:r>
    </w:p>
    <w:p>
      <w:pPr>
        <w:spacing w:after="0" w:line="148" w:lineRule="exact"/>
        <w:rPr>
          <w:rFonts w:ascii="Arial" w:cs="Arial" w:eastAsia="Arial" w:hAnsi="Arial"/>
          <w:sz w:val="20"/>
          <w:szCs w:val="20"/>
          <w:color w:val="auto"/>
        </w:rPr>
      </w:pPr>
    </w:p>
    <w:p>
      <w:pPr>
        <w:ind w:left="660" w:hanging="328"/>
        <w:spacing w:after="0" w:line="246" w:lineRule="auto"/>
        <w:tabs>
          <w:tab w:leader="none" w:pos="455" w:val="left"/>
        </w:tabs>
        <w:numPr>
          <w:ilvl w:val="0"/>
          <w:numId w:val="23"/>
        </w:numPr>
        <w:rPr>
          <w:rFonts w:ascii="Arial" w:cs="Arial" w:eastAsia="Arial" w:hAnsi="Arial"/>
          <w:sz w:val="20"/>
          <w:szCs w:val="20"/>
          <w:color w:val="auto"/>
        </w:rPr>
      </w:pPr>
      <w:r>
        <w:rPr>
          <w:rFonts w:ascii="Arial" w:cs="Arial" w:eastAsia="Arial" w:hAnsi="Arial"/>
          <w:sz w:val="20"/>
          <w:szCs w:val="20"/>
          <w:color w:val="auto"/>
        </w:rPr>
        <w:t>political or social unrest or economic instability in a specific country or region in which we operate, which could have an adverse impact on our operations in that location.</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expand our operations and customer base internationally.</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failure to manage any of these risks successfully could delay our planned international expansion or, once developed, harm our international operations, and adversely affect our business, results of operations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revenue is concentrated in a limited number of enterprise customers.</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2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 and networks change frequently and may not be recognized until launched against a target, we may be unable to anticipate these techniques, and we may not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40" w:right="239" w:bottom="1440" w:gutter="0" w:footer="0" w:header="0"/>
        </w:sectPr>
      </w:pPr>
    </w:p>
    <w:bookmarkStart w:id="55" w:name="page56"/>
    <w:bookmarkEnd w:id="55"/>
    <w:p>
      <w:pPr>
        <w:spacing w:after="0" w:line="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3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South Carolina and the District of Columbia. See the section titled “Item 1.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2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a risk of litigation resulting from customer misuse of our services and software to make or send unauthorized calls and/or text messages in violation of the Telephone Consumer Protection Act.</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current or future regulations change, the Federal Communications Commission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40" w:right="239" w:bottom="1440" w:gutter="0" w:footer="0" w:header="0"/>
        </w:sectPr>
      </w:pPr>
    </w:p>
    <w:bookmarkStart w:id="56" w:name="page57"/>
    <w:bookmarkEnd w:id="56"/>
    <w:p>
      <w:pPr>
        <w:spacing w:after="0" w:line="1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effects of increased regulation of IP-based service providers are unknown.</w:t>
      </w:r>
    </w:p>
    <w:p>
      <w:pPr>
        <w:spacing w:after="0" w:line="1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While the FCC has to date generally subjected IP-based service providers to less stringent regulatory oversight than traditional common carriers, the FCC has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must obtain and maintain permits and licenses to operate our network.</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particular, although we have received approval from the FCC and almost all applicable state public utility commissions, we are currently awaiting approval from the state public utility commission of California (the “California commission”) in connection with our expected change of control. The California commission has issued a proposed decision that would, if approved by the California commission, deny the proposed transfer of control to our Chief Executive Officer and Chairman David A. Morken, revoke our current California license, and require us to apply for a new California license. The California commission’s proposed decision would provide that our current California license would remain effective during the pendency of our application for a new California license. We continue to work to correct both legal and factual errors in the California commission’s proposed decision and to obtain approval of our application from the California commission. An unfavorable resolution of our application could affect our ability to continue our California operations in the same manner that we historically have operated, but should not affect our ability to continue operations in California. We are not able to restrict holders of our Class B common stock from converting their shares of Class B common stock to Class A common stock, which may result in a change of control. If a change of control occurs prior to receipt of regulatory approval in California, we may be subject to fines, penalties, enforcement actions or loss of our authorization in California. In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40" w:right="239" w:bottom="1440" w:gutter="0" w:footer="0" w:header="0"/>
        </w:sectPr>
      </w:pPr>
    </w:p>
    <w:bookmarkStart w:id="57" w:name="page58"/>
    <w:bookmarkEnd w:id="57"/>
    <w:p>
      <w:pPr>
        <w:spacing w:after="0" w:line="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Our operations are subject to regulation at the national level and, often, at the state and local levels. Our operations may become subject to regulation by other countries if we expand to international markets.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29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The FCC recently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repeal of the pre-existing rules is not yet effective and several state attorneys’ general and associations have appealed the FCC’s repeal of the pre-existing network neutrality rules. There are also efforts in Congress to repeal the FCC’s January 2018 order. We cannot predict whether either the appeals or Congress will be successful and result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2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We are subject to privacy and data security obligations in the U.S. The FCC, other Federal agencies or state attorneys’ general could fine or subject us to other adverse actions that may negatively impact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40" w:right="239" w:bottom="1440" w:gutter="0" w:footer="0" w:header="0"/>
        </w:sectPr>
      </w:pPr>
    </w:p>
    <w:bookmarkStart w:id="58" w:name="page59"/>
    <w:bookmarkEnd w:id="58"/>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reputation. If we are subject to an investigation or suffer a breach, we may incur costs or be subject to forfeitures and penalties that could reduce our profitability.</w:t>
      </w:r>
    </w:p>
    <w:p>
      <w:pPr>
        <w:spacing w:after="0" w:line="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For certain of our internet-based and Bandwidth Communications Platform offerings, 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wholesale customers to which we provide services. We could also be subject to fines, forfeitures and other penalties that may adversely impact our business.</w:t>
      </w:r>
    </w:p>
    <w:p>
      <w:pPr>
        <w:spacing w:after="0" w:line="2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business is subject to complex and evolving foreign laws and regulations regarding privacy, data protection and other matters relating to information collection.</w:t>
      </w:r>
    </w:p>
    <w:p>
      <w:pPr>
        <w:spacing w:after="0" w:line="6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There are numerous foreign laws, regulations and directives regarding privacy and the collection, storage, transmission, use, processing, disclosure and protection of personally identifiable information (“PII”) and other personal or customer data, the scope of which is continually evolving and subject to differing interpretations. We must comply with such laws, regulations and directives and we may be subject to significant consequences, including penalties and fines, for our failure to comply.</w:t>
      </w:r>
    </w:p>
    <w:p>
      <w:pPr>
        <w:spacing w:after="0" w:line="21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For example, as of May 25, 2018, the General Data Protection Regulation (“GDPR”), has replaced the Data Protection Directive with respect to the processing of personal data in the European Union. The GDPR imposes several stringent requirements for controllers and processors of personal data (including non-EU processors who process personal data on behalf of European Union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personal data. Failure to comply with the requirements of GDPR and the applicable national data protection laws of the EU member states may result in fines of up to €20,000,000 or up to 4% of the total worldwide annual turnover of the preceding financial year, whichever is higher, and other administrative penalties. To comply with the new data protection rules imposed by GDPR, we may be required to put in place additional mechanisms ensuring compliance. This may be onerous and adversely affect our business, financial condition, results of operations and prospects.</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In addition, recent legal developments in Europe have created complexity and compliance uncertainty regarding certain transfers of information from the European Union to the United States. For example, the Privacy Shield Framework is under review and there is currently litigation challenging other EU mechanisms for adequate data transfers (i.e., the standard contractual clauses). It is uncertain whether the Privacy Shield Framework and/or the standard contractual clauses will be invalidated by the European courts or legislature. We rely on a mixture of mechanisms to transfer personal data from our EU business to the United States, and could be impacted by changes in law as a result of a future review of these transfer mechanisms by European regulators under the GDPR, as well as current challenges to these mechanisms in the European courts. If one or more of the legal bases for transferring PII from Europe to the United States is invalidated, or if we are unable to transfer PII between and among countries and regions in which we may operate in the future, it could affect the manner in which we provide our services or could adversely affect our financial results.</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40" w:right="239" w:bottom="1440" w:gutter="0" w:footer="0" w:header="0"/>
        </w:sectPr>
      </w:pPr>
    </w:p>
    <w:bookmarkStart w:id="59" w:name="page60"/>
    <w:bookmarkEnd w:id="59"/>
    <w:p>
      <w:pPr>
        <w:jc w:val="both"/>
        <w:spacing w:after="0" w:line="237" w:lineRule="auto"/>
        <w:rPr>
          <w:sz w:val="20"/>
          <w:szCs w:val="20"/>
          <w:color w:val="auto"/>
        </w:rPr>
      </w:pPr>
      <w:r>
        <w:rPr>
          <w:rFonts w:ascii="Arial" w:cs="Arial" w:eastAsia="Arial" w:hAnsi="Arial"/>
          <w:sz w:val="20"/>
          <w:szCs w:val="20"/>
          <w:color w:val="auto"/>
        </w:rPr>
        <w:t>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2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27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use of open source software could negatively affect our ability to sell our services and subject us to possible litigation.</w:t>
      </w:r>
    </w:p>
    <w:p>
      <w:pPr>
        <w:spacing w:after="0" w:line="1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38" w:right="239" w:bottom="1440" w:gutter="0" w:footer="0" w:header="0"/>
        </w:sectPr>
      </w:pPr>
    </w:p>
    <w:bookmarkStart w:id="60" w:name="page61"/>
    <w:bookmarkEnd w:id="60"/>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8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Indemnity provisions in various agreements potentially expose us to substantial liability for intellectual property infringement and other losses.</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2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7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40" w:right="239" w:bottom="1440" w:gutter="0" w:footer="0" w:header="0"/>
        </w:sectPr>
      </w:pPr>
    </w:p>
    <w:bookmarkStart w:id="61" w:name="page62"/>
    <w:bookmarkEnd w:id="61"/>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applicable data protection laws or our policies, such violations may also put our customers’ or employees’ information at risk and could in turn have a material and adverse effect on our business.</w:t>
      </w:r>
    </w:p>
    <w:p>
      <w:pPr>
        <w:spacing w:after="0" w:line="2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ability to compete effectively is dependent in large part upon the maintenance and protection of systems and software that we have developed internally, including some systems and software-based on open standards. While we have eight U.S. patents and two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subject to litigation in the ordinary course of business, and uninsured judgments or a rise in insurance premiums may adversely affect our results of operations.</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40" w:right="239" w:bottom="1440" w:gutter="0" w:footer="0" w:header="0"/>
        </w:sectPr>
      </w:pPr>
    </w:p>
    <w:bookmarkStart w:id="62" w:name="page63"/>
    <w:bookmarkEnd w:id="62"/>
    <w:p>
      <w:pPr>
        <w:spacing w:after="0" w:line="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liable for the information that content owners or distributors distribute over our network.</w:t>
      </w:r>
    </w:p>
    <w:p>
      <w:pPr>
        <w:spacing w:after="0" w:line="1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8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may have been subject to “phishing,” which occurs when a third-party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30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40" w:right="239" w:bottom="1440" w:gutter="0" w:footer="0" w:header="0"/>
        </w:sectPr>
      </w:pPr>
    </w:p>
    <w:bookmarkStart w:id="63" w:name="page64"/>
    <w:bookmarkEnd w:id="63"/>
    <w:p>
      <w:pPr>
        <w:spacing w:after="0" w:line="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2" w:lineRule="exact"/>
        <w:rPr>
          <w:sz w:val="20"/>
          <w:szCs w:val="20"/>
          <w:color w:val="auto"/>
        </w:rPr>
      </w:pPr>
    </w:p>
    <w:p>
      <w:pPr>
        <w:ind w:left="660" w:hanging="328"/>
        <w:spacing w:after="0" w:line="260" w:lineRule="auto"/>
        <w:tabs>
          <w:tab w:leader="none" w:pos="482"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911 calling services are different, in significant respects, from the 911 service associated with traditional wireline and wireless telephone providers and, in certain cases, with other VoIP providers.</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the event of a power loss or Internet access interruption experienced by a customer, our service may be interrupted.</w:t>
      </w:r>
    </w:p>
    <w:p>
      <w:pPr>
        <w:spacing w:after="0" w:line="161" w:lineRule="exact"/>
        <w:rPr>
          <w:rFonts w:ascii="Arial" w:cs="Arial" w:eastAsia="Arial" w:hAnsi="Arial"/>
          <w:sz w:val="20"/>
          <w:szCs w:val="20"/>
          <w:color w:val="auto"/>
        </w:rPr>
      </w:pPr>
    </w:p>
    <w:p>
      <w:pPr>
        <w:ind w:left="660" w:hanging="328"/>
        <w:spacing w:after="0" w:line="260" w:lineRule="auto"/>
        <w:tabs>
          <w:tab w:leader="none" w:pos="482"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customers’ end users may experience lower call quality than they are used to from traditional wireline or wireless telephone companies, including static, echoes and delays in transmissions.</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customers’ end users may not be able to call premium-rate telephone numbers such as 1-900 numbers and 976 numbers.</w:t>
      </w:r>
    </w:p>
    <w:p>
      <w:pPr>
        <w:spacing w:after="0" w:line="3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111" w:lineRule="exact"/>
        <w:rPr>
          <w:sz w:val="20"/>
          <w:szCs w:val="20"/>
          <w:color w:val="auto"/>
        </w:rPr>
      </w:pPr>
    </w:p>
    <w:p>
      <w:pPr>
        <w:ind w:left="460" w:hanging="128"/>
        <w:spacing w:after="0"/>
        <w:tabs>
          <w:tab w:leader="none" w:pos="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service interruptions;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misfunction of our Bandwidth Communications Platform on which our enterprise users rely for voice, messaging or 911 functionality;</w:t>
      </w:r>
    </w:p>
    <w:p>
      <w:pPr>
        <w:spacing w:after="0" w:line="184" w:lineRule="exact"/>
        <w:rPr>
          <w:rFonts w:ascii="Arial" w:cs="Arial" w:eastAsia="Arial" w:hAnsi="Arial"/>
          <w:sz w:val="18"/>
          <w:szCs w:val="18"/>
          <w:color w:val="auto"/>
        </w:rPr>
      </w:pPr>
    </w:p>
    <w:p>
      <w:pPr>
        <w:ind w:left="460" w:hanging="128"/>
        <w:spacing w:after="0"/>
        <w:tabs>
          <w:tab w:leader="none" w:pos="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exposure to customer liability;</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inability to install new service;</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unavailability of employees necessary to provide services;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delay in the completion of other corporate functions such as issuing bills and the preparation of financial statements; or</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need for expensive modifications to our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40" w:right="239" w:bottom="1440" w:gutter="0" w:footer="0" w:header="0"/>
        </w:sectPr>
      </w:pPr>
    </w:p>
    <w:bookmarkStart w:id="64" w:name="page65"/>
    <w:bookmarkEnd w:id="64"/>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Defects or errors in our services could diminish demand for our services, harm our business and results of operations and subject us to liability.</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911 services do not function properly, we may be exposed to significant liability from our users.</w:t>
      </w:r>
    </w:p>
    <w:p>
      <w:pPr>
        <w:spacing w:after="0" w:line="1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FCC’s rules also require that we timely report certain 911 service outages. The FCC may make inquiries regarding matters related to any reported 911 service outage. Any inquiry could result in FCC enforcement action, potential monetary penalties and other adverse consequences.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Termination of relationships with key suppliers could cause delay and additional costs.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40" w:right="239" w:bottom="1440" w:gutter="0" w:footer="0" w:header="0"/>
        </w:sectPr>
      </w:pPr>
    </w:p>
    <w:bookmarkStart w:id="65" w:name="page66"/>
    <w:bookmarkEnd w:id="65"/>
    <w:p>
      <w:pPr>
        <w:spacing w:after="0" w:line="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93" w:lineRule="exact"/>
        <w:rPr>
          <w:sz w:val="20"/>
          <w:szCs w:val="20"/>
          <w:color w:val="auto"/>
        </w:rPr>
      </w:pPr>
    </w:p>
    <w:p>
      <w:pPr>
        <w:jc w:val="both"/>
        <w:ind w:firstLine="558"/>
        <w:spacing w:after="0" w:line="243" w:lineRule="auto"/>
        <w:rPr>
          <w:sz w:val="20"/>
          <w:szCs w:val="20"/>
          <w:color w:val="auto"/>
        </w:rPr>
      </w:pPr>
      <w:r>
        <w:rPr>
          <w:rFonts w:ascii="Arial" w:cs="Arial" w:eastAsia="Arial" w:hAnsi="Arial"/>
          <w:sz w:val="20"/>
          <w:szCs w:val="20"/>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growth and financial health are subject to a number of economic risks.</w:t>
      </w:r>
    </w:p>
    <w:p>
      <w:pPr>
        <w:spacing w:after="0" w:line="1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40" w:right="239" w:bottom="1440" w:gutter="0" w:footer="0" w:header="0"/>
        </w:sectPr>
      </w:pPr>
    </w:p>
    <w:bookmarkStart w:id="66" w:name="page67"/>
    <w:bookmarkEnd w:id="66"/>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new vendors also may result in the loss of the value of assets associated with our integration of third-party services into our network or service offerings.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 churn rate may increase.</w:t>
      </w:r>
    </w:p>
    <w:p>
      <w:pPr>
        <w:spacing w:after="0" w:line="1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prices for certain of our services have decreased in the past and may decrease in the future, resulting in lower revenue than we anticipate.</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Market prices for certain of our services have decreased over recent years. These decreases resulted from downward market pressure and other factors including:</w:t>
      </w:r>
    </w:p>
    <w:p>
      <w:pPr>
        <w:spacing w:after="0" w:line="123" w:lineRule="exact"/>
        <w:rPr>
          <w:sz w:val="20"/>
          <w:szCs w:val="20"/>
          <w:color w:val="auto"/>
        </w:rPr>
      </w:pPr>
    </w:p>
    <w:p>
      <w:pPr>
        <w:ind w:left="660" w:hanging="328"/>
        <w:spacing w:after="0" w:line="260" w:lineRule="auto"/>
        <w:tabs>
          <w:tab w:leader="none" w:pos="455" w:val="left"/>
        </w:tabs>
        <w:numPr>
          <w:ilvl w:val="0"/>
          <w:numId w:val="26"/>
        </w:numPr>
        <w:rPr>
          <w:rFonts w:ascii="Arial" w:cs="Arial" w:eastAsia="Arial" w:hAnsi="Arial"/>
          <w:sz w:val="20"/>
          <w:szCs w:val="20"/>
          <w:color w:val="auto"/>
        </w:rPr>
      </w:pPr>
      <w:r>
        <w:rPr>
          <w:rFonts w:ascii="Arial" w:cs="Arial" w:eastAsia="Arial" w:hAnsi="Arial"/>
          <w:sz w:val="20"/>
          <w:szCs w:val="20"/>
          <w:color w:val="auto"/>
        </w:rPr>
        <w:t>technological changes and network expansions, which have resulted in increased transmission capacity available for sale by us and by our competitors; and</w:t>
      </w:r>
    </w:p>
    <w:p>
      <w:pPr>
        <w:spacing w:after="0" w:line="122" w:lineRule="exact"/>
        <w:rPr>
          <w:rFonts w:ascii="Arial" w:cs="Arial" w:eastAsia="Arial" w:hAnsi="Arial"/>
          <w:sz w:val="20"/>
          <w:szCs w:val="20"/>
          <w:color w:val="auto"/>
        </w:rPr>
      </w:pPr>
    </w:p>
    <w:p>
      <w:pPr>
        <w:ind w:left="660" w:hanging="328"/>
        <w:spacing w:after="0" w:line="260" w:lineRule="auto"/>
        <w:tabs>
          <w:tab w:leader="none" w:pos="468" w:val="left"/>
        </w:tabs>
        <w:numPr>
          <w:ilvl w:val="0"/>
          <w:numId w:val="26"/>
        </w:numPr>
        <w:rPr>
          <w:rFonts w:ascii="Arial" w:cs="Arial" w:eastAsia="Arial" w:hAnsi="Arial"/>
          <w:sz w:val="20"/>
          <w:szCs w:val="20"/>
          <w:color w:val="auto"/>
        </w:rPr>
      </w:pPr>
      <w:r>
        <w:rPr>
          <w:rFonts w:ascii="Arial" w:cs="Arial" w:eastAsia="Arial" w:hAnsi="Arial"/>
          <w:sz w:val="20"/>
          <w:szCs w:val="20"/>
          <w:color w:val="auto"/>
        </w:rPr>
        <w:t>some of our competitors have been willing to accept smaller operating margins in the short term in an attempt to increase long-term revenue.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3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lease over 150,000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40" w:right="239" w:bottom="1440" w:gutter="0" w:footer="0" w:header="0"/>
        </w:sectPr>
      </w:pPr>
    </w:p>
    <w:bookmarkStart w:id="67" w:name="page68"/>
    <w:bookmarkEnd w:id="67"/>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we are unable to hire, retain and motivate qualified personnel, our business will suffer.</w:t>
      </w:r>
    </w:p>
    <w:p>
      <w:pPr>
        <w:spacing w:after="0" w:line="108" w:lineRule="exact"/>
        <w:rPr>
          <w:sz w:val="20"/>
          <w:szCs w:val="20"/>
          <w:color w:val="auto"/>
        </w:rPr>
      </w:pPr>
    </w:p>
    <w:p>
      <w:pPr>
        <w:jc w:val="both"/>
        <w:ind w:firstLine="558"/>
        <w:spacing w:after="0" w:line="257" w:lineRule="auto"/>
        <w:rPr>
          <w:sz w:val="20"/>
          <w:szCs w:val="20"/>
          <w:color w:val="auto"/>
        </w:rPr>
      </w:pPr>
      <w:r>
        <w:rPr>
          <w:rFonts w:ascii="Arial" w:cs="Arial" w:eastAsia="Arial" w:hAnsi="Arial"/>
          <w:sz w:val="19"/>
          <w:szCs w:val="19"/>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management team has limited experience managing a public company.</w:t>
      </w:r>
    </w:p>
    <w:p>
      <w:pPr>
        <w:spacing w:after="0" w:line="1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liability for historic and future sales, use and similar taxes,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40" w:right="239" w:bottom="1440" w:gutter="0" w:footer="0" w:header="0"/>
        </w:sectPr>
      </w:pPr>
    </w:p>
    <w:bookmarkStart w:id="68" w:name="page69"/>
    <w:bookmarkEnd w:id="68"/>
    <w:p>
      <w:pPr>
        <w:spacing w:after="0" w:line="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26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We may be subject to significant U.S. federal income tax-related liabilities if certain ownership changes were to occur, including as a result of subsequent issuances or acquisitions of our stock, and we may determine to forego certain transactions in light of such liabilities as well as the restrictions and obligations imposed by and under the Tax Sharing Agreement.</w:t>
      </w:r>
    </w:p>
    <w:p>
      <w:pPr>
        <w:spacing w:after="0" w:line="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certain ownership changes were to occur. In particular, even if the Spin-Off otherwise qualifies as a tax-free transaction to us and our stockholders under Section 355, Section 368(a)(1)(D) and related provisions of the U.S. Internal Revenue Code of 1986, as amended (the “Code”), it may result in corporate-level taxable gain to us under Section 355(e) of the Code (“Section 355(e)”) if there is a 50% or greater change in ownership, by vote or value, of shares of our stock or Republic Wireless’s stock occurring as part of a plan or series of related transactions that includes the Spin-Off. In addition, pursuant to the Tax Sharing Agreement, dated November 30, 2016, between us and Republic Wireless (the “Tax Sharing Agreement”), we and Republic Wireless are each prohibited from taking or failing to take any action that prevents the Spin-Off from qualifying for tax-free treatment under Section 355, Section 368(a)(1)(D) and related provisions of the Code, and we and Republic Wireless must generally indemnify one another for any taxes or losses incurred by the other (or its respective subsidiaries), as applicable, resulting from the application of Section 355(e) to the Spin-Off as a result of subsequent actions we or Republic Wireless take or fail to take.</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To preserve the tax-free nature of the Spin-Off to us as well as Republic Wireless (and its subsidiaries), we might forego certain transactions that might otherwise have been advantageous. In particular, we might continue to operate certain of our business operations for the foreseeable future even if a sale or discontinuance of such business might have otherwise been advantageous.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40" w:right="239" w:bottom="1440" w:gutter="0" w:footer="0" w:header="0"/>
        </w:sectPr>
      </w:pPr>
    </w:p>
    <w:bookmarkStart w:id="69" w:name="page70"/>
    <w:bookmarkEnd w:id="69"/>
    <w:p>
      <w:pPr>
        <w:spacing w:after="0" w:line="1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addition, for purposes of Section 355(e), any acquisitions or issuances of our stock or Republic Wireless’s stock that occur within two years after the Spin-Off will generally be presumed to be part of a plan or series of related transactions with respect to the Spin-Off. Although we or Republic Wireless may be able to rebut that presumption, determining whether an acquisition or issuance is part of a plan or series of related transactions under these rules is generally complex, inherently factual and subject to interpretation of the facts and circumstances of a particular case. For this purpose, whether any increase in voting power by holders of our Class B common stock by reason of the conversion by other holders of our Class B common stock to our Class A common stock should be considered an acquisition of voting power as part of a plan or series of related transactions is unclear.</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light of the implications that would arise for us if Section 355(e) were to apply to the Spin-Off, we received an opinion from Kilpatrick Townsend &amp; Stockton LLP, our special tax counsel, in conjunction with our initial public offering to the effect that (i) as of November 9, 2017, we are not required to recognize gain with respect to the Spin-Off pursuant to Section 355(e) as a result of one or more persons directly or indirectly acquiring our stock, and (ii) any increases in voting power attributable to conversions of our Class B common stock to Class A common stock by those who hold our Class B common stock as of our initial public offering will not cause us to recognize gain with respect to the Spin-Off pursuant to Section 355(e) (the “Tax Opinion”). The Tax Opinion is not binding on the Internal Revenue Service (the “IRS”) or the courts, however, and the IRS or the courts may not agree with the conclusions reached in the Tax Opinion. Moreover, the Tax Opinion was based upon, among other things, then-current law and certain assumptions and representations as to factual matters made by us. Any change in currently applicable law, which may be retroactive, or the failure of any such assumptions or representations to be true, could adversely affect the validity of the conclusions reached in the Tax Opinion. If the conclusions in the Tax Opinion were not correct and Section 355(e) were to apply to the Spin-Off, we would be liable for significant U.S. federal income tax related liabilities and indemnity obligations under the Tax Sharing Agreement.</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Even if Section 355(e) does not apply to the Spin-Off as of the date of our initial public offering or as a result of an increase in voting power attributable to conversions of our Class B common stock by those who hold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2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If our estimates or judgments relating to our critical accounting policies prove to be incorrect, our results of operations could be adversely affected.</w:t>
      </w:r>
    </w:p>
    <w:p>
      <w:pPr>
        <w:spacing w:after="0" w:line="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40" w:right="239" w:bottom="1440" w:gutter="0" w:footer="0" w:header="0"/>
        </w:sectPr>
      </w:pPr>
    </w:p>
    <w:bookmarkStart w:id="70" w:name="page71"/>
    <w:bookmarkEnd w:id="70"/>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independent registered public accounting firm is not required to attest to the effectiveness of our internal control over financial reporting until after we are no longer an “emerging growth company” as defined in the Jumpstart Our Business Startups Act of 2012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goodwill or intangible assets become impaired, we may be required to record a significant charge to earnings.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40" w:right="239" w:bottom="1440" w:gutter="0" w:footer="0" w:header="0"/>
        </w:sectPr>
      </w:pPr>
    </w:p>
    <w:bookmarkStart w:id="71" w:name="page72"/>
    <w:bookmarkEnd w:id="71"/>
    <w:p>
      <w:pPr>
        <w:spacing w:after="0" w:line="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2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are an “emerging growth company,” as defined in the JOBS Act, and we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Earthquakes, hurricanes, fires, floods, power outages, terrorist attacks and other significant events could disrupt our business and ability to serve our clients.</w:t>
      </w:r>
    </w:p>
    <w:p>
      <w:pPr>
        <w:spacing w:after="0" w:line="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2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As we have elected to avail ourselves of the JOBS Act extended accounting transition period, our financial statements may not be easily comparable to other companies.</w:t>
      </w:r>
    </w:p>
    <w:p>
      <w:pPr>
        <w:spacing w:after="0" w:line="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301" w:lineRule="exact"/>
        <w:rPr>
          <w:sz w:val="20"/>
          <w:szCs w:val="20"/>
          <w:color w:val="auto"/>
        </w:rPr>
      </w:pPr>
    </w:p>
    <w:p>
      <w:pPr>
        <w:jc w:val="both"/>
        <w:ind w:right="20"/>
        <w:spacing w:after="0" w:line="369" w:lineRule="auto"/>
        <w:rPr>
          <w:sz w:val="20"/>
          <w:szCs w:val="20"/>
          <w:color w:val="auto"/>
        </w:rPr>
      </w:pPr>
      <w:r>
        <w:rPr>
          <w:rFonts w:ascii="Arial" w:cs="Arial" w:eastAsia="Arial" w:hAnsi="Arial"/>
          <w:sz w:val="16"/>
          <w:szCs w:val="16"/>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99" w:lineRule="exact"/>
        <w:rPr>
          <w:sz w:val="20"/>
          <w:szCs w:val="20"/>
          <w:color w:val="auto"/>
        </w:rPr>
      </w:pPr>
    </w:p>
    <w:p>
      <w:pPr>
        <w:ind w:left="460" w:hanging="128"/>
        <w:spacing w:after="0"/>
        <w:tabs>
          <w:tab w:leader="none" w:pos="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demands on management related to any significant increase in size after the acquisition;</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40" w:right="239" w:bottom="1440" w:gutter="0" w:footer="0" w:header="0"/>
        </w:sectPr>
      </w:pPr>
    </w:p>
    <w:bookmarkStart w:id="72" w:name="page73"/>
    <w:bookmarkEnd w:id="72"/>
    <w:p>
      <w:pPr>
        <w:spacing w:after="0" w:line="61" w:lineRule="exact"/>
        <w:rPr>
          <w:sz w:val="20"/>
          <w:szCs w:val="20"/>
          <w:color w:val="auto"/>
        </w:rPr>
      </w:pPr>
    </w:p>
    <w:p>
      <w:pPr>
        <w:ind w:left="660" w:hanging="328"/>
        <w:spacing w:after="0" w:line="260" w:lineRule="auto"/>
        <w:tabs>
          <w:tab w:leader="none" w:pos="455"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disruption of ongoing business and the diversion of management’s attention from the management of daily operations to management of integration activities;</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failure to fully achieve expected synergies and costs savings;</w:t>
      </w:r>
    </w:p>
    <w:p>
      <w:pPr>
        <w:spacing w:after="0" w:line="161" w:lineRule="exact"/>
        <w:rPr>
          <w:rFonts w:ascii="Arial" w:cs="Arial" w:eastAsia="Arial" w:hAnsi="Arial"/>
          <w:sz w:val="20"/>
          <w:szCs w:val="20"/>
          <w:color w:val="auto"/>
        </w:rPr>
      </w:pPr>
    </w:p>
    <w:p>
      <w:pPr>
        <w:ind w:left="660" w:hanging="328"/>
        <w:spacing w:after="0" w:line="250" w:lineRule="auto"/>
        <w:tabs>
          <w:tab w:leader="none" w:pos="455"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32" w:lineRule="exact"/>
        <w:rPr>
          <w:rFonts w:ascii="Arial" w:cs="Arial" w:eastAsia="Arial" w:hAnsi="Arial"/>
          <w:sz w:val="20"/>
          <w:szCs w:val="20"/>
          <w:color w:val="auto"/>
        </w:rPr>
      </w:pPr>
    </w:p>
    <w:p>
      <w:pPr>
        <w:ind w:left="460" w:hanging="128"/>
        <w:spacing w:after="0"/>
        <w:tabs>
          <w:tab w:leader="none" w:pos="4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loss of customers or the failure of customers to order incremental services that we expect them to order;</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failure to provision services that are ordered by customers during the integration period;</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higher integration costs than anticipated; and</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highly qualified, experienced employees, many of whom may be geographically dispersed.</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credit facility contains restrictive and financial covenants that may limit our operating flexibility.</w:t>
      </w:r>
    </w:p>
    <w:p>
      <w:pPr>
        <w:spacing w:after="0" w:line="1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If we were unable to comply with the restrictive and financial covenants in our credit facility, there would be a default under the terms of that agreement. As a result, any borrowings under other instruments that contain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440" w:right="239" w:bottom="1440" w:gutter="0" w:footer="0" w:header="0"/>
        </w:sectPr>
      </w:pPr>
    </w:p>
    <w:bookmarkStart w:id="73" w:name="page74"/>
    <w:bookmarkEnd w:id="73"/>
    <w:p>
      <w:pPr>
        <w:spacing w:after="0" w:line="7"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Class A Common Stock</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trading price of our Class A common stock may be volatile, and you could lose all or part of your investment.</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October 22, 2018, the trading price of our Class A common stock has ranged from $18.05 per share to $57.00 per share. The trading price of our Class A common stock may continue to be volatile and could fluctuate significantly in response to numerous factors, many of which are beyond our control, including:</w:t>
      </w:r>
    </w:p>
    <w:p>
      <w:pPr>
        <w:spacing w:after="0" w:line="127" w:lineRule="exact"/>
        <w:rPr>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technology stocks;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volatility in the trading volumes of our Class A common stock;</w:t>
      </w:r>
    </w:p>
    <w:p>
      <w:pPr>
        <w:spacing w:after="0" w:line="161" w:lineRule="exact"/>
        <w:rPr>
          <w:rFonts w:ascii="Arial" w:cs="Arial" w:eastAsia="Arial" w:hAnsi="Arial"/>
          <w:sz w:val="20"/>
          <w:szCs w:val="20"/>
          <w:color w:val="auto"/>
        </w:rPr>
      </w:pPr>
    </w:p>
    <w:p>
      <w:pPr>
        <w:ind w:left="660" w:hanging="328"/>
        <w:spacing w:after="0" w:line="260" w:lineRule="auto"/>
        <w:tabs>
          <w:tab w:leader="none" w:pos="482"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other technology companies generally, or those in our industry in particular;</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sales of shares of our Class A common stock by us or our stockholders;</w:t>
      </w:r>
    </w:p>
    <w:p>
      <w:pPr>
        <w:spacing w:after="0" w:line="161" w:lineRule="exact"/>
        <w:rPr>
          <w:rFonts w:ascii="Arial" w:cs="Arial" w:eastAsia="Arial" w:hAnsi="Arial"/>
          <w:sz w:val="20"/>
          <w:szCs w:val="20"/>
          <w:color w:val="auto"/>
        </w:rPr>
      </w:pPr>
    </w:p>
    <w:p>
      <w:pPr>
        <w:ind w:left="660" w:hanging="328"/>
        <w:spacing w:after="0" w:line="260" w:lineRule="auto"/>
        <w:tabs>
          <w:tab w:leader="none" w:pos="455" w:val="left"/>
        </w:tabs>
        <w:numPr>
          <w:ilvl w:val="0"/>
          <w:numId w:val="29"/>
        </w:numPr>
        <w:rPr>
          <w:rFonts w:ascii="Arial" w:cs="Arial" w:eastAsia="Arial" w:hAnsi="Arial"/>
          <w:sz w:val="20"/>
          <w:szCs w:val="20"/>
          <w:color w:val="auto"/>
        </w:rPr>
      </w:pPr>
      <w:r>
        <w:rPr>
          <w:rFonts w:ascii="Arial" w:cs="Arial" w:eastAsia="Arial" w:hAnsi="Arial"/>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financial projections we may provide to the public, any changes in those projections or our failure to meet those projections;</w:t>
      </w:r>
    </w:p>
    <w:p>
      <w:pPr>
        <w:spacing w:after="0" w:line="173" w:lineRule="exact"/>
        <w:rPr>
          <w:rFonts w:ascii="Arial" w:cs="Arial" w:eastAsia="Arial" w:hAnsi="Arial"/>
          <w:sz w:val="19"/>
          <w:szCs w:val="19"/>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announcements by us or our competitors of new products or services;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public’s reaction to our press releases, other public announcements and filings with the SEC;</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rumors and market speculation involving us or other companies in our industry;</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actual or anticipated changes in our results of operations or fluctuations in our results of operations;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actual or anticipated developments in our business, our competitors’ businesses or the competitive landscape generally;</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litigation involving us, our industry or both;</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regulatory actions or developments affecting our operations, those of our competitors or our industry more broadly;</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developments or disputes concerning our intellectual property or other proprietary rights;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announced or completed acquisitions of businesses, products, services or technologies by us or our competitors;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new laws or regulations or new interpretations of existing laws or regulations applicable to our business;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accounting standards, policies, guidelines, interpretations or principles;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40" w:right="239" w:bottom="1440" w:gutter="0" w:footer="0" w:header="0"/>
        </w:sectPr>
      </w:pPr>
    </w:p>
    <w:bookmarkStart w:id="74" w:name="page75"/>
    <w:bookmarkEnd w:id="74"/>
    <w:p>
      <w:pPr>
        <w:spacing w:after="0" w:line="61" w:lineRule="exact"/>
        <w:rPr>
          <w:sz w:val="20"/>
          <w:szCs w:val="20"/>
          <w:color w:val="auto"/>
        </w:rPr>
      </w:pPr>
    </w:p>
    <w:p>
      <w:pPr>
        <w:ind w:left="660" w:hanging="328"/>
        <w:spacing w:after="0" w:line="260" w:lineRule="auto"/>
        <w:tabs>
          <w:tab w:leader="none" w:pos="468"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new rules adopted by certain index providers, such as S&amp;P Dow Jones, that limit or preclude inclusion of companies with multi-class capital structures in certain of their indices;</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significant change in our management; and</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general economic conditions and slow or negative growth of our markets.</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1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27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Class A common stock has one vote per share, and our Class B common stock has ten votes per share.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cannot predict the impact our capital structure may have on our stock price.</w:t>
      </w:r>
    </w:p>
    <w:p>
      <w:pPr>
        <w:spacing w:after="0" w:line="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recently stated that it plans to require new constituents of its indices to have at least five percent of their voting rights in the hands of public stockholders. Many investment funds 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40" w:right="239" w:bottom="1440" w:gutter="0" w:footer="0" w:header="0"/>
        </w:sectPr>
      </w:pPr>
    </w:p>
    <w:bookmarkStart w:id="75" w:name="page76"/>
    <w:bookmarkEnd w:id="75"/>
    <w:p>
      <w:pPr>
        <w:spacing w:after="0" w:line="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become controlled by David A. Morken, our Co-Founder and Chief Executive Officer, whose interests may differ from other stockholders.</w:t>
      </w:r>
    </w:p>
    <w:p>
      <w:pPr>
        <w:spacing w:after="0" w:line="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If all or substantially all of the holders of our Class B common stock who may convert their shares into Class A common stock voluntarily or otherwise prior to December 1, 2018 actually convert, David A. Morken, our Cofounder and Chief Executive Officer may control approximately 53% of the combined voting power of our outstanding capital stock. If, after December 1, 2018, all or substantially all of the holders of our Class B common stock convert their shares into Class A common stock voluntarily or otherwise, Mr. Morken may control approximately 63%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2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To the extent we become a “controlled company,” we may take advantage of the applicable exemption to the corporate governance rules for NASDAQ-listed companies, which could make our Class A common stock less attractive to some investors or otherwise harm our stock price.</w:t>
      </w:r>
    </w:p>
    <w:p>
      <w:pPr>
        <w:spacing w:after="0" w:line="7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We may qualify as a “controlled company” under the corporate governance rules for NASDAQ-listed companies if all of our holders of Class B common stock other than Mr. Morken convert their shares of Class B common stock to Class A common stock. If we qualify as a "controlled company," we may take advantage of related exemptions to the corporate governance rules. As a result, we may not (i) have a majority of our board of directors that are independent or (ii) have a compensation committee or an independent nominating function.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40" w:right="239" w:bottom="1440" w:gutter="0" w:footer="0" w:header="0"/>
        </w:sectPr>
      </w:pPr>
    </w:p>
    <w:bookmarkStart w:id="76" w:name="page77"/>
    <w:bookmarkEnd w:id="76"/>
    <w:p>
      <w:pPr>
        <w:spacing w:after="0" w:line="22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38" w:lineRule="exact"/>
        <w:rPr>
          <w:sz w:val="20"/>
          <w:szCs w:val="20"/>
          <w:color w:val="auto"/>
        </w:rPr>
      </w:pPr>
    </w:p>
    <w:p>
      <w:pPr>
        <w:ind w:left="660" w:right="20" w:hanging="328"/>
        <w:spacing w:after="0" w:line="260" w:lineRule="auto"/>
        <w:tabs>
          <w:tab w:leader="none" w:pos="455" w:val="left"/>
        </w:tabs>
        <w:numPr>
          <w:ilvl w:val="0"/>
          <w:numId w:val="31"/>
        </w:numPr>
        <w:rPr>
          <w:rFonts w:ascii="Arial" w:cs="Arial" w:eastAsia="Arial" w:hAnsi="Arial"/>
          <w:sz w:val="20"/>
          <w:szCs w:val="20"/>
          <w:color w:val="auto"/>
        </w:rPr>
      </w:pPr>
      <w:r>
        <w:rPr>
          <w:rFonts w:ascii="Arial" w:cs="Arial" w:eastAsia="Arial" w:hAnsi="Arial"/>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limiting the ability of our stockholders to call and bring business before special meetings;</w:t>
      </w:r>
    </w:p>
    <w:p>
      <w:pPr>
        <w:spacing w:after="0" w:line="161" w:lineRule="exact"/>
        <w:rPr>
          <w:rFonts w:ascii="Arial" w:cs="Arial" w:eastAsia="Arial" w:hAnsi="Arial"/>
          <w:sz w:val="20"/>
          <w:szCs w:val="20"/>
          <w:color w:val="auto"/>
        </w:rPr>
      </w:pPr>
    </w:p>
    <w:p>
      <w:pPr>
        <w:ind w:left="660" w:hanging="328"/>
        <w:spacing w:after="0" w:line="246" w:lineRule="auto"/>
        <w:tabs>
          <w:tab w:leader="none" w:pos="455"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37" w:lineRule="exact"/>
        <w:rPr>
          <w:rFonts w:ascii="Arial" w:cs="Arial" w:eastAsia="Arial" w:hAnsi="Arial"/>
          <w:sz w:val="20"/>
          <w:szCs w:val="20"/>
          <w:color w:val="auto"/>
        </w:rPr>
      </w:pPr>
    </w:p>
    <w:p>
      <w:pPr>
        <w:ind w:left="460" w:hanging="128"/>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providing that our board of directors is classified into three classes of directors with staggered three-year terms;</w:t>
      </w:r>
    </w:p>
    <w:p>
      <w:pPr>
        <w:spacing w:after="0" w:line="161" w:lineRule="exact"/>
        <w:rPr>
          <w:rFonts w:ascii="Arial" w:cs="Arial" w:eastAsia="Arial" w:hAnsi="Arial"/>
          <w:sz w:val="20"/>
          <w:szCs w:val="20"/>
          <w:color w:val="auto"/>
        </w:rPr>
      </w:pPr>
    </w:p>
    <w:p>
      <w:pPr>
        <w:ind w:left="460" w:hanging="128"/>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requires all stockholder actions to be taken at a meeting of our stockholders;</w:t>
      </w:r>
    </w:p>
    <w:p>
      <w:pPr>
        <w:spacing w:after="0" w:line="184" w:lineRule="exact"/>
        <w:rPr>
          <w:rFonts w:ascii="Arial" w:cs="Arial" w:eastAsia="Arial" w:hAnsi="Arial"/>
          <w:sz w:val="18"/>
          <w:szCs w:val="18"/>
          <w:color w:val="auto"/>
        </w:rPr>
      </w:pPr>
    </w:p>
    <w:p>
      <w:pPr>
        <w:ind w:left="660" w:hanging="328"/>
        <w:spacing w:after="0" w:line="260" w:lineRule="auto"/>
        <w:tabs>
          <w:tab w:leader="none" w:pos="468"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requiring super-majority voting to amend some provisions in our second amended and restated certificate of incorporation and second amended and restated bylaws;</w:t>
      </w:r>
    </w:p>
    <w:p>
      <w:pPr>
        <w:spacing w:after="0" w:line="122" w:lineRule="exact"/>
        <w:rPr>
          <w:rFonts w:ascii="Arial" w:cs="Arial" w:eastAsia="Arial" w:hAnsi="Arial"/>
          <w:sz w:val="20"/>
          <w:szCs w:val="20"/>
          <w:color w:val="auto"/>
        </w:rPr>
      </w:pPr>
    </w:p>
    <w:p>
      <w:pPr>
        <w:ind w:left="660" w:right="20" w:hanging="328"/>
        <w:spacing w:after="0" w:line="260" w:lineRule="auto"/>
        <w:tabs>
          <w:tab w:leader="none" w:pos="468"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requiring advance notice of stockholder proposals for business to be conducted at meetings of our stockholders and for nominations of candidates for election to our board of directors; and</w:t>
      </w:r>
    </w:p>
    <w:p>
      <w:pPr>
        <w:spacing w:after="0" w:line="122" w:lineRule="exact"/>
        <w:rPr>
          <w:rFonts w:ascii="Arial" w:cs="Arial" w:eastAsia="Arial" w:hAnsi="Arial"/>
          <w:sz w:val="20"/>
          <w:szCs w:val="20"/>
          <w:color w:val="auto"/>
        </w:rPr>
      </w:pPr>
    </w:p>
    <w:p>
      <w:pPr>
        <w:ind w:left="460" w:hanging="128"/>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controlling the procedures for the conduct and scheduling of board of directors and stockholder meetings.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3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40" w:right="239" w:bottom="1440" w:gutter="0" w:footer="0" w:header="0"/>
        </w:sectPr>
      </w:pPr>
    </w:p>
    <w:bookmarkStart w:id="77" w:name="page78"/>
    <w:bookmarkEnd w:id="77"/>
    <w:p>
      <w:pPr>
        <w:spacing w:after="0" w:line="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3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dividends for the foreseeable future.</w:t>
      </w:r>
    </w:p>
    <w:p>
      <w:pPr>
        <w:spacing w:after="0" w:line="1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440" w:right="239" w:bottom="1440" w:gutter="0" w:footer="0" w:header="0"/>
        </w:sectPr>
      </w:pPr>
    </w:p>
    <w:bookmarkStart w:id="78" w:name="page79"/>
    <w:bookmarkEnd w:id="78"/>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Unregistered Sales of Equity Securities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Use of Proceeds from Public Offering of Common Stock</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November 2017, we sold 4,000,000 shares of our Class A common stock at a public offering price of $20.00 per share, including shares sold in connection with the exercise of the underwriters’ option to purchase additional shares. The offer and sale of all the shares in the initial public offering were registered under the Securities Act pursuant to a registration statement on Form S-1 (File No. 333-220945), which was declared effective by the SEC on November 9, 2017. We received proceeds of $74.4 million, after deducting underwriting discounts and commissions of $5.6 million. In addition, we incurred expenses of approximately $5.4 million; thus, the net offering proceeds, after deducting underwriting discounts and offering expenses, were approximately $69.0 million. Upon the initial public offering and in accordance with David Morken’s employment agreement, the Chief Executive Officer received a cash bonus of $750,000. No other payments were made to our directors or officers or their associates, holders of 10% or more of any class of our equity securities or any affiliates. We invested the funds received in accordance with our board-approved investment policy, which provides for investments in obligations of the U.S. government, money market instruments, registered money market funds and corporate bonds. The underwriters of our initial public offering were Morgan Stanley, KeyBank Capital Markets, Baird, Canaccord Genuity and JMP Securities.</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has been no material change in the planned use of proceeds from our initial public offering as described in our final prospectus filed with the SEC on November 13, 2017 pursuant to Rule 424(b) under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40" w:right="239" w:bottom="1440" w:gutter="0" w:footer="0" w:header="0"/>
        </w:sectPr>
      </w:pPr>
    </w:p>
    <w:bookmarkStart w:id="79" w:name="page80"/>
    <w:bookmarkEnd w:id="79"/>
    <w:p>
      <w:pPr>
        <w:jc w:val="center"/>
        <w:ind w:right="-471"/>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952"/>
          </w:cols>
          <w:pgMar w:left="248" w:top="1337" w:right="699" w:bottom="1440" w:gutter="0" w:footer="0" w:header="0"/>
        </w:sectPr>
      </w:pPr>
    </w:p>
    <w:p>
      <w:pPr>
        <w:spacing w:after="0" w:line="285" w:lineRule="exact"/>
        <w:rPr>
          <w:sz w:val="20"/>
          <w:szCs w:val="20"/>
          <w:color w:val="auto"/>
        </w:rPr>
      </w:pPr>
    </w:p>
    <w:tbl>
      <w:tblPr>
        <w:tblLayout w:type="fixed"/>
        <w:tblInd w:w="12" w:type="dxa"/>
        <w:tblCellMar>
          <w:top w:w="0" w:type="dxa"/>
          <w:left w:w="0" w:type="dxa"/>
          <w:bottom w:w="0" w:type="dxa"/>
          <w:right w:w="0" w:type="dxa"/>
        </w:tblCellMar>
      </w:tblPr>
      <w:tr>
        <w:trPr>
          <w:trHeight w:val="161"/>
        </w:trPr>
        <w:tc>
          <w:tcPr>
            <w:tcW w:w="1040" w:type="dxa"/>
            <w:vAlign w:val="bottom"/>
            <w:gridSpan w:val="6"/>
          </w:tcPr>
          <w:p>
            <w:pPr>
              <w:spacing w:after="0"/>
              <w:rPr>
                <w:sz w:val="20"/>
                <w:szCs w:val="20"/>
                <w:color w:val="auto"/>
              </w:rPr>
            </w:pPr>
            <w:r>
              <w:rPr>
                <w:rFonts w:ascii="Arial" w:cs="Arial" w:eastAsia="Arial" w:hAnsi="Arial"/>
                <w:sz w:val="14"/>
                <w:szCs w:val="14"/>
                <w:b w:val="1"/>
                <w:bCs w:val="1"/>
                <w:color w:val="auto"/>
              </w:rPr>
              <w:t>Exhibit</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220" w:type="dxa"/>
            <w:vAlign w:val="bottom"/>
            <w:vMerge w:val="restart"/>
          </w:tcPr>
          <w:p>
            <w:pPr>
              <w:spacing w:after="0"/>
              <w:rPr>
                <w:sz w:val="14"/>
                <w:szCs w:val="1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File No.</w:t>
            </w:r>
          </w:p>
        </w:tc>
        <w:tc>
          <w:tcPr>
            <w:tcW w:w="6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49"/>
        </w:trPr>
        <w:tc>
          <w:tcPr>
            <w:tcW w:w="5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3"/>
              </w:rPr>
              <w:t>number</w:t>
            </w:r>
          </w:p>
        </w:tc>
        <w:tc>
          <w:tcPr>
            <w:tcW w:w="5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Borders>
              <w:bottom w:val="single" w:sz="8" w:color="0000FF"/>
            </w:tcBorders>
            <w:gridSpan w:val="2"/>
          </w:tcPr>
          <w:p>
            <w:pPr>
              <w:spacing w:after="0" w:line="196" w:lineRule="exact"/>
              <w:rPr>
                <w:rFonts w:ascii="Arial" w:cs="Arial" w:eastAsia="Arial" w:hAnsi="Arial"/>
                <w:sz w:val="18"/>
                <w:szCs w:val="18"/>
                <w:color w:val="0000FF"/>
                <w:w w:val="95"/>
              </w:rPr>
            </w:pPr>
            <w:hyperlink r:id="rId18">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rPr>
              <w:t>Second Amended and Restated Certificate of Incorporation.</w:t>
            </w:r>
          </w:p>
        </w:tc>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Q3 10-Q</w:t>
            </w:r>
          </w:p>
        </w:tc>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001-38285</w:t>
            </w:r>
          </w:p>
        </w:tc>
        <w:tc>
          <w:tcPr>
            <w:tcW w:w="6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1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c>
          <w:tcPr>
            <w:tcW w:w="1000" w:type="dxa"/>
            <w:vAlign w:val="bottom"/>
            <w:gridSpan w:val="2"/>
          </w:tcPr>
          <w:p>
            <w:pPr>
              <w:spacing w:after="0"/>
              <w:rPr>
                <w:sz w:val="20"/>
                <w:szCs w:val="20"/>
                <w:color w:val="auto"/>
              </w:rPr>
            </w:pPr>
            <w:r>
              <w:rPr>
                <w:rFonts w:ascii="Arial" w:cs="Arial" w:eastAsia="Arial" w:hAnsi="Arial"/>
                <w:sz w:val="18"/>
                <w:szCs w:val="18"/>
                <w:color w:val="auto"/>
              </w:rPr>
              <w:t>Q3 10-Q</w:t>
            </w:r>
          </w:p>
        </w:tc>
        <w:tc>
          <w:tcPr>
            <w:tcW w:w="1000" w:type="dxa"/>
            <w:vAlign w:val="bottom"/>
            <w:gridSpan w:val="2"/>
          </w:tcPr>
          <w:p>
            <w:pPr>
              <w:spacing w:after="0"/>
              <w:rPr>
                <w:sz w:val="20"/>
                <w:szCs w:val="20"/>
                <w:color w:val="auto"/>
              </w:rPr>
            </w:pPr>
            <w:r>
              <w:rPr>
                <w:rFonts w:ascii="Arial" w:cs="Arial" w:eastAsia="Arial" w:hAnsi="Arial"/>
                <w:sz w:val="18"/>
                <w:szCs w:val="18"/>
                <w:color w:val="auto"/>
              </w:rPr>
              <w:t>001-38285</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420" w:type="dxa"/>
            <w:vAlign w:val="bottom"/>
            <w:gridSpan w:val="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5"/>
              </w:rPr>
              <w:t>Certificate of the Chief Executive Officer pursuant to Exchange Act Rules</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580" w:type="dxa"/>
            <w:vAlign w:val="bottom"/>
            <w:gridSpan w:val="2"/>
          </w:tcPr>
          <w:p>
            <w:pPr>
              <w:spacing w:after="0" w:line="142" w:lineRule="exact"/>
              <w:rPr>
                <w:sz w:val="20"/>
                <w:szCs w:val="20"/>
                <w:color w:val="auto"/>
              </w:rPr>
            </w:pPr>
            <w:r>
              <w:rPr>
                <w:rFonts w:ascii="Arial" w:cs="Arial" w:eastAsia="Arial" w:hAnsi="Arial"/>
                <w:sz w:val="16"/>
                <w:szCs w:val="16"/>
                <w:color w:val="auto"/>
              </w:rPr>
              <w:t>13a-14(a) and 15d-14(a), as adopted pursuant to Section 302 of the</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0" w:type="dxa"/>
            <w:vAlign w:val="bottom"/>
            <w:gridSpan w:val="4"/>
          </w:tcPr>
          <w:p>
            <w:pPr>
              <w:spacing w:after="0" w:line="190" w:lineRule="exact"/>
              <w:rPr>
                <w:rFonts w:ascii="Arial" w:cs="Arial" w:eastAsia="Arial" w:hAnsi="Arial"/>
                <w:sz w:val="18"/>
                <w:szCs w:val="18"/>
                <w:color w:val="0000FF"/>
              </w:rPr>
            </w:pPr>
            <w:hyperlink w:anchor="page8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80" w:type="dxa"/>
            <w:vAlign w:val="bottom"/>
            <w:gridSpan w:val="2"/>
          </w:tcPr>
          <w:p>
            <w:pPr>
              <w:spacing w:after="0" w:line="190" w:lineRule="exact"/>
              <w:rPr>
                <w:sz w:val="20"/>
                <w:szCs w:val="20"/>
                <w:color w:val="auto"/>
              </w:rPr>
            </w:pPr>
            <w:r>
              <w:rPr>
                <w:rFonts w:ascii="Arial" w:cs="Arial" w:eastAsia="Arial" w:hAnsi="Arial"/>
                <w:sz w:val="18"/>
                <w:szCs w:val="18"/>
                <w:color w:val="auto"/>
                <w:w w:val="94"/>
              </w:rPr>
              <w:t>Certification of the Chief Financial Officer pursuant to Exchange Act Rules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580" w:type="dxa"/>
            <w:vAlign w:val="bottom"/>
            <w:gridSpan w:val="2"/>
          </w:tcPr>
          <w:p>
            <w:pPr>
              <w:spacing w:after="0" w:line="142" w:lineRule="exact"/>
              <w:rPr>
                <w:sz w:val="20"/>
                <w:szCs w:val="20"/>
                <w:color w:val="auto"/>
              </w:rPr>
            </w:pPr>
            <w:r>
              <w:rPr>
                <w:rFonts w:ascii="Arial" w:cs="Arial" w:eastAsia="Arial" w:hAnsi="Arial"/>
                <w:sz w:val="16"/>
                <w:szCs w:val="16"/>
                <w:color w:val="auto"/>
              </w:rPr>
              <w:t>13a-14(a) and 15d-14(a), as adopted pursuant to Section 302 of the</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00" w:type="dxa"/>
            <w:vAlign w:val="bottom"/>
            <w:gridSpan w:val="5"/>
          </w:tcPr>
          <w:p>
            <w:pPr>
              <w:spacing w:after="0" w:line="190" w:lineRule="exact"/>
              <w:rPr>
                <w:rFonts w:ascii="Arial" w:cs="Arial" w:eastAsia="Arial" w:hAnsi="Arial"/>
                <w:sz w:val="18"/>
                <w:szCs w:val="18"/>
                <w:color w:val="0000FF"/>
              </w:rPr>
            </w:pPr>
            <w:hyperlink w:anchor="page8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40" w:type="dxa"/>
            <w:vAlign w:val="bottom"/>
          </w:tcPr>
          <w:p>
            <w:pPr>
              <w:spacing w:after="0"/>
              <w:rPr>
                <w:sz w:val="16"/>
                <w:szCs w:val="16"/>
                <w:color w:val="auto"/>
              </w:rPr>
            </w:pPr>
          </w:p>
        </w:tc>
        <w:tc>
          <w:tcPr>
            <w:tcW w:w="5580" w:type="dxa"/>
            <w:vAlign w:val="bottom"/>
            <w:gridSpan w:val="2"/>
          </w:tcPr>
          <w:p>
            <w:pPr>
              <w:spacing w:after="0" w:line="190" w:lineRule="exact"/>
              <w:rPr>
                <w:sz w:val="20"/>
                <w:szCs w:val="20"/>
                <w:color w:val="auto"/>
              </w:rPr>
            </w:pPr>
            <w:r>
              <w:rPr>
                <w:rFonts w:ascii="Arial" w:cs="Arial" w:eastAsia="Arial" w:hAnsi="Arial"/>
                <w:sz w:val="18"/>
                <w:szCs w:val="18"/>
                <w:color w:val="auto"/>
              </w:rPr>
              <w:t>Certification of the Chief Executive Officer and Chief Financial Officer</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580" w:type="dxa"/>
            <w:vAlign w:val="bottom"/>
            <w:gridSpan w:val="2"/>
          </w:tcPr>
          <w:p>
            <w:pPr>
              <w:spacing w:after="0" w:line="142" w:lineRule="exact"/>
              <w:rPr>
                <w:sz w:val="20"/>
                <w:szCs w:val="20"/>
                <w:color w:val="auto"/>
              </w:rPr>
            </w:pPr>
            <w:r>
              <w:rPr>
                <w:rFonts w:ascii="Arial" w:cs="Arial" w:eastAsia="Arial" w:hAnsi="Arial"/>
                <w:sz w:val="16"/>
                <w:szCs w:val="16"/>
                <w:color w:val="auto"/>
              </w:rPr>
              <w:t>pursuant to 18 U.S.C. Section 1350, as adopted pursuant to Section 906 of</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the Sarbanes-Oxley Act 2002.</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40" w:type="dxa"/>
            <w:vAlign w:val="bottom"/>
            <w:gridSpan w:val="6"/>
          </w:tcPr>
          <w:p>
            <w:pPr>
              <w:spacing w:after="0"/>
              <w:rPr>
                <w:sz w:val="20"/>
                <w:szCs w:val="20"/>
                <w:color w:val="auto"/>
              </w:rPr>
            </w:pPr>
            <w:r>
              <w:rPr>
                <w:rFonts w:ascii="Arial" w:cs="Arial" w:eastAsia="Arial" w:hAnsi="Arial"/>
                <w:sz w:val="18"/>
                <w:szCs w:val="18"/>
                <w:color w:val="auto"/>
              </w:rPr>
              <w:t>101.INS</w:t>
            </w:r>
          </w:p>
        </w:tc>
        <w:tc>
          <w:tcPr>
            <w:tcW w:w="55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gridSpan w:val="6"/>
          </w:tcPr>
          <w:p>
            <w:pPr>
              <w:spacing w:after="0"/>
              <w:rPr>
                <w:sz w:val="20"/>
                <w:szCs w:val="20"/>
                <w:color w:val="auto"/>
              </w:rPr>
            </w:pPr>
            <w:r>
              <w:rPr>
                <w:rFonts w:ascii="Arial" w:cs="Arial" w:eastAsia="Arial" w:hAnsi="Arial"/>
                <w:sz w:val="18"/>
                <w:szCs w:val="18"/>
                <w:color w:val="auto"/>
              </w:rPr>
              <w:t>101.SCH</w:t>
            </w:r>
          </w:p>
        </w:tc>
        <w:tc>
          <w:tcPr>
            <w:tcW w:w="5580" w:type="dxa"/>
            <w:vAlign w:val="bottom"/>
            <w:gridSpan w:val="2"/>
          </w:tcPr>
          <w:p>
            <w:pPr>
              <w:spacing w:after="0"/>
              <w:rPr>
                <w:sz w:val="20"/>
                <w:szCs w:val="20"/>
                <w:color w:val="auto"/>
              </w:rPr>
            </w:pPr>
            <w:r>
              <w:rPr>
                <w:rFonts w:ascii="Arial" w:cs="Arial" w:eastAsia="Arial" w:hAnsi="Arial"/>
                <w:sz w:val="18"/>
                <w:szCs w:val="18"/>
                <w:color w:val="auto"/>
              </w:rPr>
              <w:t>XBRL Taxonomy Schema Document.</w:t>
            </w: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gridSpan w:val="6"/>
          </w:tcPr>
          <w:p>
            <w:pPr>
              <w:spacing w:after="0"/>
              <w:rPr>
                <w:sz w:val="20"/>
                <w:szCs w:val="20"/>
                <w:color w:val="auto"/>
              </w:rPr>
            </w:pPr>
            <w:r>
              <w:rPr>
                <w:rFonts w:ascii="Arial" w:cs="Arial" w:eastAsia="Arial" w:hAnsi="Arial"/>
                <w:sz w:val="18"/>
                <w:szCs w:val="18"/>
                <w:color w:val="auto"/>
              </w:rPr>
              <w:t>101.CAL</w:t>
            </w:r>
          </w:p>
        </w:tc>
        <w:tc>
          <w:tcPr>
            <w:tcW w:w="55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gridSpan w:val="6"/>
          </w:tcPr>
          <w:p>
            <w:pPr>
              <w:spacing w:after="0"/>
              <w:rPr>
                <w:sz w:val="20"/>
                <w:szCs w:val="20"/>
                <w:color w:val="auto"/>
              </w:rPr>
            </w:pPr>
            <w:r>
              <w:rPr>
                <w:rFonts w:ascii="Arial" w:cs="Arial" w:eastAsia="Arial" w:hAnsi="Arial"/>
                <w:sz w:val="18"/>
                <w:szCs w:val="18"/>
                <w:color w:val="auto"/>
              </w:rPr>
              <w:t>101.DEF</w:t>
            </w:r>
          </w:p>
        </w:tc>
        <w:tc>
          <w:tcPr>
            <w:tcW w:w="55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gridSpan w:val="6"/>
          </w:tcPr>
          <w:p>
            <w:pPr>
              <w:spacing w:after="0"/>
              <w:rPr>
                <w:sz w:val="20"/>
                <w:szCs w:val="20"/>
                <w:color w:val="auto"/>
              </w:rPr>
            </w:pPr>
            <w:r>
              <w:rPr>
                <w:rFonts w:ascii="Arial" w:cs="Arial" w:eastAsia="Arial" w:hAnsi="Arial"/>
                <w:sz w:val="18"/>
                <w:szCs w:val="18"/>
                <w:color w:val="auto"/>
              </w:rPr>
              <w:t>101.LAB</w:t>
            </w:r>
          </w:p>
        </w:tc>
        <w:tc>
          <w:tcPr>
            <w:tcW w:w="55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gridSpan w:val="6"/>
          </w:tcPr>
          <w:p>
            <w:pPr>
              <w:spacing w:after="0"/>
              <w:rPr>
                <w:sz w:val="20"/>
                <w:szCs w:val="20"/>
                <w:color w:val="auto"/>
              </w:rPr>
            </w:pPr>
            <w:r>
              <w:rPr>
                <w:rFonts w:ascii="Arial" w:cs="Arial" w:eastAsia="Arial" w:hAnsi="Arial"/>
                <w:sz w:val="18"/>
                <w:szCs w:val="18"/>
                <w:color w:val="auto"/>
              </w:rPr>
              <w:t>101.PRE</w:t>
            </w:r>
          </w:p>
        </w:tc>
        <w:tc>
          <w:tcPr>
            <w:tcW w:w="55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Filing Date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12/14/2017</w:t>
      </w:r>
    </w:p>
    <w:p>
      <w:pPr>
        <w:spacing w:after="0" w:line="63" w:lineRule="exact"/>
        <w:rPr>
          <w:sz w:val="20"/>
          <w:szCs w:val="20"/>
          <w:color w:val="auto"/>
        </w:rPr>
      </w:pPr>
    </w:p>
    <w:p>
      <w:pPr>
        <w:ind w:right="360"/>
        <w:spacing w:after="0" w:line="412" w:lineRule="auto"/>
        <w:rPr>
          <w:sz w:val="20"/>
          <w:szCs w:val="20"/>
          <w:color w:val="auto"/>
        </w:rPr>
      </w:pPr>
      <w:r>
        <w:rPr>
          <w:rFonts w:ascii="Arial" w:cs="Arial" w:eastAsia="Arial" w:hAnsi="Arial"/>
          <w:sz w:val="16"/>
          <w:szCs w:val="16"/>
          <w:color w:val="auto"/>
        </w:rPr>
        <w:t>12/14/2017 Filed herewith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0" w:lineRule="exact"/>
        <w:rPr>
          <w:sz w:val="20"/>
          <w:szCs w:val="20"/>
          <w:color w:val="auto"/>
        </w:rPr>
      </w:pPr>
    </w:p>
    <w:p>
      <w:pPr>
        <w:sectPr>
          <w:pgSz w:w="11900" w:h="16838" w:orient="portrait"/>
          <w:cols w:equalWidth="0" w:num="2">
            <w:col w:w="9292" w:space="260"/>
            <w:col w:w="1400"/>
          </w:cols>
          <w:pgMar w:left="248" w:top="1337" w:right="699" w:bottom="1440" w:gutter="0" w:footer="0" w:header="0"/>
          <w:type w:val="continuous"/>
        </w:sectPr>
      </w:pPr>
    </w:p>
    <w:p>
      <w:pPr>
        <w:ind w:left="392" w:right="80" w:hanging="392"/>
        <w:spacing w:after="0" w:line="224" w:lineRule="auto"/>
        <w:tabs>
          <w:tab w:leader="none" w:pos="189"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 xml:space="preserve">The certifications furnished in Exhibit 32.1 hereto are deemed to accompany this </w:t>
      </w:r>
      <w:r>
        <w:rPr>
          <w:rFonts w:ascii="Arial" w:cs="Arial" w:eastAsia="Arial" w:hAnsi="Arial"/>
          <w:sz w:val="18"/>
          <w:szCs w:val="18"/>
          <w:color w:val="231F20"/>
        </w:rPr>
        <w:t>Quarterly Report on Form 10-Q</w:t>
      </w:r>
      <w:r>
        <w:rPr>
          <w:rFonts w:ascii="Arial" w:cs="Arial" w:eastAsia="Arial" w:hAnsi="Arial"/>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52"/>
          </w:cols>
          <w:pgMar w:left="248" w:top="1337" w:right="699" w:bottom="1440" w:gutter="0" w:footer="0" w:header="0"/>
          <w:type w:val="continuous"/>
        </w:sectPr>
      </w:pPr>
    </w:p>
    <w:bookmarkStart w:id="80" w:name="page81"/>
    <w:bookmarkEnd w:id="80"/>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2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BANDWIDTH INC.</w:t>
      </w:r>
    </w:p>
    <w:p>
      <w:pPr>
        <w:spacing w:after="0" w:line="333" w:lineRule="exact"/>
        <w:rPr>
          <w:sz w:val="20"/>
          <w:szCs w:val="20"/>
          <w:color w:val="auto"/>
        </w:rPr>
      </w:pPr>
    </w:p>
    <w:p>
      <w:pPr>
        <w:ind w:left="20"/>
        <w:spacing w:after="0"/>
        <w:tabs>
          <w:tab w:leader="none" w:pos="1220" w:val="left"/>
          <w:tab w:leader="none" w:pos="504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31750</wp:posOffset>
            </wp:positionV>
            <wp:extent cx="32670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Executive Officer)</w:t>
      </w:r>
    </w:p>
    <w:p>
      <w:pPr>
        <w:spacing w:after="0" w:line="293" w:lineRule="exact"/>
        <w:rPr>
          <w:sz w:val="20"/>
          <w:szCs w:val="20"/>
          <w:color w:val="auto"/>
        </w:rPr>
      </w:pPr>
    </w:p>
    <w:p>
      <w:pPr>
        <w:ind w:left="20"/>
        <w:spacing w:after="0"/>
        <w:tabs>
          <w:tab w:leader="none" w:pos="1220" w:val="left"/>
          <w:tab w:leader="none" w:pos="504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31750</wp:posOffset>
            </wp:positionV>
            <wp:extent cx="3267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020"/>
          </w:cols>
          <w:pgMar w:left="240" w:top="1337" w:right="6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31.1</w:t>
      </w:r>
    </w:p>
    <w:p>
      <w:pPr>
        <w:spacing w:after="0" w:line="185" w:lineRule="exact"/>
        <w:rPr>
          <w:sz w:val="20"/>
          <w:szCs w:val="20"/>
          <w:color w:val="auto"/>
        </w:rPr>
      </w:pPr>
    </w:p>
    <w:p>
      <w:pPr>
        <w:jc w:val="center"/>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David A. Morken, certify that:</w:t>
      </w:r>
    </w:p>
    <w:p>
      <w:pPr>
        <w:spacing w:after="0" w:line="324" w:lineRule="exact"/>
        <w:rPr>
          <w:sz w:val="20"/>
          <w:szCs w:val="20"/>
          <w:color w:val="auto"/>
        </w:rPr>
      </w:pPr>
    </w:p>
    <w:p>
      <w:pPr>
        <w:ind w:left="800" w:hanging="396"/>
        <w:spacing w:after="0"/>
        <w:tabs>
          <w:tab w:leader="none" w:pos="8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80" w:lineRule="exact"/>
        <w:rPr>
          <w:rFonts w:ascii="Arial" w:cs="Arial" w:eastAsia="Arial" w:hAnsi="Arial"/>
          <w:sz w:val="20"/>
          <w:szCs w:val="20"/>
          <w:color w:val="auto"/>
        </w:rPr>
      </w:pPr>
    </w:p>
    <w:p>
      <w:pPr>
        <w:ind w:right="80" w:firstLine="404"/>
        <w:spacing w:after="0" w:line="250" w:lineRule="auto"/>
        <w:tabs>
          <w:tab w:leader="none" w:pos="792"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20"/>
          <w:szCs w:val="20"/>
          <w:color w:val="auto"/>
        </w:rPr>
      </w:pPr>
    </w:p>
    <w:p>
      <w:pPr>
        <w:ind w:right="40" w:firstLine="404"/>
        <w:spacing w:after="0" w:line="316" w:lineRule="auto"/>
        <w:tabs>
          <w:tab w:leader="none" w:pos="7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ind w:right="260" w:firstLine="404"/>
        <w:spacing w:after="0" w:line="260" w:lineRule="auto"/>
        <w:tabs>
          <w:tab w:leader="none" w:pos="788"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41" w:lineRule="exact"/>
        <w:rPr>
          <w:rFonts w:ascii="Arial" w:cs="Arial" w:eastAsia="Arial" w:hAnsi="Arial"/>
          <w:sz w:val="20"/>
          <w:szCs w:val="20"/>
          <w:color w:val="auto"/>
        </w:rPr>
      </w:pPr>
    </w:p>
    <w:p>
      <w:pPr>
        <w:ind w:left="660" w:right="120" w:firstLine="392"/>
        <w:spacing w:after="0" w:line="291" w:lineRule="auto"/>
        <w:tabs>
          <w:tab w:leader="none" w:pos="14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ind w:left="660" w:right="120" w:firstLine="392"/>
        <w:spacing w:after="0" w:line="250" w:lineRule="auto"/>
        <w:tabs>
          <w:tab w:leader="none" w:pos="1435" w:val="left"/>
        </w:tabs>
        <w:numPr>
          <w:ilvl w:val="1"/>
          <w:numId w:val="3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ind w:left="660" w:firstLine="392"/>
        <w:spacing w:after="0" w:line="250" w:lineRule="auto"/>
        <w:tabs>
          <w:tab w:leader="none" w:pos="1424" w:val="left"/>
        </w:tabs>
        <w:numPr>
          <w:ilvl w:val="1"/>
          <w:numId w:val="3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20"/>
          <w:szCs w:val="20"/>
          <w:color w:val="auto"/>
        </w:rPr>
      </w:pPr>
    </w:p>
    <w:p>
      <w:pPr>
        <w:ind w:right="120" w:firstLine="404"/>
        <w:spacing w:after="0" w:line="250" w:lineRule="auto"/>
        <w:tabs>
          <w:tab w:leader="none" w:pos="788"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ind w:left="660" w:right="260" w:firstLine="392"/>
        <w:spacing w:after="0" w:line="250" w:lineRule="auto"/>
        <w:tabs>
          <w:tab w:leader="none" w:pos="1413" w:val="left"/>
        </w:tabs>
        <w:numPr>
          <w:ilvl w:val="1"/>
          <w:numId w:val="3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660" w:right="800" w:firstLine="392"/>
        <w:spacing w:after="0" w:line="260" w:lineRule="auto"/>
        <w:tabs>
          <w:tab w:leader="none" w:pos="1424"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 2018</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3610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420"/>
          </w:cols>
          <w:pgMar w:left="240" w:top="936"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31.2</w:t>
      </w:r>
    </w:p>
    <w:p>
      <w:pPr>
        <w:spacing w:after="0" w:line="185" w:lineRule="exact"/>
        <w:rPr>
          <w:sz w:val="20"/>
          <w:szCs w:val="20"/>
          <w:color w:val="auto"/>
        </w:rPr>
      </w:pPr>
    </w:p>
    <w:p>
      <w:pPr>
        <w:jc w:val="center"/>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 Jeffrey A. Hoffman certify that:</w:t>
      </w:r>
    </w:p>
    <w:p>
      <w:pPr>
        <w:spacing w:after="0" w:line="200" w:lineRule="exact"/>
        <w:rPr>
          <w:sz w:val="20"/>
          <w:szCs w:val="20"/>
          <w:color w:val="auto"/>
        </w:rPr>
      </w:pPr>
    </w:p>
    <w:p>
      <w:pPr>
        <w:spacing w:after="0" w:line="205" w:lineRule="exact"/>
        <w:rPr>
          <w:sz w:val="20"/>
          <w:szCs w:val="20"/>
          <w:color w:val="auto"/>
        </w:rPr>
      </w:pPr>
    </w:p>
    <w:p>
      <w:pPr>
        <w:ind w:left="520" w:hanging="188"/>
        <w:spacing w:after="0"/>
        <w:tabs>
          <w:tab w:leader="none" w:pos="5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ind w:right="140" w:firstLine="332"/>
        <w:spacing w:after="0" w:line="250" w:lineRule="auto"/>
        <w:tabs>
          <w:tab w:leader="none" w:pos="522" w:val="left"/>
        </w:tabs>
        <w:numPr>
          <w:ilvl w:val="0"/>
          <w:numId w:val="3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20"/>
          <w:szCs w:val="20"/>
          <w:color w:val="auto"/>
        </w:rPr>
      </w:pPr>
    </w:p>
    <w:p>
      <w:pPr>
        <w:ind w:right="320" w:firstLine="332"/>
        <w:spacing w:after="0" w:line="313" w:lineRule="auto"/>
        <w:tabs>
          <w:tab w:leader="none" w:pos="5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40" w:firstLine="332"/>
        <w:spacing w:after="0" w:line="260" w:lineRule="auto"/>
        <w:tabs>
          <w:tab w:leader="none" w:pos="52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55" w:lineRule="exact"/>
        <w:rPr>
          <w:rFonts w:ascii="Arial" w:cs="Arial" w:eastAsia="Arial" w:hAnsi="Arial"/>
          <w:sz w:val="20"/>
          <w:szCs w:val="20"/>
          <w:color w:val="auto"/>
        </w:rPr>
      </w:pPr>
    </w:p>
    <w:p>
      <w:pPr>
        <w:ind w:left="660" w:right="120" w:firstLine="392"/>
        <w:spacing w:after="0" w:line="291" w:lineRule="auto"/>
        <w:tabs>
          <w:tab w:leader="none" w:pos="142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ind w:left="660" w:right="120" w:firstLine="392"/>
        <w:spacing w:after="0" w:line="250" w:lineRule="auto"/>
        <w:tabs>
          <w:tab w:leader="none" w:pos="1435" w:val="left"/>
        </w:tabs>
        <w:numPr>
          <w:ilvl w:val="1"/>
          <w:numId w:val="3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20"/>
          <w:szCs w:val="20"/>
          <w:color w:val="auto"/>
        </w:rPr>
      </w:pPr>
    </w:p>
    <w:p>
      <w:pPr>
        <w:ind w:left="660" w:firstLine="392"/>
        <w:spacing w:after="0" w:line="250" w:lineRule="auto"/>
        <w:tabs>
          <w:tab w:leader="none" w:pos="14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20"/>
          <w:szCs w:val="20"/>
          <w:color w:val="auto"/>
        </w:rPr>
      </w:pPr>
    </w:p>
    <w:p>
      <w:pPr>
        <w:ind w:right="380" w:firstLine="332"/>
        <w:spacing w:after="0" w:line="250" w:lineRule="auto"/>
        <w:tabs>
          <w:tab w:leader="none" w:pos="52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ind w:left="660" w:right="260" w:firstLine="392"/>
        <w:spacing w:after="0" w:line="250" w:lineRule="auto"/>
        <w:tabs>
          <w:tab w:leader="none" w:pos="1413" w:val="left"/>
        </w:tabs>
        <w:numPr>
          <w:ilvl w:val="1"/>
          <w:numId w:val="3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20"/>
          <w:szCs w:val="20"/>
          <w:color w:val="auto"/>
        </w:rPr>
      </w:pPr>
    </w:p>
    <w:p>
      <w:pPr>
        <w:ind w:left="660" w:right="800" w:firstLine="392"/>
        <w:spacing w:after="0" w:line="260" w:lineRule="auto"/>
        <w:tabs>
          <w:tab w:leader="none" w:pos="14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 2018</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610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(Principal Accounting and Financial Officer)</w:t>
      </w:r>
    </w:p>
    <w:p>
      <w:pPr>
        <w:sectPr>
          <w:pgSz w:w="11900" w:h="16838" w:orient="portrait"/>
          <w:cols w:equalWidth="0" w:num="1">
            <w:col w:w="11420"/>
          </w:cols>
          <w:pgMar w:left="240" w:top="936"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205" w:lineRule="exact"/>
        <w:rPr>
          <w:sz w:val="20"/>
          <w:szCs w:val="20"/>
          <w:color w:val="auto"/>
        </w:rPr>
      </w:pPr>
    </w:p>
    <w:p>
      <w:pPr>
        <w:ind w:right="220" w:firstLine="332"/>
        <w:spacing w:after="0" w:line="250" w:lineRule="auto"/>
        <w:tabs>
          <w:tab w:leader="none" w:pos="522"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Company’s Quarterly Report on Form 10-Q for the quarterly period ended September 30, 2018, to which this Certification is attached as Exhibit 32.1 (the “Periodic Report”), fully complies with the requirements of Section 13(a) or Section 15(d) of the Exchange Act; and</w:t>
      </w:r>
    </w:p>
    <w:p>
      <w:pPr>
        <w:spacing w:after="0" w:line="199" w:lineRule="exact"/>
        <w:rPr>
          <w:rFonts w:ascii="Arial" w:cs="Arial" w:eastAsia="Arial" w:hAnsi="Arial"/>
          <w:sz w:val="20"/>
          <w:szCs w:val="20"/>
          <w:color w:val="auto"/>
        </w:rPr>
      </w:pPr>
    </w:p>
    <w:p>
      <w:pPr>
        <w:ind w:right="60" w:firstLine="332"/>
        <w:spacing w:after="0" w:line="260" w:lineRule="auto"/>
        <w:tabs>
          <w:tab w:leader="none" w:pos="522"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Periodic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 2018</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610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(Principal Executive Officer)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610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(Principal Accounting and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1"/>
    </w:lvl>
    <w:lvl w:ilvl="1">
      <w:lvlJc w:val="left"/>
      <w:lvlText w:val="(%2)"/>
      <w:numFmt w:val="decimal"/>
      <w:start w:val="1"/>
    </w:lvl>
  </w:abstractNum>
  <w:abstractNum w:abstractNumId="7">
    <w:nsid w:val="333AB105"/>
    <w:multiLevelType w:val="hybridMultilevel"/>
    <w:lvl w:ilvl="0">
      <w:lvlJc w:val="left"/>
      <w:lvlText w:val="%1."/>
      <w:numFmt w:val="decimal"/>
      <w:start w:val="8"/>
    </w:lvl>
    <w:lvl w:ilvl="1">
      <w:lvlJc w:val="left"/>
      <w:lvlText w:val="%2"/>
      <w:numFmt w:val="decimal"/>
      <w:start w:val="1"/>
    </w:lvl>
  </w:abstractNum>
  <w:abstractNum w:abstractNumId="8">
    <w:nsid w:val="721DA317"/>
    <w:multiLevelType w:val="hybridMultilevel"/>
    <w:lvl w:ilvl="0">
      <w:lvlJc w:val="left"/>
      <w:lvlText w:val="%1."/>
      <w:numFmt w:val="decimal"/>
      <w:start w:val="9"/>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8" Type="http://schemas.openxmlformats.org/officeDocument/2006/relationships/hyperlink" Target="http://www.sec.gov/Archives/edgar/data/1514416/000151441617000006/a10qq32017exhibit31.htm" TargetMode="External"/><Relationship Id="rId19" Type="http://schemas.openxmlformats.org/officeDocument/2006/relationships/hyperlink" Target="http://www.sec.gov/Archives/edgar/data/1514416/000151441617000006/a10qq32017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2019-12-28T18:48:26Z</dcterms:created>
  <dcterms:modified xsi:type="dcterms:W3CDTF">2019-12-28T18:48:26Z</dcterms:modified>
</cp:coreProperties>
</file>