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19, 2026</w:t>
      </w:r>
    </w:p>
    <w:p>
      <w:pPr>
        <w:spacing w:after="0" w:line="1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8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4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001-38285</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48"/>
        </w:trPr>
        <w:tc>
          <w:tcPr>
            <w:tcW w:w="2200" w:type="dxa"/>
            <w:vAlign w:val="bottom"/>
          </w:tcPr>
          <w:p>
            <w:pPr>
              <w:jc w:val="center"/>
              <w:ind w:right="46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0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2200" w:type="dxa"/>
            <w:vAlign w:val="bottom"/>
          </w:tcPr>
          <w:p>
            <w:pPr>
              <w:spacing w:after="0"/>
              <w:rPr>
                <w:sz w:val="24"/>
                <w:szCs w:val="24"/>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2230 Bandmate Way</w:t>
            </w:r>
          </w:p>
        </w:tc>
        <w:tc>
          <w:tcPr>
            <w:tcW w:w="1820" w:type="dxa"/>
            <w:vAlign w:val="bottom"/>
          </w:tcPr>
          <w:p>
            <w:pPr>
              <w:spacing w:after="0"/>
              <w:rPr>
                <w:sz w:val="24"/>
                <w:szCs w:val="24"/>
                <w:color w:val="auto"/>
              </w:rPr>
            </w:pPr>
          </w:p>
        </w:tc>
      </w:tr>
      <w:tr>
        <w:trPr>
          <w:trHeight w:val="194"/>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Raleigh, NC 27607</w:t>
            </w:r>
          </w:p>
        </w:tc>
        <w:tc>
          <w:tcPr>
            <w:tcW w:w="1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bl>
    <w:p>
      <w:pPr>
        <w:spacing w:after="0" w:line="10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6"/>
                <w:szCs w:val="16"/>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0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5"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19, 2026, Bandwidth Inc. issued a press release reporting its financial results for the fourth quarter and full year ended December 31, 2025. A copy of the press release is furnished as Exhibit 99.1 to this Current Report on Form 8-K.</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a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20" w:type="dxa"/>
            <w:vAlign w:val="bottom"/>
          </w:tcPr>
          <w:p>
            <w:pPr>
              <w:spacing w:after="0"/>
              <w:rPr>
                <w:sz w:val="20"/>
                <w:szCs w:val="20"/>
                <w:color w:val="auto"/>
              </w:rPr>
            </w:pPr>
          </w:p>
        </w:tc>
      </w:tr>
      <w:tr>
        <w:trPr>
          <w:trHeight w:val="418"/>
        </w:trPr>
        <w:tc>
          <w:tcPr>
            <w:tcW w:w="21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0000FF"/>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1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Bandwidth Inc. press release, dated February 19, 2026</w:t>
            </w:r>
          </w:p>
        </w:tc>
      </w:tr>
      <w:tr>
        <w:trPr>
          <w:trHeight w:val="291"/>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tc>
      </w:tr>
      <w:tr>
        <w:trPr>
          <w:trHeight w:val="1195"/>
        </w:trPr>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63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Daryl E. Raiford</w:t>
            </w:r>
          </w:p>
        </w:tc>
      </w:tr>
      <w:tr>
        <w:trPr>
          <w:trHeight w:val="218"/>
        </w:trPr>
        <w:tc>
          <w:tcPr>
            <w:tcW w:w="3840" w:type="dxa"/>
            <w:vAlign w:val="bottom"/>
          </w:tcPr>
          <w:p>
            <w:pPr>
              <w:spacing w:after="0"/>
              <w:rPr>
                <w:sz w:val="18"/>
                <w:szCs w:val="18"/>
                <w:color w:val="auto"/>
              </w:rPr>
            </w:pP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Daryl E. Raiford</w:t>
            </w:r>
          </w:p>
        </w:tc>
      </w:tr>
      <w:tr>
        <w:trPr>
          <w:trHeight w:val="234"/>
        </w:trPr>
        <w:tc>
          <w:tcPr>
            <w:tcW w:w="3840" w:type="dxa"/>
            <w:vAlign w:val="bottom"/>
          </w:tcPr>
          <w:p>
            <w:pPr>
              <w:spacing w:after="0"/>
              <w:rPr>
                <w:sz w:val="20"/>
                <w:szCs w:val="20"/>
                <w:color w:val="auto"/>
              </w:rPr>
            </w:pPr>
          </w:p>
        </w:tc>
        <w:tc>
          <w:tcPr>
            <w:tcW w:w="27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911860</wp:posOffset>
            </wp:positionV>
            <wp:extent cx="169735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9735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Bandwidth Announces Fourth Quarter and Full Year 2025 Financial Results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Record fourth quarter Adjusted EBITDA and free cash flow</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Provides 2026 outlook of approximately 16% revenue growth and 29% Adjusted EBITDA growth</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Board authorizes an $80 million share repurchase program</w:t>
      </w:r>
    </w:p>
    <w:p>
      <w:pPr>
        <w:sectPr>
          <w:pgSz w:w="11900" w:h="16838" w:orient="portrait"/>
          <w:cols w:equalWidth="0" w:num="1">
            <w:col w:w="11220"/>
          </w:cols>
          <w:pgMar w:left="340" w:top="1440" w:right="33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19, 2026</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Conference Call </w:t>
      </w:r>
      <w:r>
        <w:rPr>
          <w:rFonts w:ascii="Times New Roman" w:cs="Times New Roman" w:eastAsia="Times New Roman" w:hAnsi="Times New Roman"/>
          <w:sz w:val="18"/>
          <w:szCs w:val="18"/>
          <w:color w:val="auto"/>
        </w:rPr>
        <w:t xml:space="preserve">Bandwidth will host a conference call to discuss financial results for the fourth quarter and full year ended December 31, 2025 on February 19, 2026. Details can be found below and on the investor section of its website at </w:t>
      </w:r>
      <w:r>
        <w:rPr>
          <w:rFonts w:ascii="Times New Roman" w:cs="Times New Roman" w:eastAsia="Times New Roman" w:hAnsi="Times New Roman"/>
          <w:sz w:val="18"/>
          <w:szCs w:val="18"/>
          <w:color w:val="0000FF"/>
        </w:rPr>
        <w:t xml:space="preserve">https://investors.bandwidth.com </w:t>
      </w:r>
      <w:r>
        <w:rPr>
          <w:rFonts w:ascii="Times New Roman" w:cs="Times New Roman" w:eastAsia="Times New Roman" w:hAnsi="Times New Roman"/>
          <w:sz w:val="18"/>
          <w:szCs w:val="18"/>
          <w:color w:val="000000"/>
        </w:rPr>
        <w:t>where a replay will also be available shortly following the call.</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am 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dial-in: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844-481-2707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412-317-0663</w:t>
      </w:r>
    </w:p>
    <w:p>
      <w:pPr>
        <w:spacing w:after="0" w:line="2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Replay information </w:t>
      </w:r>
      <w:r>
        <w:rPr>
          <w:rFonts w:ascii="Times New Roman" w:cs="Times New Roman" w:eastAsia="Times New Roman" w:hAnsi="Times New Roman"/>
          <w:sz w:val="18"/>
          <w:szCs w:val="18"/>
          <w:color w:val="auto"/>
        </w:rPr>
        <w:t>An audio replay of this conference call will be available through February 26, 2026 by dialing 855-669-9658 or</w:t>
      </w:r>
    </w:p>
    <w:p>
      <w:pPr>
        <w:spacing w:after="0" w:line="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412-317-0088 for international callers, and entering passcode 6655875.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Walas</w:t>
      </w:r>
    </w:p>
    <w:p>
      <w:pPr>
        <w:spacing w:after="0" w:line="9" w:lineRule="exact"/>
        <w:rPr>
          <w:sz w:val="20"/>
          <w:szCs w:val="20"/>
          <w:color w:val="auto"/>
        </w:rPr>
      </w:pPr>
    </w:p>
    <w:p>
      <w:pPr>
        <w:ind w:right="940"/>
        <w:spacing w:after="0" w:line="255" w:lineRule="auto"/>
        <w:rPr>
          <w:sz w:val="20"/>
          <w:szCs w:val="20"/>
          <w:color w:val="auto"/>
        </w:rPr>
      </w:pPr>
      <w:r>
        <w:rPr>
          <w:rFonts w:ascii="Times New Roman" w:cs="Times New Roman" w:eastAsia="Times New Roman" w:hAnsi="Times New Roman"/>
          <w:sz w:val="18"/>
          <w:szCs w:val="18"/>
          <w:color w:val="auto"/>
        </w:rPr>
        <w:t>Bandwidth 919-504-6585 ir@bandwidth.com</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Raleigh, NC </w:t>
      </w:r>
      <w:r>
        <w:rPr>
          <w:rFonts w:ascii="Times New Roman" w:cs="Times New Roman" w:eastAsia="Times New Roman" w:hAnsi="Times New Roman"/>
          <w:sz w:val="18"/>
          <w:szCs w:val="18"/>
          <w:color w:val="auto"/>
        </w:rPr>
        <w:t>- Bandwidth Inc. (NASDAQ: BAND), a leading global enterprise cloud communications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financial results for the fourth quarter and full year ended December 31, 2025.</w:t>
      </w:r>
    </w:p>
    <w:p>
      <w:pPr>
        <w:spacing w:after="0" w:line="105"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“2025 was a year of sustained business performance and strengthening fundamentals for Bandwidth, with record million-dollar-plus deals and continued enterprise adoption of AI-driven voice,” said David Morken, CEO of Bandwidth. “Customers are increasingly relying on our Maestro platform and Communications Cloud to power AI in production environments, reinforcing the durability of our model and the long-term value we deliver. The authorization of our first $80 million share repurchase program reflects our confidence in our growth strategy, margin expansion, and ability to generate meaningful cash flow while continuing to invest in innovation.”</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175"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consolidated financial highlights for the three months and years ended December 31, 2025 and 2024 ($ in millions,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40" w:type="dxa"/>
            <w:vAlign w:val="bottom"/>
          </w:tcPr>
          <w:p>
            <w:pPr>
              <w:spacing w:after="0"/>
              <w:rPr>
                <w:sz w:val="18"/>
                <w:szCs w:val="18"/>
                <w:color w:val="auto"/>
              </w:rPr>
            </w:pPr>
          </w:p>
        </w:tc>
      </w:tr>
      <w:tr>
        <w:trPr>
          <w:trHeight w:val="238"/>
        </w:trPr>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20"/>
                <w:szCs w:val="20"/>
                <w:color w:val="auto"/>
              </w:rPr>
            </w:pPr>
          </w:p>
        </w:tc>
        <w:tc>
          <w:tcPr>
            <w:tcW w:w="23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3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r>
      <w:tr>
        <w:trPr>
          <w:trHeight w:val="27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Non-GAAP Gross Margin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7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Non-GAAP net income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(0.24)</w:t>
            </w:r>
          </w:p>
        </w:tc>
      </w:tr>
      <w:tr>
        <w:trPr>
          <w:trHeight w:val="23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Non-GAAP</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8"/>
        </w:trPr>
        <w:tc>
          <w:tcPr>
            <w:tcW w:w="32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share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r>
      <w:tr>
        <w:trPr>
          <w:trHeight w:val="27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r>
      <w:tr>
        <w:trPr>
          <w:trHeight w:val="352"/>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bl>
    <w:p>
      <w:pPr>
        <w:spacing w:after="0" w:line="152" w:lineRule="exact"/>
        <w:rPr>
          <w:sz w:val="20"/>
          <w:szCs w:val="20"/>
          <w:color w:val="auto"/>
        </w:rPr>
      </w:pPr>
    </w:p>
    <w:p>
      <w:pPr>
        <w:jc w:val="both"/>
        <w:ind w:left="20" w:right="20" w:hanging="1"/>
        <w:spacing w:after="0" w:line="241" w:lineRule="auto"/>
        <w:tabs>
          <w:tab w:leader="none" w:pos="152"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Additional information regarding the Non-GAAP financial measures discussed in this release, including an explanation of these measures and how each is calculated, is included below under the heading “Non-GAAP Financial Measures.” A reconciliation of GAAP to Non-GAAP financial measures has also been provided in the financial tables included below.</w:t>
      </w:r>
    </w:p>
    <w:p>
      <w:pPr>
        <w:spacing w:after="0" w:line="200" w:lineRule="exact"/>
        <w:rPr>
          <w:sz w:val="20"/>
          <w:szCs w:val="20"/>
          <w:color w:val="auto"/>
        </w:rPr>
      </w:pPr>
    </w:p>
    <w:p>
      <w:pPr>
        <w:spacing w:after="0" w:line="224"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“We achieved a solid fourth quarter, highlighted by record quarterly results for Adjusted EBITDA and free cash flow,” said Daryl Raiford, CFO of Bandwidth. “For 2026, we expect approximately 16 percent revenue growth and 29 percent Adjusted EBITDA growth, reflecting continued acceleration in voice demand, expanding software services contribution, and continued operating leverage. This outlook supports a balanced capital allocation approach: investing in growth while also returning capital to shareholders.”</w:t>
      </w:r>
    </w:p>
    <w:p>
      <w:pPr>
        <w:spacing w:after="0" w:line="200" w:lineRule="exact"/>
        <w:rPr>
          <w:sz w:val="20"/>
          <w:szCs w:val="20"/>
          <w:color w:val="auto"/>
        </w:rPr>
      </w:pPr>
    </w:p>
    <w:p>
      <w:pPr>
        <w:sectPr>
          <w:pgSz w:w="11900" w:h="16838" w:orient="portrait"/>
          <w:cols w:equalWidth="0" w:num="2">
            <w:col w:w="2340" w:space="320"/>
            <w:col w:w="856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40" w:top="144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Customer Highlights</w:t>
      </w:r>
    </w:p>
    <w:p>
      <w:pPr>
        <w:spacing w:after="0" w:line="158" w:lineRule="exact"/>
        <w:rPr>
          <w:sz w:val="20"/>
          <w:szCs w:val="20"/>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major U.S. insurance group </w:t>
      </w:r>
      <w:r>
        <w:rPr>
          <w:rFonts w:ascii="Times New Roman" w:cs="Times New Roman" w:eastAsia="Times New Roman" w:hAnsi="Times New Roman"/>
          <w:sz w:val="18"/>
          <w:szCs w:val="18"/>
          <w:color w:val="auto"/>
        </w:rPr>
        <w:t>deployed Bandwidth to power a new cloud-based customer experience stack for claims and quoting, citing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AI-enabling capabilities, network reliability, and seamless integration with a complex Cisco environment.</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top 10 U.S. bank serving millions </w:t>
      </w:r>
      <w:r>
        <w:rPr>
          <w:rFonts w:ascii="Times New Roman" w:cs="Times New Roman" w:eastAsia="Times New Roman" w:hAnsi="Times New Roman"/>
          <w:sz w:val="18"/>
          <w:szCs w:val="18"/>
          <w:color w:val="auto"/>
        </w:rPr>
        <w:t>of customers selected Bandwidth’s resilient toll-free solution to modernize and protect its contact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driven by our differentiated failover architecture, open integration strategy, and strong customer support.</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top-five global automaker’s U.S. consumer financing arm </w:t>
      </w:r>
      <w:r>
        <w:rPr>
          <w:rFonts w:ascii="Times New Roman" w:cs="Times New Roman" w:eastAsia="Times New Roman" w:hAnsi="Times New Roman"/>
          <w:sz w:val="18"/>
          <w:szCs w:val="18"/>
          <w:color w:val="auto"/>
        </w:rPr>
        <w:t>selected Bandwidth, to power AI-enabled communications for its Genesys contact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gaining greater flexibility and cost savings to support investment in new Genesys AI services.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high-growth e-commerce platform </w:t>
      </w:r>
      <w:r>
        <w:rPr>
          <w:rFonts w:ascii="Times New Roman" w:cs="Times New Roman" w:eastAsia="Times New Roman" w:hAnsi="Times New Roman"/>
          <w:sz w:val="18"/>
          <w:szCs w:val="18"/>
          <w:color w:val="auto"/>
        </w:rPr>
        <w:t>supporting time-sensitive messaging for leading consumer brands chose Bandwidth for its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deliverability, scalable capacity, and reliable performance during peak retail demand.</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long-time Bandwidth customer serving hundreds of enterprise brands </w:t>
      </w:r>
      <w:r>
        <w:rPr>
          <w:rFonts w:ascii="Times New Roman" w:cs="Times New Roman" w:eastAsia="Times New Roman" w:hAnsi="Times New Roman"/>
          <w:sz w:val="18"/>
          <w:szCs w:val="18"/>
          <w:color w:val="auto"/>
        </w:rPr>
        <w:t>trusted Bandwidth to power its first production RCS campaigns,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relying on our scalable throughput, consistent deliverability, and operational reliability as RCS adoption expands.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Bandwidth is providing guidance for its first quarter and full year 2026 as follows (in millions, except per share amounts) based on current indications for its business, which are subject to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8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1Q 2026 Guidance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Full Year 2026</w:t>
            </w:r>
          </w:p>
        </w:tc>
      </w:tr>
      <w:tr>
        <w:trPr>
          <w:trHeight w:val="238"/>
        </w:trPr>
        <w:tc>
          <w:tcPr>
            <w:tcW w:w="7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Guidance</w:t>
            </w:r>
          </w:p>
        </w:tc>
      </w:tr>
      <w:tr>
        <w:trPr>
          <w:trHeight w:val="27"/>
        </w:trPr>
        <w:tc>
          <w:tcPr>
            <w:tcW w:w="7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$884</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$24</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$123</w:t>
            </w:r>
          </w:p>
        </w:tc>
      </w:tr>
      <w:tr>
        <w:trPr>
          <w:trHeight w:val="27"/>
        </w:trPr>
        <w:tc>
          <w:tcPr>
            <w:tcW w:w="7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Non-GAAP earnings per share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$0.32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$1.74</w:t>
            </w:r>
          </w:p>
        </w:tc>
      </w:tr>
    </w:tbl>
    <w:p>
      <w:pPr>
        <w:spacing w:after="0" w:line="243" w:lineRule="exact"/>
        <w:rPr>
          <w:sz w:val="20"/>
          <w:szCs w:val="20"/>
          <w:color w:val="auto"/>
        </w:rPr>
      </w:pPr>
    </w:p>
    <w:p>
      <w:pPr>
        <w:ind w:left="660" w:right="420" w:hanging="4"/>
        <w:spacing w:after="0" w:line="213" w:lineRule="auto"/>
        <w:tabs>
          <w:tab w:leader="none" w:pos="83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Assumes weighted average diluted share count of approximately 34.2 million in 1Q 2026 and weighted average diluted share count of approximately 36.1 million in full year 2026.</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Bandwidth has not reconciled its first quarter and full year 2026 guidance related to Adjusted EBITDA to GAAP net income or loss and non-GAAP net earnings or loss to GAAP net earnings or loss and non-GAAP earnings or loss per share to GAAP earnings or loss per share, because stock-based compensation cannot be reasonably calculated or predicted at this time. Accordingly, a reconciliation is not available without unreasonable effort.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C0A14"/>
        </w:rPr>
        <w:t>Share Repurchase Program Authorization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Bandwidth today announced that its Board of Directors has authorized a share repurchase program of up to $80 million of the Company’s outstanding Class A common stock, subject to market conditions, contractual restrictions and other factors. The repurchases may be made from time to time at the discretion of management through open market purchases, block trades, privately negotiated transactions, Rule 10b5-1 plans or other means.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Investor Conference</w:t>
      </w:r>
    </w:p>
    <w:p>
      <w:pPr>
        <w:spacing w:after="0" w:line="171" w:lineRule="exact"/>
        <w:rPr>
          <w:sz w:val="20"/>
          <w:szCs w:val="20"/>
          <w:color w:val="auto"/>
        </w:rPr>
      </w:pPr>
    </w:p>
    <w:p>
      <w:pPr>
        <w:ind w:left="660" w:right="20" w:hanging="328"/>
        <w:spacing w:after="0" w:line="286"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 Technology Conference in San Francisco, CA. </w:t>
      </w:r>
      <w:r>
        <w:rPr>
          <w:rFonts w:ascii="Times New Roman" w:cs="Times New Roman" w:eastAsia="Times New Roman" w:hAnsi="Times New Roman"/>
          <w:sz w:val="18"/>
          <w:szCs w:val="18"/>
          <w:color w:val="auto"/>
        </w:rPr>
        <w:t>Fireside chat with David Morken, CEO and Daryl Raiford, CFO on Tuesday, March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at 9:00AM Pacific Time.</w:t>
      </w:r>
    </w:p>
    <w:p>
      <w:pPr>
        <w:spacing w:after="0" w:line="100"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Morgan Stanley Technology, Media, &amp; Telecom Conference in San Francisco, CA. </w:t>
      </w:r>
      <w:r>
        <w:rPr>
          <w:rFonts w:ascii="Times New Roman" w:cs="Times New Roman" w:eastAsia="Times New Roman" w:hAnsi="Times New Roman"/>
          <w:sz w:val="18"/>
          <w:szCs w:val="18"/>
          <w:color w:val="auto"/>
        </w:rPr>
        <w:t>Fireside chat with Daryl Raiford, CFO and John Bell, CPO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Wednesday, March 4, 2026 at 1:50PM Pacific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Bandwidth Inc.</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Bandwidth (NASDAQ: BAND) is a global cloud communications software company that helps enterprises deliver exceptional experiences through voice calling, text messaging and emergency services. Our solutions and our Communications Cloud, covering 65+ countries and over 90 percent of global GDP, are trusted by all the leaders in unified communications and cloud contact centers–including Amazon Web Services (AWS), Cisco, Google, Microsoft, RingCentral, Zoom, Genesys and Five9–as well as Global 2000 enterprises and SaaS builders like Docusign, Uber and Yosi Health. As a founder of the cloud communications revolution, we are the first and only global Communications Platform-as-a-Service (CPaaS) to offer a unique combination of composable APIs, AI capabilities, owner-operated network and broad regulatory experience. Our award-winning support teams help businesses around the world solve complex communications challenges to reach anyone, anywhere. For more information, visit </w:t>
      </w:r>
      <w:r>
        <w:rPr>
          <w:rFonts w:ascii="Times New Roman" w:cs="Times New Roman" w:eastAsia="Times New Roman" w:hAnsi="Times New Roman"/>
          <w:sz w:val="18"/>
          <w:szCs w:val="18"/>
          <w:u w:val="single" w:color="auto"/>
          <w:color w:val="000080"/>
        </w:rPr>
        <w:t>www.bandwidth.com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All statements contained in this press release other than statements of historical facts, including, without limitation, future financial and business performance for the quarter ending March 31, 2026 and year ending December 31, 2026, the success of our product offerings and our platform, and the value proposition of our products, are forward-looking statements. The words “anticipate,” “assume,” “believe,” “continue,” “estimate,” “expect,” “intend,” “guide,” “may,” “will” and similar expressions and their negatives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competition in the markets in which we operate, market growth, our ability to innovate and manage our growth, our ability to successfully leverage the use of artificial intelligence in our business operations and in our service offerings, our ability to expand effectively into new markets, macroeconomic conditions both in the U.S. and globally, legal, reputational and financial risks which may result from ever-evolving cybersecurity threats, our ability to operate in compliance with applicable laws, as well as other risks and uncertainties set forth in the “Risk Factors” section of our latest Annual Report on Form 10-K filed with the Securities and Exchange Commission (the “SEC”) and any subsequent reports that we file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We are under no obligation to update any of these forward-looking statements after the date of this press release to conform these statements to actual results or revised expectations, except as required by law. You should, therefore, not rely on these forward-looking statements as representing our views as of any date subsequent to the date of this press release.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generally accepted accounting principles in the United States, or GAAP, we provide investors with certain Non-GAAP financial measures and other business metrics, which we believe are helpful to our investors. We use these Non-GAAP financial measures and other business metrics for financial and operational decision-making purposes and as a means to evaluate period-to-period comparisons. We believe that these Non-GAAP financial measures and other business metrics provide useful information about our operating results, enhance the overall understanding of past financial performance and future prospects and allow for greater transparency with respect to metrics used by our management in its financial and operational decision-making.</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presentation of Non-GAAP financial information and other business metrics is not meant to be considered in isolation or as a substitute for the directly comparable financial measures prepared in accordance with GAAP. While our Non-GAAP financial measures and other business metrics are an important tool for financial and operational decision-making and for evaluating our own operating results over different periods of time, we urge investors to review the reconciliation of these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We define Non-GAAP gross profit as gross profit after adding back depreciation, amortization of acquired intangible assets related to acquisitions and stock-based compensation. We add back depreciation, amortization of acquired intangible assets related to acquisitions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adjusted to remove the impact of these non-cash expenses, is helpful to investors in assessing our gross profit and gross margin performance in a way that is similar to how management assesses our performance. We calculate Non-GAAP gross margin by dividing Non-GAAP gross profit by cloud communications revenue, which is revenue less pass-through messaging surcharges.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Non-GAAP net income (loss) as net income or loss adjusted for certain items affecting period to period comparability. Non-GAAP net income (loss) excludes stock-based compensation, amortization of acquired intangible assets related to acquisitions, amortization of debt discount and issuance costs for convertible debt, acquisition related expenses, impairment charges of intangibles assets, net cost associated with early lease terminations and leases without economic benefit, (gain) loss on sale of business, net (gain) loss on extinguishment of debt, gain on business interruption insurance recoveries, non-recurring items not indicative of ongoing operations and other, and estimated tax impact of above adjustments, net of valuation allowances.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or losses from continuing operations, adjusted to reflect the addition or elimination of certain statement of operations items including, but not limited to: income tax (benefit) provision, interest (income) expense, net, depreciation and amortization expense, acquisition related expenses, stock-based compensation expense, impairment of intangible assets, (gain) loss on sale of business, net cost associated with early lease terminations and leases without economic benefit, net (gain) loss on extinguishment of debt, gain on business interruption insurance recoveries, and non-recurring items not indicative of ongoing operations and other. We have presented Adjusted EBITDA because it is a key measure used by our management and board of directors to understand and evaluate our core operating performance and trends, generate future operating plans, and make strategic decisions regarding the allocation of capital. In particular, we believe that the exclusion of certain items in calculating Adjusted EBITDA can produce a useful measure for period-to-period comparisons of our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as net cash provided by or used in operating activities less net cash used in the acquisition of property, plant and equipment and capitalized development costs for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decision-making. While a reconciliation of Non-GAAP guidance measures to corresponding GAAP measures is not available on a forward-looking basis as a result of the uncertainty regarding, and the potential variability of, many of these costs and expenses that we may incur in the future, we have provided a reconciliation of Non-GAAP financial measures and other business metrics to the nearest comparable GAAP measures in the accompanying financial statement tables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3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80" w:type="dxa"/>
            <w:vAlign w:val="bottom"/>
          </w:tcPr>
          <w:p>
            <w:pPr>
              <w:spacing w:after="0"/>
              <w:rPr>
                <w:sz w:val="20"/>
                <w:szCs w:val="20"/>
                <w:color w:val="auto"/>
              </w:rPr>
            </w:pPr>
          </w:p>
        </w:tc>
        <w:tc>
          <w:tcPr>
            <w:tcW w:w="31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748,487</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468,529</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279,958</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118,627</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109,698</w:t>
            </w: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71,692</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300,017</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(20,059)</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21"/>
        </w:trPr>
        <w:tc>
          <w:tcPr>
            <w:tcW w:w="41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(12,912)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(6,524)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30,814,252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27,882,092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29,996,861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27,209,698</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Bandwidth recognized total stock-based compensation expense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80" w:type="dxa"/>
            <w:vAlign w:val="bottom"/>
          </w:tcPr>
          <w:p>
            <w:pPr>
              <w:spacing w:after="0"/>
              <w:rPr>
                <w:sz w:val="20"/>
                <w:szCs w:val="20"/>
                <w:color w:val="auto"/>
              </w:rPr>
            </w:pPr>
          </w:p>
        </w:tc>
        <w:tc>
          <w:tcPr>
            <w:tcW w:w="31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1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3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20,433</w:t>
            </w:r>
          </w:p>
        </w:tc>
      </w:tr>
      <w:tr>
        <w:trPr>
          <w:trHeight w:val="230"/>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r>
      <w:tr>
        <w:trPr>
          <w:trHeight w:val="229"/>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3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81,812</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219,060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153,601</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145,355</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356,772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317,243</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1,052,627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989,166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2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101,819</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convertible senior notes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140,323</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219,191</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281,284</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652,654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676,633</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and Class B common stock</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485,836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435,927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(52,009)</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312,533</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1,052,627</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989,166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3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tcPr>
          <w:p>
            <w:pPr>
              <w:spacing w:after="0"/>
              <w:rPr>
                <w:sz w:val="19"/>
                <w:szCs w:val="19"/>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reduction to the right-of-use asset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48,362</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taxes and other</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intangible asset</w:t>
            </w:r>
          </w:p>
        </w:tc>
        <w:tc>
          <w:tcPr>
            <w:tcW w:w="1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30"/>
        </w:trPr>
        <w:tc>
          <w:tcPr>
            <w:tcW w:w="7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right-of-use liability</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89,491</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83,883</w:t>
            </w:r>
          </w:p>
        </w:tc>
        <w:tc>
          <w:tcPr>
            <w:tcW w:w="0" w:type="dxa"/>
            <w:vAlign w:val="bottom"/>
          </w:tcPr>
          <w:p>
            <w:pPr>
              <w:spacing w:after="0"/>
              <w:rPr>
                <w:sz w:val="1"/>
                <w:szCs w:val="1"/>
                <w:color w:val="auto"/>
              </w:rPr>
            </w:pPr>
          </w:p>
        </w:tc>
      </w:tr>
      <w:tr>
        <w:trPr>
          <w:trHeight w:val="20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Refund of deposits for construction in progress</w:t>
            </w:r>
          </w:p>
        </w:tc>
        <w:tc>
          <w:tcPr>
            <w:tcW w:w="12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53,502</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intangible assets</w:t>
            </w:r>
          </w:p>
        </w:tc>
        <w:tc>
          <w:tcPr>
            <w:tcW w:w="1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206,500</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(206,500)</w:t>
            </w: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paid for debt extinguishment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(128,534)</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Value of equity awards withheld for tax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(131,273)</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132,307</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0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3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400" w:type="dxa"/>
            <w:vAlign w:val="bottom"/>
          </w:tcPr>
          <w:p>
            <w:pPr>
              <w:spacing w:after="0"/>
              <w:rPr>
                <w:sz w:val="24"/>
                <w:szCs w:val="24"/>
                <w:color w:val="auto"/>
              </w:rPr>
            </w:pPr>
          </w:p>
        </w:tc>
        <w:tc>
          <w:tcPr>
            <w:tcW w:w="324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86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78,077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76,511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295,051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279,958</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 %</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20,673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18,532</w:t>
            </w:r>
          </w:p>
        </w:tc>
      </w:tr>
      <w:tr>
        <w:trPr>
          <w:trHeight w:val="229"/>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8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7,811</w:t>
            </w:r>
          </w:p>
        </w:tc>
      </w:tr>
      <w:tr>
        <w:trPr>
          <w:trHeight w:val="230"/>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1,638</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86,278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83,356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326,025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307,939</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3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Non-GAAP Gross Margin % </w:t>
            </w:r>
            <w:r>
              <w:rPr>
                <w:rFonts w:ascii="Times New Roman" w:cs="Times New Roman" w:eastAsia="Times New Roman" w:hAnsi="Times New Roman"/>
                <w:sz w:val="23"/>
                <w:szCs w:val="23"/>
                <w:b w:val="1"/>
                <w:bCs w:val="1"/>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57 %</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ind w:firstLine="656"/>
        <w:spacing w:after="0" w:line="278" w:lineRule="auto"/>
        <w:tabs>
          <w:tab w:leader="none" w:pos="794"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by dividing Non-GAAP gross profit by cloud communications revenue of $150 million and $144 million for the three months ended December 31, 2025 and 2024, respectively, and $561 million and $540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80" w:type="dxa"/>
            <w:vAlign w:val="bottom"/>
          </w:tcPr>
          <w:p>
            <w:pPr>
              <w:spacing w:after="0"/>
              <w:rPr>
                <w:sz w:val="22"/>
                <w:szCs w:val="22"/>
                <w:color w:val="auto"/>
              </w:rPr>
            </w:pPr>
          </w:p>
        </w:tc>
        <w:tc>
          <w:tcPr>
            <w:tcW w:w="31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0" w:type="dxa"/>
            <w:vAlign w:val="bottom"/>
          </w:tcPr>
          <w:p>
            <w:pPr>
              <w:spacing w:after="0"/>
              <w:rPr>
                <w:sz w:val="1"/>
                <w:szCs w:val="1"/>
                <w:color w:val="auto"/>
              </w:rPr>
            </w:pPr>
          </w:p>
        </w:tc>
      </w:tr>
      <w:tr>
        <w:trPr>
          <w:trHeight w:val="175"/>
        </w:trPr>
        <w:tc>
          <w:tcPr>
            <w:tcW w:w="4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Amortization of debt discount and issuance costs for</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debt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cost associated with early lease</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terminations and leases without</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economic benefit</w:t>
            </w:r>
          </w:p>
        </w:tc>
        <w:tc>
          <w:tcPr>
            <w:tcW w:w="2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Non-recurring items not indicative of ongoing</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operations and other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Estimated tax effects of adjustments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on Convertible Notes </w:t>
            </w:r>
            <w:r>
              <w:rPr>
                <w:rFonts w:ascii="Times New Roman" w:cs="Times New Roman" w:eastAsia="Times New Roman" w:hAnsi="Times New Roman"/>
                <w:sz w:val="23"/>
                <w:szCs w:val="23"/>
                <w:color w:val="auto"/>
                <w:vertAlign w:val="superscript"/>
              </w:rPr>
              <w:t>(3)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156"/>
        </w:trPr>
        <w:tc>
          <w:tcPr>
            <w:tcW w:w="4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Numerator used to compute Non-GAAP diluted net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11,734</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11,815</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46,882</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42,014</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per Non-GAAP share</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08"/>
        </w:trPr>
        <w:tc>
          <w:tcPr>
            <w:tcW w:w="416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i w:val="1"/>
                <w:iCs w:val="1"/>
                <w:color w:val="auto"/>
              </w:rPr>
              <w:t>Weighted average number of shares outstanding, basic</w:t>
            </w:r>
          </w:p>
        </w:tc>
        <w:tc>
          <w:tcPr>
            <w:tcW w:w="26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30,814,252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27,882,092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29,996,861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27,209,698</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and diluted</w:t>
            </w: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1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Non-GAAP basic shares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30,814,252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27,882,092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29,996,861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27,209,698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1,478,379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1,779,025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1,522,858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2,321,106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Nonvested RSUs outstanding</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1,350,756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1,958,506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1,313,572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1,822,530</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shares</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33,658,987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31,645,911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32,853,817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31,383,065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jc w:val="both"/>
        <w:ind w:firstLine="656"/>
        <w:spacing w:after="0" w:line="265" w:lineRule="auto"/>
        <w:tabs>
          <w:tab w:leader="none" w:pos="801"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items not indicative of ongoing operations and other include (i) $0.2 million of foreign exchange charges primarily related to balance sheet revaluations during the three months ended December 31, 2025 and $1.3 million during the year ended December 31, 2025, (ii) $0.6 million and $0.3 million of losses on disposals of property, plant and equipment during the three months ended December 31, 2025 and 2024, respectively, and $0.9 million and $0.4 million during the years ended December 31, 2025 and 2024, respectively, (iii) $0.5 million of nonrecurring litigation expense during the year ended December 31, 2025, (iv) $0.1 million of losses on the sale of business during the year ended December 31, 2025, and v) $1.0 million gain on the sale of an intangible asset during the year ended December 31, 2024.</w:t>
      </w:r>
    </w:p>
    <w:p>
      <w:pPr>
        <w:spacing w:after="0" w:line="13" w:lineRule="exact"/>
        <w:rPr>
          <w:rFonts w:ascii="Times New Roman" w:cs="Times New Roman" w:eastAsia="Times New Roman" w:hAnsi="Times New Roman"/>
          <w:sz w:val="9"/>
          <w:szCs w:val="9"/>
          <w:color w:val="auto"/>
        </w:rPr>
      </w:pPr>
    </w:p>
    <w:p>
      <w:pPr>
        <w:jc w:val="both"/>
        <w:ind w:firstLine="656"/>
        <w:spacing w:after="0" w:line="275" w:lineRule="auto"/>
        <w:tabs>
          <w:tab w:leader="none" w:pos="7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estimated tax-effect of adjustments is determined by recalculating the tax provision on a Non-GAAP basis. The Non-GAAP effective income tax rate was 19.0% and 18.1% for the years ended December 31, 2025 and 2024, respectively. For the year ended December 31, 2025, the Non-GAAP effective income tax rate differed from the federal statutory tax rate of 21% in the U.S. primarily due to the research and development tax credits generated in 2025. We analyze the Non-GAAP valuation allowance position on a quarterly basis. As of December 31, 2025, we have no valuation allowance against our deferred tax assets for Non-GAAP purposes.</w:t>
      </w:r>
    </w:p>
    <w:p>
      <w:pPr>
        <w:ind w:left="800" w:hanging="144"/>
        <w:spacing w:after="0"/>
        <w:tabs>
          <w:tab w:leader="none" w:pos="8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Non-GAAP net income is increased for interest expense as part of the calculation for diluted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4160" w:type="dxa"/>
            <w:vAlign w:val="bottom"/>
          </w:tcPr>
          <w:p>
            <w:pPr>
              <w:spacing w:after="0"/>
              <w:rPr>
                <w:sz w:val="22"/>
                <w:szCs w:val="22"/>
                <w:color w:val="auto"/>
              </w:rPr>
            </w:pPr>
          </w:p>
        </w:tc>
        <w:tc>
          <w:tcPr>
            <w:tcW w:w="36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80" w:type="dxa"/>
            <w:vAlign w:val="bottom"/>
          </w:tcPr>
          <w:p>
            <w:pPr>
              <w:spacing w:after="0"/>
              <w:rPr>
                <w:sz w:val="22"/>
                <w:szCs w:val="22"/>
                <w:color w:val="auto"/>
              </w:rPr>
            </w:pPr>
          </w:p>
        </w:tc>
        <w:tc>
          <w:tcPr>
            <w:tcW w:w="31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1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31,739</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48,362</w:t>
            </w:r>
          </w:p>
        </w:tc>
      </w:tr>
      <w:tr>
        <w:trPr>
          <w:trHeight w:val="175"/>
        </w:trPr>
        <w:tc>
          <w:tcPr>
            <w:tcW w:w="41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cost associated with early lease terminations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leases without economic benefit</w:t>
            </w:r>
          </w:p>
        </w:tc>
        <w:tc>
          <w:tcPr>
            <w:tcW w:w="10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on extinguishment of debt</w:t>
            </w:r>
          </w:p>
        </w:tc>
        <w:tc>
          <w:tcPr>
            <w:tcW w:w="10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r>
      <w:tr>
        <w:trPr>
          <w:trHeight w:val="176"/>
        </w:trPr>
        <w:tc>
          <w:tcPr>
            <w:tcW w:w="41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Non-recurring items not indicative of ongoing</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operations and other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24,832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23,423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93,264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82,061</w:t>
            </w:r>
          </w:p>
        </w:tc>
      </w:tr>
      <w:tr>
        <w:trPr>
          <w:trHeight w:val="21"/>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19" w:lineRule="exact"/>
        <w:rPr>
          <w:sz w:val="20"/>
          <w:szCs w:val="20"/>
          <w:color w:val="auto"/>
        </w:rPr>
      </w:pPr>
    </w:p>
    <w:p>
      <w:pPr>
        <w:jc w:val="both"/>
        <w:ind w:firstLine="656"/>
        <w:spacing w:after="0" w:line="265" w:lineRule="auto"/>
        <w:tabs>
          <w:tab w:leader="none" w:pos="801"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items not indicative of ongoing operations and other include (i) $0.2 million of foreign exchange charges primarily related to balance sheet revaluations during the three months ended December 31, 2025 and $1.3 million during the year ended December 31, 2025, (ii) $0.6 million and $0.3 million of losses on disposals of property, plant and equipment during the three months ended December 31, 2025 and 2024, respectively, and $0.9 million and $0.4 million during the years ended December 31, 2025 and 2024, respectively, (iii) $0.5 million of nonrecurring litigation expense during the year ended December 31, 2025, (iv) $0.1 million of losses on the sale of business during the year ended December 31, 2025, and v) $1.0 million gain on the sale of an intangible asset during the year ended December 31, 2024.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4160" w:type="dxa"/>
            <w:vAlign w:val="bottom"/>
          </w:tcPr>
          <w:p>
            <w:pPr>
              <w:spacing w:after="0"/>
              <w:rPr>
                <w:sz w:val="22"/>
                <w:szCs w:val="22"/>
                <w:color w:val="auto"/>
              </w:rPr>
            </w:pPr>
          </w:p>
        </w:tc>
        <w:tc>
          <w:tcPr>
            <w:tcW w:w="36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80" w:type="dxa"/>
            <w:vAlign w:val="bottom"/>
          </w:tcPr>
          <w:p>
            <w:pPr>
              <w:spacing w:after="0"/>
              <w:rPr>
                <w:sz w:val="22"/>
                <w:szCs w:val="22"/>
                <w:color w:val="auto"/>
              </w:rPr>
            </w:pPr>
          </w:p>
        </w:tc>
        <w:tc>
          <w:tcPr>
            <w:tcW w:w="31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1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36,518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89,491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83,883</w:t>
            </w:r>
          </w:p>
        </w:tc>
      </w:tr>
      <w:tr>
        <w:trPr>
          <w:trHeight w:val="230"/>
        </w:trPr>
        <w:tc>
          <w:tcPr>
            <w:tcW w:w="41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in capital assets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(6,173)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(32,941)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(25,380)</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31,079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30,345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56,550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6"/>
              </w:rPr>
              <w:t>58,503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ind w:left="800" w:hanging="144"/>
        <w:spacing w:after="0" w:line="237" w:lineRule="auto"/>
        <w:tabs>
          <w:tab w:leader="none" w:pos="80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acquisition cost of property, plant and equipment and capitalized development costs for software for internal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2026-02-19T06:09:11Z</dcterms:created>
  <dcterms:modified xsi:type="dcterms:W3CDTF">2026-02-19T06:09:11Z</dcterms:modified>
</cp:coreProperties>
</file>