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73" w:lineRule="exact"/>
        <w:rPr>
          <w:sz w:val="24"/>
          <w:szCs w:val="24"/>
          <w:color w:val="auto"/>
        </w:rPr>
      </w:pPr>
    </w:p>
    <w:p>
      <w:pPr>
        <w:ind w:left="4000" w:right="2540" w:hanging="3974"/>
        <w:spacing w:after="0" w:line="416" w:lineRule="auto"/>
        <w:tabs>
          <w:tab w:leader="none" w:pos="46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736" w:right="339" w:bottom="1440" w:gutter="0" w:footer="0" w:header="0"/>
        </w:sectPr>
      </w:pPr>
    </w:p>
    <w:p>
      <w:pPr>
        <w:spacing w:after="0" w:line="2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111" w:lineRule="exact"/>
        <w:rPr>
          <w:sz w:val="24"/>
          <w:szCs w:val="24"/>
          <w:color w:val="auto"/>
        </w:rPr>
      </w:pPr>
    </w:p>
    <w:p>
      <w:pPr>
        <w:sectPr>
          <w:pgSz w:w="11900" w:h="16838" w:orient="portrait"/>
          <w:cols w:equalWidth="0" w:num="2">
            <w:col w:w="6180" w:space="680"/>
            <w:col w:w="4380"/>
          </w:cols>
          <w:pgMar w:left="320" w:top="736"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001-38285</w:t>
      </w:r>
    </w:p>
    <w:p>
      <w:pPr>
        <w:sectPr>
          <w:pgSz w:w="11900" w:h="16838" w:orient="portrait"/>
          <w:cols w:equalWidth="0" w:num="1">
            <w:col w:w="11240"/>
          </w:cols>
          <w:pgMar w:left="320" w:top="736" w:right="339" w:bottom="1440" w:gutter="0" w:footer="0" w:header="0"/>
          <w:type w:val="continuous"/>
        </w:sectPr>
      </w:pP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ectPr>
          <w:pgSz w:w="11900" w:h="16838" w:orient="portrait"/>
          <w:cols w:equalWidth="0" w:num="1">
            <w:col w:w="11240"/>
          </w:cols>
          <w:pgMar w:left="320" w:top="736" w:right="339" w:bottom="1440" w:gutter="0" w:footer="0" w:header="0"/>
          <w:type w:val="continuous"/>
        </w:sectPr>
      </w:pPr>
    </w:p>
    <w:p>
      <w:pPr>
        <w:spacing w:after="0" w:line="24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7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56-2242657</w:t>
      </w:r>
    </w:p>
    <w:p>
      <w:pPr>
        <w:spacing w:after="0" w:line="30"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198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93" w:lineRule="exact"/>
        <w:rPr>
          <w:sz w:val="24"/>
          <w:szCs w:val="24"/>
          <w:color w:val="auto"/>
        </w:rPr>
      </w:pPr>
    </w:p>
    <w:p>
      <w:pPr>
        <w:sectPr>
          <w:pgSz w:w="11900" w:h="16838" w:orient="portrait"/>
          <w:cols w:equalWidth="0" w:num="2">
            <w:col w:w="7040" w:space="720"/>
            <w:col w:w="3480"/>
          </w:cols>
          <w:pgMar w:left="320" w:top="73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2230 Bandmate Way</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Raleigh, NC 27607</w:t>
      </w:r>
    </w:p>
    <w:p>
      <w:pPr>
        <w:spacing w:after="0" w:line="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0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(800) 808-5150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09"/>
        </w:trPr>
        <w:tc>
          <w:tcPr>
            <w:tcW w:w="16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8"/>
                <w:szCs w:val="18"/>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1"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4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24, 2026, 30,059,279 shares of the registrant’s Class A common stock and 1,958,028 shares of the registrant’s Class B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46355</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71755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58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860" w:type="dxa"/>
            <w:vAlign w:val="bottom"/>
            <w:gridSpan w:val="2"/>
          </w:tcPr>
          <w:p>
            <w:pPr>
              <w:jc w:val="center"/>
              <w:ind w:left="69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gridSpan w:val="13"/>
          </w:tcPr>
          <w:p>
            <w:pPr>
              <w:jc w:val="center"/>
              <w:ind w:right="266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8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88"/>
              </w:rPr>
              <w:t>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40" w:type="dxa"/>
            <w:vAlign w:val="bottom"/>
            <w:gridSpan w:val="2"/>
          </w:tcPr>
          <w:p>
            <w:pPr>
              <w:spacing w:after="0"/>
              <w:rPr>
                <w:sz w:val="18"/>
                <w:szCs w:val="18"/>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1120" w:type="dxa"/>
            <w:vAlign w:val="bottom"/>
            <w:gridSpan w:val="3"/>
          </w:tcPr>
          <w:p>
            <w:pPr>
              <w:spacing w:after="0"/>
              <w:rPr>
                <w:sz w:val="18"/>
                <w:szCs w:val="18"/>
                <w:color w:val="auto"/>
              </w:rPr>
            </w:pPr>
          </w:p>
        </w:tc>
        <w:tc>
          <w:tcPr>
            <w:tcW w:w="3120" w:type="dxa"/>
            <w:vAlign w:val="bottom"/>
            <w:gridSpan w:val="6"/>
          </w:tcPr>
          <w:p>
            <w:pPr>
              <w:spacing w:after="0"/>
              <w:rPr>
                <w:sz w:val="18"/>
                <w:szCs w:val="18"/>
                <w:color w:val="auto"/>
              </w:rPr>
            </w:pPr>
          </w:p>
        </w:tc>
        <w:tc>
          <w:tcPr>
            <w:tcW w:w="2660" w:type="dxa"/>
            <w:vAlign w:val="bottom"/>
            <w:gridSpan w:val="7"/>
          </w:tcPr>
          <w:p>
            <w:pPr>
              <w:spacing w:after="0"/>
              <w:rPr>
                <w:sz w:val="18"/>
                <w:szCs w:val="18"/>
                <w:color w:val="auto"/>
              </w:rPr>
            </w:pPr>
          </w:p>
        </w:tc>
        <w:tc>
          <w:tcPr>
            <w:tcW w:w="8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88"/>
              </w:rPr>
              <w:t>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 as of March 31, 2026 and December 31, 2025</w:t>
            </w:r>
          </w:p>
        </w:tc>
        <w:tc>
          <w:tcPr>
            <w:tcW w:w="1340" w:type="dxa"/>
            <w:vAlign w:val="bottom"/>
            <w:gridSpan w:val="4"/>
          </w:tcPr>
          <w:p>
            <w:pPr>
              <w:spacing w:after="0"/>
              <w:rPr>
                <w:sz w:val="18"/>
                <w:szCs w:val="18"/>
                <w:color w:val="auto"/>
              </w:rPr>
            </w:pPr>
          </w:p>
        </w:tc>
        <w:tc>
          <w:tcPr>
            <w:tcW w:w="8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88"/>
              </w:rPr>
              <w:t>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2026 and</w:t>
            </w:r>
          </w:p>
        </w:tc>
        <w:tc>
          <w:tcPr>
            <w:tcW w:w="860" w:type="dxa"/>
            <w:vAlign w:val="bottom"/>
            <w:gridSpan w:val="2"/>
            <w:vMerge w:val="restart"/>
          </w:tcPr>
          <w:p>
            <w:pPr>
              <w:jc w:val="center"/>
              <w:ind w:left="690"/>
              <w:spacing w:after="0"/>
              <w:rPr>
                <w:sz w:val="20"/>
                <w:szCs w:val="20"/>
                <w:color w:val="auto"/>
              </w:rPr>
            </w:pPr>
            <w:r>
              <w:rPr>
                <w:rFonts w:ascii="Times New Roman" w:cs="Times New Roman" w:eastAsia="Times New Roman" w:hAnsi="Times New Roman"/>
                <w:sz w:val="18"/>
                <w:szCs w:val="18"/>
                <w:color w:val="0000FF"/>
                <w:w w:val="88"/>
              </w:rPr>
              <w:t>6</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Income for the Three Months Ended</w:t>
            </w: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20" w:type="dxa"/>
            <w:vAlign w:val="bottom"/>
            <w:gridSpan w:val="22"/>
            <w:vMerge w:val="continue"/>
          </w:tcPr>
          <w:p>
            <w:pPr>
              <w:spacing w:after="0"/>
              <w:rPr>
                <w:sz w:val="17"/>
                <w:szCs w:val="17"/>
                <w:color w:val="auto"/>
              </w:rPr>
            </w:pPr>
          </w:p>
        </w:tc>
        <w:tc>
          <w:tcPr>
            <w:tcW w:w="860" w:type="dxa"/>
            <w:vAlign w:val="bottom"/>
            <w:gridSpan w:val="2"/>
            <w:vMerge w:val="restart"/>
          </w:tcPr>
          <w:p>
            <w:pPr>
              <w:jc w:val="center"/>
              <w:ind w:left="690"/>
              <w:spacing w:after="0"/>
              <w:rPr>
                <w:sz w:val="20"/>
                <w:szCs w:val="20"/>
                <w:color w:val="auto"/>
              </w:rPr>
            </w:pPr>
            <w:r>
              <w:rPr>
                <w:rFonts w:ascii="Times New Roman" w:cs="Times New Roman" w:eastAsia="Times New Roman" w:hAnsi="Times New Roman"/>
                <w:sz w:val="18"/>
                <w:szCs w:val="18"/>
                <w:color w:val="0000FF"/>
                <w:w w:val="88"/>
              </w:rPr>
              <w:t>7</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March 31, 2026 and 2025</w:t>
            </w:r>
          </w:p>
        </w:tc>
        <w:tc>
          <w:tcPr>
            <w:tcW w:w="920" w:type="dxa"/>
            <w:vAlign w:val="bottom"/>
            <w:tcBorders>
              <w:top w:val="single" w:sz="8" w:color="0000FF"/>
            </w:tcBorders>
            <w:gridSpan w:val="3"/>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w:t>
            </w:r>
            <w:r>
              <w:rPr>
                <w:rFonts w:ascii="Times New Roman" w:cs="Times New Roman" w:eastAsia="Times New Roman" w:hAnsi="Times New Roman"/>
                <w:sz w:val="19"/>
                <w:szCs w:val="19"/>
                <w:color w:val="0000FF"/>
              </w:rPr>
              <w:t>’</w:t>
            </w:r>
            <w:r>
              <w:rPr>
                <w:rFonts w:ascii="Times New Roman" w:cs="Times New Roman" w:eastAsia="Times New Roman" w:hAnsi="Times New Roman"/>
                <w:sz w:val="18"/>
                <w:szCs w:val="18"/>
                <w:color w:val="0000FF"/>
              </w:rPr>
              <w:t xml:space="preserve"> Equity</w:t>
            </w: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vMerge w:val="continue"/>
          </w:tcPr>
          <w:p>
            <w:pPr>
              <w:spacing w:after="0"/>
              <w:rPr>
                <w:sz w:val="18"/>
                <w:szCs w:val="18"/>
                <w:color w:val="auto"/>
              </w:rPr>
            </w:pPr>
          </w:p>
        </w:tc>
        <w:tc>
          <w:tcPr>
            <w:tcW w:w="8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88"/>
              </w:rPr>
              <w:t>8</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2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2026 and</w:t>
            </w:r>
          </w:p>
        </w:tc>
        <w:tc>
          <w:tcPr>
            <w:tcW w:w="780" w:type="dxa"/>
            <w:vAlign w:val="bottom"/>
            <w:vMerge w:val="restart"/>
          </w:tcPr>
          <w:p>
            <w:pPr>
              <w:spacing w:after="0"/>
              <w:rPr>
                <w:sz w:val="17"/>
                <w:szCs w:val="17"/>
                <w:color w:val="auto"/>
              </w:rPr>
            </w:pPr>
          </w:p>
        </w:tc>
        <w:tc>
          <w:tcPr>
            <w:tcW w:w="8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0" w:type="dxa"/>
            <w:vAlign w:val="bottom"/>
            <w:gridSpan w:val="4"/>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940" w:type="dxa"/>
            <w:vAlign w:val="bottom"/>
            <w:gridSpan w:val="5"/>
          </w:tcPr>
          <w:p>
            <w:pPr>
              <w:spacing w:after="0"/>
              <w:rPr>
                <w:sz w:val="2"/>
                <w:szCs w:val="2"/>
                <w:color w:val="auto"/>
              </w:rPr>
            </w:pPr>
          </w:p>
        </w:tc>
        <w:tc>
          <w:tcPr>
            <w:tcW w:w="7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36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40" w:type="dxa"/>
            <w:vAlign w:val="bottom"/>
            <w:gridSpan w:val="2"/>
          </w:tcPr>
          <w:p>
            <w:pPr>
              <w:spacing w:after="0"/>
              <w:rPr>
                <w:sz w:val="19"/>
                <w:szCs w:val="19"/>
                <w:color w:val="auto"/>
              </w:rPr>
            </w:pPr>
          </w:p>
        </w:tc>
        <w:tc>
          <w:tcPr>
            <w:tcW w:w="6480" w:type="dxa"/>
            <w:vAlign w:val="bottom"/>
            <w:gridSpan w:val="17"/>
          </w:tcPr>
          <w:p>
            <w:pPr>
              <w:spacing w:after="0" w:line="210" w:lineRule="exact"/>
              <w:rPr>
                <w:sz w:val="20"/>
                <w:szCs w:val="20"/>
                <w:color w:val="auto"/>
              </w:rPr>
            </w:pPr>
            <w:r>
              <w:rPr>
                <w:rFonts w:ascii="Times New Roman" w:cs="Times New Roman" w:eastAsia="Times New Roman" w:hAnsi="Times New Roman"/>
                <w:sz w:val="18"/>
                <w:szCs w:val="18"/>
                <w:color w:val="0000FF"/>
                <w:w w:val="99"/>
              </w:rPr>
              <w:t>Management</w:t>
            </w:r>
            <w:r>
              <w:rPr>
                <w:rFonts w:ascii="Times New Roman" w:cs="Times New Roman" w:eastAsia="Times New Roman" w:hAnsi="Times New Roman"/>
                <w:sz w:val="19"/>
                <w:szCs w:val="19"/>
                <w:color w:val="0000FF"/>
                <w:w w:val="99"/>
              </w:rPr>
              <w:t>’</w:t>
            </w:r>
            <w:r>
              <w:rPr>
                <w:rFonts w:ascii="Times New Roman" w:cs="Times New Roman" w:eastAsia="Times New Roman" w:hAnsi="Times New Roman"/>
                <w:sz w:val="18"/>
                <w:szCs w:val="18"/>
                <w:color w:val="0000FF"/>
                <w:w w:val="99"/>
              </w:rPr>
              <w:t>s Discussion and Analysis of Financial Condition and Results of Operations</w:t>
            </w:r>
          </w:p>
        </w:tc>
        <w:tc>
          <w:tcPr>
            <w:tcW w:w="1940" w:type="dxa"/>
            <w:vAlign w:val="bottom"/>
            <w:gridSpan w:val="5"/>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40" w:type="dxa"/>
            <w:vAlign w:val="bottom"/>
            <w:gridSpan w:val="2"/>
          </w:tcPr>
          <w:p>
            <w:pPr>
              <w:spacing w:after="0"/>
              <w:rPr>
                <w:sz w:val="18"/>
                <w:szCs w:val="18"/>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gridSpan w:val="5"/>
          </w:tcPr>
          <w:p>
            <w:pPr>
              <w:spacing w:after="0"/>
              <w:rPr>
                <w:sz w:val="18"/>
                <w:szCs w:val="18"/>
                <w:color w:val="auto"/>
              </w:rPr>
            </w:pPr>
          </w:p>
        </w:tc>
        <w:tc>
          <w:tcPr>
            <w:tcW w:w="194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40" w:type="dxa"/>
            <w:vAlign w:val="bottom"/>
            <w:gridSpan w:val="2"/>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5"/>
          </w:tcPr>
          <w:p>
            <w:pPr>
              <w:spacing w:after="0"/>
              <w:rPr>
                <w:sz w:val="18"/>
                <w:szCs w:val="18"/>
                <w:color w:val="auto"/>
              </w:rPr>
            </w:pPr>
          </w:p>
        </w:tc>
        <w:tc>
          <w:tcPr>
            <w:tcW w:w="406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2800" w:type="dxa"/>
            <w:vAlign w:val="bottom"/>
            <w:gridSpan w:val="8"/>
            <w:vMerge w:val="restart"/>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gridSpan w:val="3"/>
            <w:vMerge w:val="continue"/>
          </w:tcPr>
          <w:p>
            <w:pPr>
              <w:spacing w:after="0"/>
              <w:rPr>
                <w:sz w:val="24"/>
                <w:szCs w:val="24"/>
                <w:color w:val="auto"/>
              </w:rPr>
            </w:pPr>
          </w:p>
        </w:tc>
        <w:tc>
          <w:tcPr>
            <w:tcW w:w="2800" w:type="dxa"/>
            <w:vAlign w:val="bottom"/>
            <w:gridSpan w:val="8"/>
            <w:vMerge w:val="continue"/>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40" w:type="dxa"/>
            <w:vAlign w:val="bottom"/>
            <w:gridSpan w:val="2"/>
          </w:tcPr>
          <w:p>
            <w:pPr>
              <w:spacing w:after="0"/>
              <w:rPr>
                <w:sz w:val="18"/>
                <w:szCs w:val="18"/>
                <w:color w:val="auto"/>
              </w:rPr>
            </w:pPr>
          </w:p>
        </w:tc>
        <w:tc>
          <w:tcPr>
            <w:tcW w:w="2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40" w:type="dxa"/>
            <w:vAlign w:val="bottom"/>
            <w:gridSpan w:val="3"/>
          </w:tcPr>
          <w:p>
            <w:pPr>
              <w:spacing w:after="0"/>
              <w:rPr>
                <w:sz w:val="18"/>
                <w:szCs w:val="18"/>
                <w:color w:val="auto"/>
              </w:rPr>
            </w:pPr>
          </w:p>
        </w:tc>
        <w:tc>
          <w:tcPr>
            <w:tcW w:w="2800" w:type="dxa"/>
            <w:vAlign w:val="bottom"/>
            <w:gridSpan w:val="8"/>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4060" w:type="dxa"/>
            <w:vAlign w:val="bottom"/>
            <w:gridSpan w:val="10"/>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8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060" w:type="dxa"/>
            <w:vAlign w:val="bottom"/>
            <w:gridSpan w:val="10"/>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06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4060" w:type="dxa"/>
            <w:vAlign w:val="bottom"/>
            <w:gridSpan w:val="10"/>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40" w:type="dxa"/>
            <w:vAlign w:val="bottom"/>
            <w:gridSpan w:val="2"/>
          </w:tcPr>
          <w:p>
            <w:pPr>
              <w:spacing w:after="0"/>
              <w:rPr>
                <w:sz w:val="18"/>
                <w:szCs w:val="18"/>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06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40" w:type="dxa"/>
            <w:vAlign w:val="bottom"/>
            <w:gridSpan w:val="2"/>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100" w:type="dxa"/>
            <w:vAlign w:val="bottom"/>
            <w:gridSpan w:val="17"/>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0000FF"/>
                <w:w w:val="70"/>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19"/>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87</w:t>
            </w:r>
          </w:p>
        </w:tc>
        <w:tc>
          <w:tcPr>
            <w:tcW w:w="0" w:type="dxa"/>
            <w:vAlign w:val="bottom"/>
          </w:tcPr>
          <w:p>
            <w:pPr>
              <w:spacing w:after="0"/>
              <w:rPr>
                <w:sz w:val="1"/>
                <w:szCs w:val="1"/>
                <w:color w:val="auto"/>
              </w:rPr>
            </w:pPr>
          </w:p>
        </w:tc>
      </w:tr>
      <w:tr>
        <w:trPr>
          <w:trHeight w:val="1378"/>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9" w:lineRule="exact"/>
        <w:rPr>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impact of macroeconomic conditions, including inflationary and/or recessionary pressures, on our business and financial condition;</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customers, including large enterprises;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approach to identifying, attracting and keeping new and existing customers, as well as our expectations regarding customer turnover;</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network traffic growth and other trends related to the usage of our products and services;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customers’ violation of applicable laws, our policies or other misuse of our platform;</w:t>
      </w:r>
    </w:p>
    <w:p>
      <w:pPr>
        <w:spacing w:after="0" w:line="175"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defend our network, systems and data against ever-evolving cybersecurity threats, including denial-of-service and ransomware attacks;</w:t>
      </w:r>
    </w:p>
    <w:p>
      <w:pPr>
        <w:spacing w:after="0" w:line="9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revenue, costs, expenses, gross margin, net retention rate, Adjusted EBITDA, non-generally accepted accounting principles in the United States of America (“GAAP”) net income and capital expenditures;</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growth of our business and how that impacts our liquidity and capital resources requirements;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about the impact of public health epidemics, such as COVID-19, or natural disasters on the global economy and our business, results of operations and financial condition;</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our cash and cash equivalents to meet our liquidity needs;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train, and retain qualified employees and key personnel;</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expense and productivity of and competition for our sales force;</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headcount;</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benefit from our corporate culture;</w:t>
      </w:r>
    </w:p>
    <w:p>
      <w:pPr>
        <w:spacing w:after="0" w:line="175"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further invest in and grow our business, including international offerings, and our ability to effectively manage our growth and associated investments;</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 and services and enhance existing products and services;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and benefit from any strategic acquisitions, including our acquisition of Voxbone, or future strategic acquisitions or investments;</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international operations and expansion;</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successfully against current and future competitors;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evolution of technology affecting our products, services and markets;</w:t>
      </w:r>
    </w:p>
    <w:p>
      <w:pPr>
        <w:spacing w:after="0" w:line="17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certain new accounting standards and guidance, as well as the time and cost of continued compliance with existing rules and standards;</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use of Non-GAAP financial measures;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and Signature-based Handling of Asserted Information Using toKENs (“STIR/SHAKEN”), and other robocalling prevention and anti-spam standards and increased costs associated with such compliance;</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fees that have been or may be instituted by network providers that increase our costs;</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litigation and other pending or potential disputes;</w:t>
      </w:r>
    </w:p>
    <w:p>
      <w:pPr>
        <w:spacing w:after="0" w:line="16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service the interest on our 2028 Convertible Notes (as defined herein) and repay such 2028 Convertible Notes, to the extent required; and</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related to our indebtedness.</w:t>
      </w:r>
    </w:p>
    <w:p>
      <w:pPr>
        <w:spacing w:after="0" w:line="17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We caution you that the foregoing list may not contain all the forward-looking statements made in this Quarterly Report on Form 10-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174,251</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356,772</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1,052,627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2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Line of credit,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247,562</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652,654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0 shares issued and</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voting common stock: $0.001 par value; 100,000,000 shares authorized; 30,370,591</w:t>
            </w:r>
          </w:p>
        </w:tc>
        <w:tc>
          <w:tcPr>
            <w:tcW w:w="260" w:type="dxa"/>
            <w:vAlign w:val="bottom"/>
          </w:tcPr>
          <w:p>
            <w:pPr>
              <w:spacing w:after="0"/>
              <w:rPr>
                <w:sz w:val="15"/>
                <w:szCs w:val="15"/>
                <w:color w:val="auto"/>
              </w:rPr>
            </w:pPr>
          </w:p>
        </w:tc>
        <w:tc>
          <w:tcPr>
            <w:tcW w:w="1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6"/>
        </w:trPr>
        <w:tc>
          <w:tcPr>
            <w:tcW w:w="7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and 29,385,869 shares issued as of March 31, 2026 and December 31, 2025, respectively;</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30,056,655 and 29,385,869 shares outstanding as of March 31, 2026 and December 31,</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respectively</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voting common stock: $0.001 par value; 20,000,000 shares authorized; 1,958,028</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w:t>
            </w:r>
          </w:p>
        </w:tc>
        <w:tc>
          <w:tcPr>
            <w:tcW w:w="2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common stock: shares, at cost; 313,936 and 0 shares as of March 31, 2026 and</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485,836</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1,052,627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7" w:right="339" w:bottom="1078"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078"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0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174,241</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102,729</w:t>
            </w:r>
          </w:p>
        </w:tc>
      </w:tr>
      <w:tr>
        <w:trPr>
          <w:trHeight w:val="128"/>
        </w:trPr>
        <w:tc>
          <w:tcPr>
            <w:tcW w:w="7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71,512</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26,456</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76,199</w:t>
            </w:r>
          </w:p>
        </w:tc>
      </w:tr>
      <w:tr>
        <w:trPr>
          <w:trHeight w:val="128"/>
        </w:trPr>
        <w:tc>
          <w:tcPr>
            <w:tcW w:w="70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128"/>
        </w:trPr>
        <w:tc>
          <w:tcPr>
            <w:tcW w:w="7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1"/>
        </w:trPr>
        <w:tc>
          <w:tcPr>
            <w:tcW w:w="70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used to compute net income (loss) per share: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148"/>
        </w:trPr>
        <w:tc>
          <w:tcPr>
            <w:tcW w:w="7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31,681,879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28,982,432</w:t>
            </w: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32,957,834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28,982,432</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(Loss) Income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marketable securities, net of income taxes</w:t>
            </w: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net of income taxes</w:t>
            </w: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1"/>
        </w:trPr>
        <w:tc>
          <w:tcPr>
            <w:tcW w:w="7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5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Class A voting</w:t>
            </w:r>
          </w:p>
        </w:tc>
        <w:tc>
          <w:tcPr>
            <w:tcW w:w="15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voting</w:t>
            </w: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common</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88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2720" w:type="dxa"/>
            <w:vAlign w:val="bottom"/>
          </w:tcPr>
          <w:p>
            <w:pPr>
              <w:spacing w:after="0"/>
              <w:rPr>
                <w:sz w:val="5"/>
                <w:szCs w:val="5"/>
                <w:color w:val="auto"/>
              </w:rPr>
            </w:pPr>
          </w:p>
        </w:tc>
        <w:tc>
          <w:tcPr>
            <w:tcW w:w="14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4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4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gridSpan w:val="2"/>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40" w:type="dxa"/>
            <w:vAlign w:val="bottom"/>
            <w:tcBorders>
              <w:bottom w:val="single" w:sz="8" w:color="auto"/>
            </w:tcBorders>
            <w:gridSpan w:val="2"/>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27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26,588,688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1,958,028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435,927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$312,533</w:t>
            </w:r>
          </w:p>
        </w:tc>
        <w:tc>
          <w:tcPr>
            <w:tcW w:w="0" w:type="dxa"/>
            <w:vAlign w:val="bottom"/>
          </w:tcPr>
          <w:p>
            <w:pPr>
              <w:spacing w:after="0"/>
              <w:rPr>
                <w:sz w:val="1"/>
                <w:szCs w:val="1"/>
                <w:color w:val="auto"/>
              </w:rPr>
            </w:pPr>
          </w:p>
        </w:tc>
      </w:tr>
      <w:tr>
        <w:trPr>
          <w:trHeight w:val="189"/>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1,348,320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(183,018)</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24,073</w:t>
            </w:r>
          </w:p>
        </w:tc>
        <w:tc>
          <w:tcPr>
            <w:tcW w:w="0" w:type="dxa"/>
            <w:vAlign w:val="bottom"/>
          </w:tcPr>
          <w:p>
            <w:pPr>
              <w:spacing w:after="0"/>
              <w:rPr>
                <w:sz w:val="1"/>
                <w:szCs w:val="1"/>
                <w:color w:val="auto"/>
              </w:rPr>
            </w:pPr>
          </w:p>
        </w:tc>
      </w:tr>
      <w:tr>
        <w:trPr>
          <w:trHeight w:val="196"/>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27,754,915</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1,958,028</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457,077</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(36,547)</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(75,154)</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345,406</w:t>
            </w:r>
          </w:p>
        </w:tc>
        <w:tc>
          <w:tcPr>
            <w:tcW w:w="0" w:type="dxa"/>
            <w:vAlign w:val="bottom"/>
          </w:tcPr>
          <w:p>
            <w:pPr>
              <w:spacing w:after="0"/>
              <w:rPr>
                <w:sz w:val="1"/>
                <w:szCs w:val="1"/>
                <w:color w:val="auto"/>
              </w:rPr>
            </w:pPr>
          </w:p>
        </w:tc>
      </w:tr>
      <w:tr>
        <w:trPr>
          <w:trHeight w:val="189"/>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34,781</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34,781</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9,253</w:t>
            </w:r>
          </w:p>
        </w:tc>
        <w:tc>
          <w:tcPr>
            <w:tcW w:w="0" w:type="dxa"/>
            <w:vAlign w:val="bottom"/>
          </w:tcPr>
          <w:p>
            <w:pPr>
              <w:spacing w:after="0"/>
              <w:rPr>
                <w:sz w:val="1"/>
                <w:szCs w:val="1"/>
                <w:color w:val="auto"/>
              </w:rPr>
            </w:pPr>
          </w:p>
        </w:tc>
      </w:tr>
      <w:tr>
        <w:trPr>
          <w:trHeight w:val="196"/>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28,177,204</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1,958,028</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466,358</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(80,085)</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384,538</w:t>
            </w:r>
          </w:p>
        </w:tc>
        <w:tc>
          <w:tcPr>
            <w:tcW w:w="0" w:type="dxa"/>
            <w:vAlign w:val="bottom"/>
          </w:tcPr>
          <w:p>
            <w:pPr>
              <w:spacing w:after="0"/>
              <w:rPr>
                <w:sz w:val="1"/>
                <w:szCs w:val="1"/>
                <w:color w:val="auto"/>
              </w:rPr>
            </w:pPr>
          </w:p>
        </w:tc>
      </w:tr>
      <w:tr>
        <w:trPr>
          <w:trHeight w:val="189"/>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8,964</w:t>
            </w:r>
          </w:p>
        </w:tc>
        <w:tc>
          <w:tcPr>
            <w:tcW w:w="0" w:type="dxa"/>
            <w:vAlign w:val="bottom"/>
          </w:tcPr>
          <w:p>
            <w:pPr>
              <w:spacing w:after="0"/>
              <w:rPr>
                <w:sz w:val="1"/>
                <w:szCs w:val="1"/>
                <w:color w:val="auto"/>
              </w:rPr>
            </w:pPr>
          </w:p>
        </w:tc>
      </w:tr>
      <w:tr>
        <w:trPr>
          <w:trHeight w:val="196"/>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28,563,270</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1,958,028</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475,353</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(81,326)</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392,744</w:t>
            </w:r>
          </w:p>
        </w:tc>
        <w:tc>
          <w:tcPr>
            <w:tcW w:w="0" w:type="dxa"/>
            <w:vAlign w:val="bottom"/>
          </w:tcPr>
          <w:p>
            <w:pPr>
              <w:spacing w:after="0"/>
              <w:rPr>
                <w:sz w:val="1"/>
                <w:szCs w:val="1"/>
                <w:color w:val="auto"/>
              </w:rPr>
            </w:pPr>
          </w:p>
        </w:tc>
      </w:tr>
      <w:tr>
        <w:trPr>
          <w:trHeight w:val="223"/>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819,594</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0"/>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39"/>
        </w:trPr>
        <w:tc>
          <w:tcPr>
            <w:tcW w:w="2720" w:type="dxa"/>
            <w:vAlign w:val="bottom"/>
            <w:shd w:val="clear" w:color="auto" w:fill="CCEEFF"/>
          </w:tcPr>
          <w:p>
            <w:pPr>
              <w:ind w:left="240"/>
              <w:spacing w:after="0" w:line="139" w:lineRule="exact"/>
              <w:rPr>
                <w:sz w:val="20"/>
                <w:szCs w:val="20"/>
                <w:color w:val="auto"/>
              </w:rPr>
            </w:pPr>
            <w:r>
              <w:rPr>
                <w:rFonts w:ascii="Times New Roman" w:cs="Times New Roman" w:eastAsia="Times New Roman" w:hAnsi="Times New Roman"/>
                <w:sz w:val="14"/>
                <w:szCs w:val="14"/>
                <w:color w:val="auto"/>
              </w:rPr>
              <w:t>Unrealized gain on employee benefit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pension plan</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90"/>
        </w:trPr>
        <w:tc>
          <w:tcPr>
            <w:tcW w:w="2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29,385,869</w:t>
            </w: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1,958,028</w:t>
            </w: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485,836</w:t>
            </w:r>
          </w:p>
        </w:tc>
        <w:tc>
          <w:tcPr>
            <w:tcW w:w="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(84,326)</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Class A voting</w:t>
            </w:r>
          </w:p>
        </w:tc>
        <w:tc>
          <w:tcPr>
            <w:tcW w:w="15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voting</w:t>
            </w:r>
          </w:p>
        </w:tc>
        <w:tc>
          <w:tcPr>
            <w:tcW w:w="15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common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840" w:type="dxa"/>
            <w:vAlign w:val="bottom"/>
            <w:gridSpan w:val="2"/>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restart"/>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14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4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4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27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2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1,355,634</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(375,553)</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w:t>
            </w:r>
          </w:p>
        </w:tc>
        <w:tc>
          <w:tcPr>
            <w:tcW w:w="0" w:type="dxa"/>
            <w:vAlign w:val="bottom"/>
          </w:tcPr>
          <w:p>
            <w:pPr>
              <w:spacing w:after="0"/>
              <w:rPr>
                <w:sz w:val="1"/>
                <w:szCs w:val="1"/>
                <w:color w:val="auto"/>
              </w:rPr>
            </w:pPr>
          </w:p>
        </w:tc>
      </w:tr>
      <w:tr>
        <w:trPr>
          <w:trHeight w:val="229"/>
        </w:trPr>
        <w:tc>
          <w:tcPr>
            <w:tcW w:w="2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313,936</w:t>
            </w:r>
          </w:p>
        </w:tc>
        <w:tc>
          <w:tcPr>
            <w:tcW w:w="120" w:type="dxa"/>
            <w:vAlign w:val="bottom"/>
          </w:tcPr>
          <w:p>
            <w:pPr>
              <w:spacing w:after="0"/>
              <w:rPr>
                <w:sz w:val="19"/>
                <w:szCs w:val="19"/>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9"/>
        </w:trPr>
        <w:tc>
          <w:tcPr>
            <w:tcW w:w="2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23,035</w:t>
            </w:r>
          </w:p>
        </w:tc>
        <w:tc>
          <w:tcPr>
            <w:tcW w:w="0" w:type="dxa"/>
            <w:vAlign w:val="bottom"/>
          </w:tcPr>
          <w:p>
            <w:pPr>
              <w:spacing w:after="0"/>
              <w:rPr>
                <w:sz w:val="1"/>
                <w:szCs w:val="1"/>
                <w:color w:val="auto"/>
              </w:rPr>
            </w:pPr>
          </w:p>
        </w:tc>
      </w:tr>
      <w:tr>
        <w:trPr>
          <w:trHeight w:val="230"/>
        </w:trPr>
        <w:tc>
          <w:tcPr>
            <w:tcW w:w="2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0" w:type="dxa"/>
            <w:vAlign w:val="bottom"/>
          </w:tcPr>
          <w:p>
            <w:pPr>
              <w:spacing w:after="0"/>
              <w:rPr>
                <w:sz w:val="1"/>
                <w:szCs w:val="1"/>
                <w:color w:val="auto"/>
              </w:rPr>
            </w:pPr>
          </w:p>
        </w:tc>
      </w:tr>
      <w:tr>
        <w:trPr>
          <w:trHeight w:val="221"/>
        </w:trPr>
        <w:tc>
          <w:tcPr>
            <w:tcW w:w="27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Balance at March 31, 2026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30,370,591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1,958,028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313,936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405,671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3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reduction to the right-of-use asset</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taxes and other</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gain on extinguishment of debt</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0" w:type="dxa"/>
            <w:vAlign w:val="bottom"/>
          </w:tcPr>
          <w:p>
            <w:pPr>
              <w:spacing w:after="0"/>
              <w:rPr>
                <w:sz w:val="1"/>
                <w:szCs w:val="1"/>
                <w:color w:val="auto"/>
              </w:rPr>
            </w:pPr>
          </w:p>
        </w:tc>
      </w:tr>
      <w:tr>
        <w:trPr>
          <w:trHeight w:val="213"/>
        </w:trPr>
        <w:tc>
          <w:tcPr>
            <w:tcW w:w="7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Operating right-of-use liability</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19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Borrowings on line of credit</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paid for debt extinguishment</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Value of equity awards withheld for tax liabilities and other</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(59,757)</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(29,033)</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(46,079)</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103,160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82,234</w:t>
            </w:r>
          </w:p>
        </w:tc>
        <w:tc>
          <w:tcPr>
            <w:tcW w:w="0" w:type="dxa"/>
            <w:vAlign w:val="bottom"/>
          </w:tcPr>
          <w:p>
            <w:pPr>
              <w:spacing w:after="0"/>
              <w:rPr>
                <w:sz w:val="1"/>
                <w:szCs w:val="1"/>
                <w:color w:val="auto"/>
              </w:rPr>
            </w:pPr>
          </w:p>
        </w:tc>
      </w:tr>
      <w:tr>
        <w:trPr>
          <w:trHeight w:val="23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47,469</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47,283</w:t>
            </w:r>
          </w:p>
        </w:tc>
        <w:tc>
          <w:tcPr>
            <w:tcW w:w="100" w:type="dxa"/>
            <w:vAlign w:val="bottom"/>
          </w:tcPr>
          <w:p>
            <w:pPr>
              <w:spacing w:after="0"/>
              <w:rPr>
                <w:sz w:val="18"/>
                <w:szCs w:val="18"/>
                <w:color w:val="auto"/>
              </w:rPr>
            </w:pP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47,469</w:t>
            </w:r>
          </w:p>
        </w:tc>
        <w:tc>
          <w:tcPr>
            <w:tcW w:w="100" w:type="dxa"/>
            <w:vAlign w:val="bottom"/>
          </w:tcPr>
          <w:p>
            <w:pPr>
              <w:spacing w:after="0"/>
              <w:rPr>
                <w:sz w:val="17"/>
                <w:szCs w:val="17"/>
                <w:color w:val="auto"/>
              </w:rPr>
            </w:pP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interest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refunded for taxes, net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4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tcBorders>
              <w:top w:val="single" w:sz="8" w:color="CCEEFF"/>
            </w:tcBorders>
            <w:vMerge w:val="continue"/>
          </w:tcPr>
          <w:p>
            <w:pPr>
              <w:spacing w:after="0"/>
              <w:rPr>
                <w:sz w:val="14"/>
                <w:szCs w:val="14"/>
                <w:color w:val="auto"/>
              </w:rPr>
            </w:pPr>
          </w:p>
        </w:tc>
        <w:tc>
          <w:tcPr>
            <w:tcW w:w="440" w:type="dxa"/>
            <w:vAlign w:val="bottom"/>
            <w:tcBorders>
              <w:top w:val="single" w:sz="8" w:color="auto"/>
              <w:bottom w:val="single" w:sz="8" w:color="auto"/>
            </w:tcBorders>
          </w:tcPr>
          <w:p>
            <w:pPr>
              <w:jc w:val="right"/>
              <w:ind w:right="259"/>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59"/>
              <w:spacing w:after="0" w:line="166"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 accrued but not paid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through lease incentive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 and Summary of Significant Accounting Policies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Bandwidth Inc. (together with its subsidiaries, “Bandwidth” or the “Company”) was founded in July 2000 and incorporated in Delaware on March 29, 2001. The Company’s headquarters are located in Raleigh, North Carolina. The Company is a global cloud-based, software-powered communications platform-as-a-service (“CPaaS”) provider that enables enterprises to create, scale and operate voice or messaging communications services across any mobile application or connected device.</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generally accepted accounting principles in the United States of America (“GAAP”) and applicable rules and regulations of the U.S.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filed with the SEC on February 19, 2026.</w:t>
      </w:r>
    </w:p>
    <w:p>
      <w:pPr>
        <w:spacing w:after="0" w:line="13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condensed consolidated balance sheet as of December 31, 2025, included herein, was derived from the audited financial statements as of that date, but does not include all disclosures, including certain notes required by GAAP on an annual reporting basis.</w:t>
      </w:r>
    </w:p>
    <w:p>
      <w:pPr>
        <w:spacing w:after="0" w:line="9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In the opinion of management, the accompanying unaudited condensed consolidated financial statements reflect all normal recurring adjustments necessary to present fairly the financial position, results of operations, comprehensive (loss) income and cash flows for the interim periods, but are not necessarily indicative of the results of operations to be anticipated for the full year 2026 or any future period.</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condensed consolidated financial statements include the accounts of Bandwidth Inc. and its wholly owned subsidiaries. All intercompany accounts and transactions have been eliminated in consolidation.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expected credit losses, reserve for sales credits, recoverability of long lived and intangible assets, fair value of acquired intangible assets and goodwill, discount rates used in the valuation of right-of-use assets and lease liabilities, the fair value of the liability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has achieved significant progress in realizing its strategic objective of providing a single, universal cloud platform to all global customers (the “Universal Platform”). Consequently, during the first quarter of 2026, the Company adjusted the remaining estimated useful life of the developed technology acquired in 2020 from 5 years to 2 years. This adjustment reflects the accelerated migration of customers to the Universal Platform. This change in estimate, which is accounted for prospectively, resulted in a $3.0 million increase to amortization expense and a decrease to basic net income and diluted net loss per share of $0.08 for the three months ended March 31, 2026. See </w:t>
      </w:r>
      <w:r>
        <w:rPr>
          <w:rFonts w:ascii="Times New Roman" w:cs="Times New Roman" w:eastAsia="Times New Roman" w:hAnsi="Times New Roman"/>
          <w:sz w:val="20"/>
          <w:szCs w:val="20"/>
          <w:color w:val="231F20"/>
        </w:rPr>
        <w:t>Note</w:t>
      </w:r>
      <w:r>
        <w:rPr>
          <w:rFonts w:ascii="Times New Roman" w:cs="Times New Roman" w:eastAsia="Times New Roman" w:hAnsi="Times New Roman"/>
          <w:sz w:val="20"/>
          <w:szCs w:val="20"/>
          <w:color w:val="auto"/>
        </w:rPr>
        <w:t xml:space="preserve"> 5</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auto"/>
        </w:rPr>
        <w:t xml:space="preserve"> “Goodwill and Intangible Assets,” </w:t>
      </w:r>
      <w:r>
        <w:rPr>
          <w:rFonts w:ascii="Times New Roman" w:cs="Times New Roman" w:eastAsia="Times New Roman" w:hAnsi="Times New Roman"/>
          <w:sz w:val="20"/>
          <w:szCs w:val="20"/>
          <w:color w:val="231F20"/>
        </w:rPr>
        <w:t>to the</w:t>
      </w:r>
      <w:r>
        <w:rPr>
          <w:rFonts w:ascii="Times New Roman" w:cs="Times New Roman" w:eastAsia="Times New Roman" w:hAnsi="Times New Roman"/>
          <w:sz w:val="20"/>
          <w:szCs w:val="20"/>
          <w:color w:val="auto"/>
        </w:rPr>
        <w:t xml:space="preserve"> condensed consolidated </w:t>
      </w:r>
      <w:r>
        <w:rPr>
          <w:rFonts w:ascii="Times New Roman" w:cs="Times New Roman" w:eastAsia="Times New Roman" w:hAnsi="Times New Roman"/>
          <w:sz w:val="20"/>
          <w:szCs w:val="20"/>
          <w:color w:val="231F20"/>
        </w:rPr>
        <w:t>financial statements, for additional details on the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231F20"/>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Marketable Securities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Company classifies marketable securities as available-for-sale at the time of purchase and reevaluates such classification as of each balance sheet date. The Company may sell these securities at any time for use in current operations even if they have not yet reached maturity. As a result, the Company classifies investments with maturities greater than 90 days as marketable securities in the accompanying condensed consolidated balance sheets. The Company evaluates its investments to assess whether the amortized cost basis is in excess of estimated fair value and determines what amount of that difference, if any, is caused by expected credit losses. Allowance for credit losses is recognized as a charge in other income, net on the condensed consolidated statements of operations, and any remaining unrealized losses are included in accumulated other comprehensive loss on the condensed consolidated balance sheets. Due to the nature and investment grade of the Company’s marketable securities, there were no credit losses recorded for the three months ended March 31, 2026. There have been no impairment charges for any unrealized losses during the period.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Accounts Receivable and Current Expected Credit Losses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Accounts receivable are stated at realizable value, net of allowance for expected credit losses. The allowance for expected credit losses is based on management’s assessment of the collectability of its customer accounts. The Company regularly reviews the composition of the accounts receivable aging, historical credit losses,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an allowance of approximately $0.6 million and $0.5 million for uncollectible accounts and customer balances that are disputed was required as of March 31, 2026 and December 31, 2025, respectively. Refer to Note 3, “Financial Statement Components” to these condensed consolidated financial statements, for a rollforward of the components of the allowance for the three months ended March 31, 2026 and 2025.</w:t>
      </w:r>
    </w:p>
    <w:p>
      <w:pPr>
        <w:spacing w:after="0" w:line="12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includes unbilled receivables in its accounts receivable balance. Generally, these receivables represent earned revenue from services provided to customers, which will be billed in the next billing cycle. All amounts are considered collectible and billable. As of March 31, 2026 and December 31, 2025, unbilled receivables were $61.8 million and $57.4 million, respectively.</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Financial instruments that are exposed to concentration of credit risk consist primarily of cash and cash equivalents, marketable securities and trade accounts receivable. The Company maintains its cash, cash equivalents and marketable securities with high credit-quality financial institutions. Certain balances held by such financial institutions exceed insured limits.</w:t>
      </w:r>
    </w:p>
    <w:p>
      <w:pPr>
        <w:spacing w:after="0" w:line="1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With regard to customers, credit evaluation and account monitoring procedures are used to minimize the risk of loss. The Company believes that no additional credit risk beyond amounts provided for by the allowance for expected credit losses are inherent in accounts receivable. As of March 31, 2026 and December 31, 2025, no individual customer represented more than 10% of the Company’s accounts receivable, net of allowance.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For the three months ended March 31, 2026 and 2025, no individual customer represented more than 10% of the Company’s revenue.</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Recently Adopted Accounting Standards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 November 2024, the Financial Accounting Standards Board (“FASB”) issued Accounting Standard Update (“ASU”) 2024-04, </w:t>
      </w:r>
      <w:r>
        <w:rPr>
          <w:rFonts w:ascii="Times New Roman" w:cs="Times New Roman" w:eastAsia="Times New Roman" w:hAnsi="Times New Roman"/>
          <w:sz w:val="20"/>
          <w:szCs w:val="20"/>
          <w:i w:val="1"/>
          <w:iCs w:val="1"/>
          <w:color w:val="auto"/>
        </w:rPr>
        <w:t xml:space="preserve">Debt—Debt with Conversion and Other Options (Subtopic 470-20): Induced Conversions of Convertible Debt Instruments </w:t>
      </w:r>
      <w:r>
        <w:rPr>
          <w:rFonts w:ascii="Times New Roman" w:cs="Times New Roman" w:eastAsia="Times New Roman" w:hAnsi="Times New Roman"/>
          <w:sz w:val="20"/>
          <w:szCs w:val="20"/>
          <w:color w:val="auto"/>
        </w:rPr>
        <w:t>(“ASU 2024-04”),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provides additional guidance to stakeholders about how to determine whether a settlement of convertible debt (particularly, cash convertible instruments) at terms that differ from the original conversion terms should be accounted for under the induced conversion or extinguishment guidance. The Company adopted ASU 2024-04 effective January 1, 2026 and applied the guidance prospectively. The adoption had no impact on the Company’s financial position or results of operations.</w:t>
      </w:r>
    </w:p>
    <w:p>
      <w:pPr>
        <w:spacing w:after="0" w:line="12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 xml:space="preserve">In July 2025, the FASB issued ASU 2025-05, </w:t>
      </w:r>
      <w:r>
        <w:rPr>
          <w:rFonts w:ascii="Times New Roman" w:cs="Times New Roman" w:eastAsia="Times New Roman" w:hAnsi="Times New Roman"/>
          <w:sz w:val="19"/>
          <w:szCs w:val="19"/>
          <w:i w:val="1"/>
          <w:iCs w:val="1"/>
          <w:color w:val="auto"/>
        </w:rPr>
        <w:t>Financial Instruments—Credit Losses (Topic 326): Measurement of Credit Losses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Accounts Receivable and Contract Assets </w:t>
      </w:r>
      <w:r>
        <w:rPr>
          <w:rFonts w:ascii="Times New Roman" w:cs="Times New Roman" w:eastAsia="Times New Roman" w:hAnsi="Times New Roman"/>
          <w:sz w:val="19"/>
          <w:szCs w:val="19"/>
          <w:color w:val="auto"/>
        </w:rPr>
        <w:t>(“ASU 2025-05”), which provides a practical expedient for the estimation of expected credit losses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current accounts receivable and current contract assets under ASC 606. The practical expedient election assumes that current conditions as of the balance sheet date do not change for the remaining life of the asset. The Company adopted ASU 2025-05 effective January 1, 2026 and elected the practical expedient. ASU 2025-05 did not have a material impact on the Company's financial position or results of operations.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 Accounting Pronouncements Not Yet Adopted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Statement—Reporting Comprehensive Income—Expense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(“ASU 2024-03”), which requires public entities to disclose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disaggregated information about certain costs and expenses on an interim and annual basis. ASU 2024-03 is effective for fiscal years beginning after December 15, 2026, and interim periods within fiscal years beginning after December 15, 2027, with the option to apply the guidance prospectively or retrospectively. Early adoption is permitted. The Company is currently evaluating the impact of adopting ASU 2024-03 on its consolidated financial statements.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Intangibles—Goodwill and Other—Internal-Use Software (Subtopic 350-40):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Targeted Improvements to the Accounting for Internal-Use Software </w:t>
      </w:r>
      <w:r>
        <w:rPr>
          <w:rFonts w:ascii="Times New Roman" w:cs="Times New Roman" w:eastAsia="Times New Roman" w:hAnsi="Times New Roman"/>
          <w:sz w:val="20"/>
          <w:szCs w:val="20"/>
          <w:color w:val="auto"/>
        </w:rPr>
        <w:t>(“ASU 2025-06”), which amends certain aspects of the accounting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disclosure of software costs under ASC 350-40. The guidance removes all references to project stages throughout ASC 350-40 and clarifies the threshold entities apply to begin capitalizing costs. ASU 2025-06 is effective for annual reporting periods beginning after December 15, 2027, and interim reporting periods within those annual reporting periods, with the option to apply the guidance prospectively, retrospectively, or via a modified prospective transition method. Early adoption is permitted. The Company is currently evaluating the impact of adopting ASU 2025-06 on its consolidated financial statements.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Fair Value Measurements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128"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Observable inputs based on unadjusted quoted prices in active markets for identical assets or liabilities;</w:t>
      </w:r>
    </w:p>
    <w:p>
      <w:pPr>
        <w:spacing w:after="0" w:line="16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Inputs, other than quoted prices in active markets, that are observable either directly or indirectly;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87" w:lineRule="auto"/>
        <w:tabs>
          <w:tab w:leader="none" w:pos="648"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for which there is little or no market data, which requires the Company to develop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w:t>
      </w:r>
    </w:p>
    <w:p>
      <w:pPr>
        <w:spacing w:after="0" w:line="8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 financial instrument’s categorization within the valuation hierarchy is based upon the lowest level of input that is significant to the fair value measurement.</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carrying amounts of cash and cash equivalents, accounts receivable, accounts payable and accrued expenses approximate fair value as of March 31, 2026 and December 31, 2025 because of the relatively short duration of these instruments. Marketable securities consist of time deposits and commercial paper not otherwise classified as cash equivalents. All marketable securities are considered to be available-for-sale and are recorded at their estimated fair values. Unrealized gains and losses for available-for-sale securities are recorded in accumulated other comprehensive loss.</w:t>
      </w:r>
    </w:p>
    <w:p>
      <w:pPr>
        <w:spacing w:after="0" w:line="11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evaluated its financial assets and liabilities subject to fair value measurements on a recurring basis to determine the appropriate level in which to classify them for each reporting period. The following tables summarize the Company’s financial assets measured at fair value as of March 31, 2026 and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10"/>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1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8"/>
                <w:szCs w:val="8"/>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5"/>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3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155"/>
        </w:trPr>
        <w:tc>
          <w:tcPr>
            <w:tcW w:w="3160" w:type="dxa"/>
            <w:vAlign w:val="bottom"/>
            <w:tcBorders>
              <w:top w:val="single" w:sz="8" w:color="CCEEFF"/>
            </w:tcBorders>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included in cash and cash</w:t>
            </w: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10"/>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1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5"/>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65,027</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0" w:type="dxa"/>
            <w:vAlign w:val="bottom"/>
          </w:tcPr>
          <w:p>
            <w:pPr>
              <w:spacing w:after="0"/>
              <w:rPr>
                <w:sz w:val="1"/>
                <w:szCs w:val="1"/>
                <w:color w:val="auto"/>
              </w:rPr>
            </w:pPr>
          </w:p>
        </w:tc>
      </w:tr>
      <w:tr>
        <w:trPr>
          <w:trHeight w:val="155"/>
        </w:trPr>
        <w:tc>
          <w:tcPr>
            <w:tcW w:w="3160" w:type="dxa"/>
            <w:vAlign w:val="bottom"/>
            <w:tcBorders>
              <w:top w:val="single" w:sz="8" w:color="CCEEFF"/>
            </w:tcBorders>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included in cash and cash</w:t>
            </w: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94,109</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classifies its marketable securities as current assets as they are available for current operating needs. The following table summarizes the contractual maturities of marketable securities as of March 31, 2026: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Aggregate fair value</w:t>
            </w:r>
          </w:p>
        </w:tc>
      </w:tr>
      <w:tr>
        <w:trPr>
          <w:trHeight w:val="263"/>
        </w:trPr>
        <w:tc>
          <w:tcPr>
            <w:tcW w:w="7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8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than one year</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March 31, 2026, the marketable securities were in an unrealized gain position. The Company has determined that (i) it does not have the intent to sell any of these investments and (ii) it is not more likely than not that it will be required to sell any of these investments before recovery of the entire amortized cost basis. As of March 31, 2026, the Company anticipates that it will recover the entire amortized cost basis of its marketable securities before maturity.</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During the three months ended March 31, 2026 and 2025, there were $7.5 million and $1.0 million, respectively, in maturities of marketable securities. There were no proceeds from sales of marketable securities for the three months ended March 31, 2026 and 2025. The Company determines realized gains and losses on sale of marketable securities using the specific identification method and records such gains and losses in other income, net on the condensed consolidated statements of operations.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of March 31, 2026, the fair value of the 2026 Convertible Notes and 2028 Convertible Notes, as further described in Note 7, “Debt,” to these condensed consolidated financial statements, was approximately $0.0 million and $134.3 million, respectively. As of December 31, 2025, the fair value of the 2026 Convertible Notes and the 2028 Convertible Notes was approximately $7.5 million and $219.7 million, respectively. The fair value was determined based on the closing price for the Convertible Notes on the last trading day of the reporting period and is considered as Level 2 in the fair value hierarchy.</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Financial Statement Components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Accounts receivable, net of allowance consists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4"/>
        </w:trPr>
        <w:tc>
          <w:tcPr>
            <w:tcW w:w="7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8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57,400</w:t>
            </w: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7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allowance for expected credit losses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Charged to credit loss expense, net of reversals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Deductions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7080" w:type="dxa"/>
            <w:vAlign w:val="bottom"/>
          </w:tcPr>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Write-off of uncollectible accounts after exhaustion of collection efforts.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0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60,808</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sales, use, VAT and telecommunications related taxes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91,151</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Plant and Equipment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plant and equipment, net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0"/>
        </w:trPr>
        <w:tc>
          <w:tcPr>
            <w:tcW w:w="70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0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14,789</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Telecommunications equipment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92,829</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77,704</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Internal-use software development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44,198</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Automobile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27,636</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Land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296,820</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174,251</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Company capitalized $2.3 million and $2.8 million of software development costs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Amortization expense related to capitalized software development costs was $2.0 million and $1.3 million for the three months ended March 31, 2026 and 2025, respectively.</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depreciation expense, which includes amortization of capitalized software development costs,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5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2"/>
                <w:szCs w:val="22"/>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500" w:right="8400" w:hanging="492"/>
        <w:spacing w:after="0" w:line="424" w:lineRule="auto"/>
        <w:tabs>
          <w:tab w:leader="none" w:pos="212"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Goodwill and Intangible Assets </w:t>
      </w:r>
      <w:r>
        <w:rPr>
          <w:rFonts w:ascii="Times New Roman" w:cs="Times New Roman" w:eastAsia="Times New Roman" w:hAnsi="Times New Roman"/>
          <w:sz w:val="20"/>
          <w:szCs w:val="20"/>
          <w:b w:val="1"/>
          <w:bCs w:val="1"/>
          <w:i w:val="1"/>
          <w:iCs w:val="1"/>
          <w:color w:val="auto"/>
        </w:rPr>
        <w:t>Goodwill</w:t>
      </w:r>
    </w:p>
    <w:p>
      <w:pPr>
        <w:spacing w:after="0" w:line="1"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change in carrying amount of goodwill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9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356,772</w:t>
            </w:r>
          </w:p>
        </w:tc>
      </w:tr>
      <w:tr>
        <w:trPr>
          <w:trHeight w:val="230"/>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9"/>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2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6"/>
        </w:trPr>
        <w:tc>
          <w:tcPr>
            <w:tcW w:w="2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7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97,148</w:t>
            </w:r>
          </w:p>
        </w:tc>
      </w:tr>
      <w:tr>
        <w:trPr>
          <w:trHeight w:val="229"/>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40,970</w:t>
            </w:r>
          </w:p>
        </w:tc>
      </w:tr>
      <w:tr>
        <w:trPr>
          <w:trHeight w:val="230"/>
        </w:trPr>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definite lived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amortization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5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2"/>
                <w:szCs w:val="22"/>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remaining weighted average amortization period for definite lived intangible assets is 7.13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Future estimated amortization expense for definite lived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r>
      <w:tr>
        <w:trPr>
          <w:trHeight w:val="238"/>
        </w:trPr>
        <w:tc>
          <w:tcPr>
            <w:tcW w:w="9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63"/>
        </w:trPr>
        <w:tc>
          <w:tcPr>
            <w:tcW w:w="9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45,794</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primarily leases facilities for office space under non-cancelable operating leases for its U.S. and international locations. As of March 31, 2026, non-cancelable leases expire on various dates between 2026 and 2043, some of which include options to extend the leases for up to 20 years.</w:t>
      </w:r>
    </w:p>
    <w:p>
      <w:pPr>
        <w:spacing w:after="0" w:line="1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231F20"/>
        </w:rPr>
        <w:t xml:space="preserve">On January 1, 2025, the Company commenced a sublease of a portion of its corporate headquarters to Relay, Inc., a related party. The sublease expires on December 31, 2029 and does not include any option to renew or purchase, nor does it include any residual value guarantees. As of </w:t>
      </w:r>
      <w:r>
        <w:rPr>
          <w:rFonts w:ascii="Times New Roman" w:cs="Times New Roman" w:eastAsia="Times New Roman" w:hAnsi="Times New Roman"/>
          <w:sz w:val="20"/>
          <w:szCs w:val="20"/>
          <w:color w:val="000000"/>
        </w:rPr>
        <w:t>March 31, 2026, t</w:t>
      </w:r>
      <w:r>
        <w:rPr>
          <w:rFonts w:ascii="Times New Roman" w:cs="Times New Roman" w:eastAsia="Times New Roman" w:hAnsi="Times New Roman"/>
          <w:sz w:val="20"/>
          <w:szCs w:val="20"/>
          <w:color w:val="231F20"/>
        </w:rPr>
        <w:t xml:space="preserve">otal future minimum rent payments to the Company under this sublease were </w:t>
      </w:r>
      <w:r>
        <w:rPr>
          <w:rFonts w:ascii="Times New Roman" w:cs="Times New Roman" w:eastAsia="Times New Roman" w:hAnsi="Times New Roman"/>
          <w:sz w:val="20"/>
          <w:szCs w:val="20"/>
          <w:color w:val="000000"/>
        </w:rPr>
        <w:t>$9.8 million</w:t>
      </w:r>
      <w:r>
        <w:rPr>
          <w:rFonts w:ascii="Times New Roman" w:cs="Times New Roman" w:eastAsia="Times New Roman" w:hAnsi="Times New Roman"/>
          <w:sz w:val="20"/>
          <w:szCs w:val="20"/>
          <w:color w:val="231F20"/>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components of operating lease expense recorded in the condensed consolidated statements of operations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5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2"/>
                <w:szCs w:val="22"/>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cost</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Sublease income</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Other supplemental information related to operating leases were as follows:</w:t>
      </w:r>
    </w:p>
    <w:p>
      <w:pPr>
        <w:spacing w:after="0" w:line="2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34"/>
        </w:trPr>
        <w:tc>
          <w:tcPr>
            <w:tcW w:w="6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148"/>
        </w:trPr>
        <w:tc>
          <w:tcPr>
            <w:tcW w:w="6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r>
      <w:tr>
        <w:trPr>
          <w:trHeight w:val="238"/>
        </w:trPr>
        <w:tc>
          <w:tcPr>
            <w:tcW w:w="9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63"/>
        </w:trPr>
        <w:tc>
          <w:tcPr>
            <w:tcW w:w="9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24,036</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24,420</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333,334</w:t>
            </w:r>
          </w:p>
        </w:tc>
      </w:tr>
      <w:tr>
        <w:trPr>
          <w:trHeight w:val="223"/>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446,248</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(222,226)</w:t>
            </w:r>
          </w:p>
        </w:tc>
      </w:tr>
      <w:tr>
        <w:trPr>
          <w:trHeight w:val="223"/>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obligations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224,022</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219,892</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Debt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August 2023, the Company entered into a credit agreement (as amended, the “Credit Agreement”) among the Company, as borrower, the lenders from time to time party thereto, and Bank of America, N.A., as administrative agent, swingline lender and letters of credit issuer. The Credit Agreement provided for a $50.0 million revolving credit facility (the “Credit Facility”), including a $15.0 million sublimit for the issuance of letters of credit and a swingline subfacility of up to $5.0 million. The Credit Facility has an accordion feature that allows for an increase in the total borrowing size of up to $25.0 million, subject to certain conditions. The Credit Agreement was amended in 2024 to increase the Credit Facility to $150.0 million and increase the swingline sublimit to $10.0 million. The Credit Facility matures on the earlier of (a) May 1, 2029 or (b) the date that is 91 days prior to the scheduled maturity date or mandatory conversion date of the Company’s outstanding 2028 Convertible Notes. The Credit Agreement requires that the Company maintain (a) for each fiscal quarter, a consolidated senior secured leverage ratio not to exceed 2.50 to 1.00; and (b) a consolidated fixed charge coverage ratio not less than 2.00 to 1.00, in each case tested as of the end of any fiscal quarter. Exceptions to certain customary negative covenants require a pro forma consolidated senior secured leverage ratio of at least 0.50 to 1.00 inside the maximum then-applicable consolidated senior secured leverage ratio, and exceptions to the restriction on additional convertible indebtedness require a pro forma consolidated total leverage ratio over the most recent four fiscal quarters not to exceed 4.50 to 1.00.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Interest on borrowings under the Credit Facility accrues at an annual rate tied to a base rate or the Secured Overnight Financing Rate (“SOFR”), at the Company’s election. Loans based on SOFR bear interest at a rate equal to term SOFR for the applicable interest period plus 10 basis points plus an applicable margin between 2.00% and 2.50%, and loans based on the base rate bear interest at a rate equal to the base rate plus an applicable margin between 1.00% and 1.50%, in each case of the foregoing, depending upon the Company’s consolidated total leverage ratio for the most recent fiscal quarter for which financial statements have been delivered under the Credit Agreement. The Company is required to pay a quarterly commitment fee equal to between 0.20% and 0.25% on the unused portion of the borrowing commitment, depending upon the Company’s consolidated total leverage ratio for the most recent fiscal quarter for which financial statements have been delivered under the Credit Agreement.</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obligations under the Credit Agreement are secured by a lien on substantially all of the Company’s tangible and intangible property and by a pledge of all of the equity interests of the Company’s direct domestic subsidiaries and 65% of the voting capital stock and 100% of the non-voting capital stock of any first-tier foreign subsidiaries, subject to limited exceptions. In addition, the Company’s direct domestic subsidiaries guarantee the obligations under the Credit Agreement and grant a lien and pledge, as applicable, on substantially all of their tangible and intangible property to secure the obligations under the Credit Agreement.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of March 31, 2026, unamortized debt issuance costs were $0.7 million, of which $0.3 million were included in prepaid expenses and other current assets and $0.4 million were included in other long-term assets. As of December 31, 2025, unamortized debt issuance costs were $0.7 million, of which $0.2 million were included in prepaid expenses and other current assets and $0.5 million were included in other long-term assets.</w:t>
      </w:r>
    </w:p>
    <w:p>
      <w:pPr>
        <w:spacing w:after="0" w:line="1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 of March 31, 2026, the Company had $50.5 million outstanding borrowings under the Credit Facility and was in compliance with all financial and non-financial covenants for all periods presented. As of March 31, 2026, the available borrowing capacity under the Credit Facility was $99.5 million.</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 and Capped Call Transactions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2026 Convertible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 February 2020, the Company issued $400.0 million aggregate principal amount of 0.25% Convertible Notes due 2026 in a private placement to qualified institutional buyers pursuant to Rule 144A under the Securities Act (the “2026 Convertible Notes”). On the maturity date of March 1, 2026, the aggregate principal amount of the 2026 Convertible Notes remaining outstanding, after previous repurchases, was </w:t>
      </w:r>
      <w:r>
        <w:rPr>
          <w:rFonts w:ascii="Times New Roman" w:cs="Times New Roman" w:eastAsia="Times New Roman" w:hAnsi="Times New Roman"/>
          <w:sz w:val="20"/>
          <w:szCs w:val="20"/>
          <w:color w:val="1C0A14"/>
        </w:rPr>
        <w:t xml:space="preserve">$7.6 million. On such date, the </w:t>
      </w:r>
      <w:r>
        <w:rPr>
          <w:rFonts w:ascii="Times New Roman" w:cs="Times New Roman" w:eastAsia="Times New Roman" w:hAnsi="Times New Roman"/>
          <w:sz w:val="20"/>
          <w:szCs w:val="20"/>
          <w:color w:val="000000"/>
        </w:rPr>
        <w:t>Company paid the outstanding principal and accrued interest in cash to settle the 2026 Convertible Notes in</w:t>
      </w:r>
      <w:r>
        <w:rPr>
          <w:rFonts w:ascii="Times New Roman" w:cs="Times New Roman" w:eastAsia="Times New Roman" w:hAnsi="Times New Roman"/>
          <w:sz w:val="20"/>
          <w:szCs w:val="20"/>
          <w:color w:val="1C0A14"/>
        </w:rPr>
        <w:t xml:space="preserve"> </w:t>
      </w:r>
      <w:r>
        <w:rPr>
          <w:rFonts w:ascii="Times New Roman" w:cs="Times New Roman" w:eastAsia="Times New Roman" w:hAnsi="Times New Roman"/>
          <w:sz w:val="20"/>
          <w:szCs w:val="20"/>
          <w:color w:val="000000"/>
        </w:rPr>
        <w:t>full</w:t>
      </w:r>
      <w:r>
        <w:rPr>
          <w:rFonts w:ascii="Times New Roman" w:cs="Times New Roman" w:eastAsia="Times New Roman" w:hAnsi="Times New Roman"/>
          <w:sz w:val="20"/>
          <w:szCs w:val="20"/>
          <w:color w:val="1C0A14"/>
        </w:rPr>
        <w:t>. As of</w:t>
      </w:r>
      <w:r>
        <w:rPr>
          <w:rFonts w:ascii="Times New Roman" w:cs="Times New Roman" w:eastAsia="Times New Roman" w:hAnsi="Times New Roman"/>
          <w:sz w:val="20"/>
          <w:szCs w:val="20"/>
          <w:color w:val="000000"/>
        </w:rPr>
        <w:t xml:space="preserve"> March 31, 2026, no 2026 Convertible Notes remain outstanding.</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2028 Convertible Notes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March 2021, the Company issued $250.0 million aggregate principal amount of 0.50% Convertible Notes due 2028 in a private placement to qualified institutional buyers pursuant to Rule 144A under the Securities Act (the “2028 Convertible Notes” and, together with the 2026 Convertible Notes, the “Convertible Notes”). The interest on the 2028 Convertible Notes is payable semi-annually in arrears on April 1 and October 1 of each year, beginning on October 1, 2021. The 2028 Convertible Notes will mature on April 1, 2028, unless earlier repurchased, redeemed by the Company, or converted pursuant to their terms. The total net proceeds from the 2028 Convertible Notes, after deducting initial purchaser discounts, costs related to the 2028 Capped Calls (as defined herein), and debt issuance costs, paid by the Company, were approximately $217.0 million. The excess of the principal amount of the liability component over its carrying amount, or the debt discount, was amortized to interest expense at an annual effective interest rate of 0.442% over the contractual terms of the 2028 Convertible Notes.</w:t>
      </w:r>
    </w:p>
    <w:p>
      <w:pPr>
        <w:spacing w:after="0" w:line="13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$1,000 principal amount of the 2028 Convertible Notes is initially convertible into 5.5781 shares of the Company’s Class A common stock, par value $0.001 per share, which is equivalent to an initial conversion price of approximately $179.27 per share.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During March 2026, the Company entered into separate, privately negotiated repurchase agreements with a limited number of holders of the 2028 Convertible Notes (the “2026 Repurchases”) to repurchase approximately </w:t>
      </w:r>
      <w:r>
        <w:rPr>
          <w:rFonts w:ascii="Times New Roman" w:cs="Times New Roman" w:eastAsia="Times New Roman" w:hAnsi="Times New Roman"/>
          <w:sz w:val="20"/>
          <w:szCs w:val="20"/>
          <w:color w:val="1C0A14"/>
        </w:rPr>
        <w:t>$100.0 million</w:t>
      </w:r>
      <w:r>
        <w:rPr>
          <w:rFonts w:ascii="Times New Roman" w:cs="Times New Roman" w:eastAsia="Times New Roman" w:hAnsi="Times New Roman"/>
          <w:sz w:val="20"/>
          <w:szCs w:val="20"/>
          <w:color w:val="auto"/>
        </w:rPr>
        <w:t xml:space="preserve"> aggregate principal amount of the 2028 Convertible Notes for an aggregate cash price of approximately </w:t>
      </w:r>
      <w:r>
        <w:rPr>
          <w:rFonts w:ascii="Times New Roman" w:cs="Times New Roman" w:eastAsia="Times New Roman" w:hAnsi="Times New Roman"/>
          <w:sz w:val="20"/>
          <w:szCs w:val="20"/>
          <w:color w:val="1C0A14"/>
        </w:rPr>
        <w:t>$92.0 million.</w:t>
      </w:r>
      <w:r>
        <w:rPr>
          <w:rFonts w:ascii="Times New Roman" w:cs="Times New Roman" w:eastAsia="Times New Roman" w:hAnsi="Times New Roman"/>
          <w:sz w:val="20"/>
          <w:szCs w:val="20"/>
          <w:color w:val="auto"/>
        </w:rPr>
        <w:t xml:space="preserve"> The 2026 Repurchases closed on March 4, 2026. Following the 2026 Repurchases, approximately </w:t>
      </w:r>
      <w:r>
        <w:rPr>
          <w:rFonts w:ascii="Times New Roman" w:cs="Times New Roman" w:eastAsia="Times New Roman" w:hAnsi="Times New Roman"/>
          <w:sz w:val="20"/>
          <w:szCs w:val="20"/>
          <w:color w:val="1C0A14"/>
        </w:rPr>
        <w:t>$150.0 million</w:t>
      </w:r>
      <w:r>
        <w:rPr>
          <w:rFonts w:ascii="Times New Roman" w:cs="Times New Roman" w:eastAsia="Times New Roman" w:hAnsi="Times New Roman"/>
          <w:sz w:val="20"/>
          <w:szCs w:val="20"/>
          <w:color w:val="auto"/>
        </w:rPr>
        <w:t xml:space="preserve"> aggregate principal amount of the 2028 Convertible Notes remains outstanding. The difference between the consideration used for the 2026 Repurchases and the carrying value of the 2028 Convertible Notes resulted in a gain of </w:t>
      </w:r>
      <w:r>
        <w:rPr>
          <w:rFonts w:ascii="Times New Roman" w:cs="Times New Roman" w:eastAsia="Times New Roman" w:hAnsi="Times New Roman"/>
          <w:sz w:val="20"/>
          <w:szCs w:val="20"/>
          <w:color w:val="1C0A14"/>
        </w:rPr>
        <w:t>$7.3 million</w:t>
      </w:r>
      <w:r>
        <w:rPr>
          <w:rFonts w:ascii="Times New Roman" w:cs="Times New Roman" w:eastAsia="Times New Roman" w:hAnsi="Times New Roman"/>
          <w:sz w:val="20"/>
          <w:szCs w:val="20"/>
          <w:color w:val="auto"/>
        </w:rPr>
        <w:t xml:space="preserve"> recorded within net gain on extinguishment of debt on the Company’s condensed consolidated statements of operations for the three months ended March 31, 2026. The Company had previously entered into capped call transactions with certain financial institutions in connection with the 2028 Convertible Notes. All of these transactions are expected to remain in effect notwithstanding the repurchases.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Other Terms of the 2028 Convertible Notes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2028 Convertible Notes are effectively subordinated to the Company’s future senior secured indebtedness to the extent of the value of the collateral securing that indebtedness. The 2028 Convertible Notes are the senior, unsecured obligations of the Company and are equal in right of payment with the Company’s future senior unsecured indebtedness, if any, senior in right of payment to the Company’s existing and future indebtedness that is expressly subordinated to the 2028 Convertible Notes and the 2028 Convertible Notes will be structurally subordinated to all existing and future indebtedness and other liabilities, including trade payables, and preferred equity, if any, of the Company’s subsidiaries. The 2028 Convertible Notes may bear special interest under specified circumstances relating to the Company’s failure to comply with its reporting obligations under the indenture governing the 2028 Convertible Notes (the “2028 Notes Indenture”) or if the 2028 Convertible Notes are not freely tradeable as required by the 2028 Notes Indenture.</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conversion rate is subject to adjustment upon the occurrence of certain specified events but will not be adjusted for any accrued and unpaid interest. In addition, upon the occurrence of a make-whole fundamental change (which includes the calling of any 2028 Convertible Notes for redemption), as defined in the 2028 Notes Indenture, the Company will, in certain circumstances, increase the conversion rate by a number of additional shares for a holder that elects to convert its 2028 Convertible Notes in connection with such make-whole fundamental change or during the relevant redemption period.</w:t>
      </w:r>
    </w:p>
    <w:p>
      <w:pPr>
        <w:spacing w:after="0" w:line="13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Company may redeem the 2028 Convertible Notes, in whole or in part, at its option at any time, and from time to time on or before the fortieth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scheduled trading day immediately before the maturity date, at a cash redemption price equal to 100% of the principal amount thereof, plus accrued and unpaid interest, if any, to, but excluding the redemption date, if the last reported sale price of the Class A common stock has exceeded 130% of the conversion price then in effect for at least 20 trading days (whether or not consecutive), including the trading date immediately preceding the date on which the Company provides notice of redemption, during any 30 consecutive trading days ending on, and including, the trading date immediately before the date on which the Company provides the related redemption notice. No sinking fund is provided for the 2028 Convertible Notes.</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2028 Convertible Notes will be convertible at certain times and upon the occurrence of certain events in the future. Further, on or after October 1, 2027 until the close of business on the second scheduled trading day immediately preceding the maturity date, holders of the 2028 Convertible Notes may convert all or a portion of their 2028 Convertible Notes regardless of these conditions. Upon conversion, the Company will pay or deliver, as the case may be, cash, shares of Class A common stock, or a combination of cash and shares of Class A common stock, at the Company’s election. It is the Company’s current intent to settle the principal amount of the 2028 Convertible Notes with cash.</w:t>
      </w:r>
    </w:p>
    <w:p>
      <w:pPr>
        <w:spacing w:after="0" w:line="1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During the three months ended March 31, 2026, the conditions allowing the holders of the 2028 Convertible Notes to convert were not met. The 2028 Convertible Notes may be convertible thereafter if one or more of the conversion conditions specified in its Notes Indenture is satisfied during future measurement periods.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Upon the occurrence of a fundamental change (as defined in the 2028 Notes Indenture) prior to the maturity date, holders may require the Company to repurchase all or a portion of the 2028 Convertible Notes for cash at a price equal to the principal amount of the 2028 Convertible Notes to be repurchased, plus any accrued and unpaid interest to, but excluding, the fundamental change repurchase date.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Convertible Notes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1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4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tcPr>
          <w:p>
            <w:pPr>
              <w:spacing w:after="0"/>
              <w:rPr>
                <w:sz w:val="22"/>
                <w:szCs w:val="22"/>
                <w:color w:val="auto"/>
              </w:rPr>
            </w:pPr>
          </w:p>
        </w:tc>
        <w:tc>
          <w:tcPr>
            <w:tcW w:w="286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r>
      <w:tr>
        <w:trPr>
          <w:trHeight w:val="229"/>
        </w:trPr>
        <w:tc>
          <w:tcPr>
            <w:tcW w:w="7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6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net carrying amount</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r>
      <w:tr>
        <w:trPr>
          <w:trHeight w:val="128"/>
        </w:trPr>
        <w:tc>
          <w:tcPr>
            <w:tcW w:w="40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7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7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23"/>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Convertible Notes net carrying amount</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247,562</w:t>
            </w: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amount</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255,189</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Capped Calls</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offering of the 2026 Convertible Notes and the 2028 Convertible Notes, the Company entered into privately negotiated capped call transactions with certain counterparties (the “2026 Capped Calls” and the “2028 Capped Calls,” respectively and, collectively, the “Capped Calls”). The initial strike price of the Capped Calls corresponds to the initial conversion price of the 2026 Convertible Notes and the 2028 Convertible Notes. The Capped Calls are generally intended to reduce or offset the potential dilution to the Class A common stock upon any conversion of the 2026 Convertible Notes and 2028 Convertible Notes with such reduction or offset, as the case may be, subject to a cap based on the cap price. On March 1, 2026, the 2026 Capped Calls expired, concurrently with the full settlement and satisfaction of the 2026 Convertible Notes. The 2028 Capped Calls remain outstanding as of March 31, 2026. The 2028 Capped Calls expire on the earlier of (i) the last day on which any convertible securities remain outstanding and (ii) April 1, 2028, subject to earlier exercise. The 2028 Capped Calls are subject to either adjustment or termination upon the occurrence of specified extraordinary events affecting the Company, including a merger event, a tender offer, and a nationalization, insolvency or delisting involving the Company. In addition, the 2028 Capped Calls are subject to certain specified additional disruption events that may give rise to a termination of the 2028 Capped Calls, including changes in law, insolvency filings, and hedging disruptions. The Capped Call transactions are recorded in stockholders’ equity and are not accounted for as derivatives. The net cost to purchase the Capped Calls was recorded as a reduction to additional paid-in capital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sets forth key terms and costs incurred for the 2028 Capped Calls related to the Convertible Notes as of March 31, 2026: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2028 Convertible Notes</w:t>
            </w:r>
          </w:p>
        </w:tc>
      </w:tr>
      <w:tr>
        <w:trPr>
          <w:trHeight w:val="214"/>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w:t>
            </w:r>
          </w:p>
        </w:tc>
      </w:tr>
      <w:tr>
        <w:trPr>
          <w:trHeight w:val="238"/>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per share amounts)</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approximate strike price per share, subject to certain adjustments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costs incurred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r>
      <w:tr>
        <w:trPr>
          <w:trHeight w:val="234"/>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covered, subject to anti-dilution adjustments</w:t>
            </w:r>
          </w:p>
        </w:tc>
        <w:tc>
          <w:tcPr>
            <w:tcW w:w="1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836,715</w:t>
            </w:r>
          </w:p>
        </w:tc>
      </w:tr>
    </w:tbl>
    <w:p>
      <w:pPr>
        <w:spacing w:after="0" w:line="200" w:lineRule="exact"/>
        <w:rPr>
          <w:sz w:val="20"/>
          <w:szCs w:val="20"/>
          <w:color w:val="auto"/>
        </w:rPr>
      </w:pPr>
    </w:p>
    <w:p>
      <w:pPr>
        <w:spacing w:after="0" w:line="268" w:lineRule="exact"/>
        <w:rPr>
          <w:sz w:val="20"/>
          <w:szCs w:val="20"/>
          <w:color w:val="auto"/>
        </w:rPr>
      </w:pPr>
    </w:p>
    <w:p>
      <w:pPr>
        <w:ind w:left="500" w:right="7820" w:hanging="492"/>
        <w:spacing w:after="0" w:line="417" w:lineRule="auto"/>
        <w:tabs>
          <w:tab w:leader="none" w:pos="212"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Revenue and Geographic Information </w:t>
      </w:r>
      <w:r>
        <w:rPr>
          <w:rFonts w:ascii="Times New Roman" w:cs="Times New Roman" w:eastAsia="Times New Roman" w:hAnsi="Times New Roman"/>
          <w:sz w:val="20"/>
          <w:szCs w:val="20"/>
          <w:b w:val="1"/>
          <w:bCs w:val="1"/>
          <w:i w:val="1"/>
          <w:iCs w:val="1"/>
          <w:color w:val="auto"/>
        </w:rPr>
        <w:t>Revenue</w:t>
      </w:r>
    </w:p>
    <w:p>
      <w:pPr>
        <w:spacing w:after="0" w:line="1" w:lineRule="exact"/>
        <w:rPr>
          <w:sz w:val="20"/>
          <w:szCs w:val="20"/>
          <w:color w:val="auto"/>
        </w:rPr>
      </w:pPr>
    </w:p>
    <w:p>
      <w:pPr>
        <w:ind w:right="20" w:firstLine="486"/>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Company’s revenue by geographic region, which is apportioned based on the destination of the service: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1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2"/>
                <w:szCs w:val="22"/>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151,792</w:t>
            </w: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22,449</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the three months ended March 31, 2026 and 2025, no country outside of the United States represented 10% or more of the Company’s total revenues.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Contract Assets and Liabilities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provides information about receivables and contract liabilities from contracts with customers: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0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r>
      <w:tr>
        <w:trPr>
          <w:trHeight w:val="312"/>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r>
    </w:tbl>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840" w:hanging="184"/>
        <w:spacing w:after="0" w:line="220" w:lineRule="auto"/>
        <w:tabs>
          <w:tab w:leader="none" w:pos="8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receivable, net of allowance on the condensed consolidated balance sheets.</w:t>
      </w:r>
    </w:p>
    <w:p>
      <w:pPr>
        <w:spacing w:after="0" w:line="1" w:lineRule="exact"/>
        <w:rPr>
          <w:rFonts w:ascii="Times New Roman" w:cs="Times New Roman" w:eastAsia="Times New Roman" w:hAnsi="Times New Roman"/>
          <w:sz w:val="23"/>
          <w:szCs w:val="23"/>
          <w:color w:val="auto"/>
          <w:vertAlign w:val="superscript"/>
        </w:rPr>
      </w:pPr>
    </w:p>
    <w:p>
      <w:pPr>
        <w:ind w:left="840" w:hanging="184"/>
        <w:spacing w:after="0" w:line="194" w:lineRule="auto"/>
        <w:tabs>
          <w:tab w:leader="none" w:pos="8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current portion of deferred revenue and deferred revenue, net of current portion on the condensed consolidated balance sheets.</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Deferred revenue is recorded when cash payments are received in advance of future usage on contracts. Revenue is typically recognized in the following month when service is rendered or, in the case of nonrefundable upfront fees, over the estimated period of benefit from the date the fee is incurred by the customer. Customer refundable payments are recorded as advanced billings. During the three months ended March 31, 2026, the Company recognized revenue of $2.4 million related to contract liabilities recorded at the beginning of the year.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expects to recognize $8.8 million in revenue over the next 12 months related to its contract liabilities as of March 31, 2026.</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long-lived assets by geographic region: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0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320,406</w:t>
            </w: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327,201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500" w:right="9240" w:hanging="492"/>
        <w:spacing w:after="0" w:line="447" w:lineRule="auto"/>
        <w:tabs>
          <w:tab w:leader="none" w:pos="212"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w:t>
      </w:r>
      <w:r>
        <w:rPr>
          <w:rFonts w:ascii="Times New Roman" w:cs="Times New Roman" w:eastAsia="Times New Roman" w:hAnsi="Times New Roman"/>
          <w:sz w:val="19"/>
          <w:szCs w:val="19"/>
          <w:b w:val="1"/>
          <w:bCs w:val="1"/>
          <w:i w:val="1"/>
          <w:iCs w:val="1"/>
          <w:color w:val="auto"/>
        </w:rPr>
        <w:t>Common Stock</w:t>
      </w:r>
    </w:p>
    <w:p>
      <w:pPr>
        <w:ind w:left="6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Company had reserved shares of Class A common stock for issuance under stock-based award agreements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1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0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67,297</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Nonvested restricted stock units issued and outstanding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5,045,797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5,534,657</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awards available for grant under the 2017 Plan</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4,731,708</w:t>
            </w:r>
          </w:p>
        </w:tc>
        <w:tc>
          <w:tcPr>
            <w:tcW w:w="1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3,751,786</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9,838,311</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9,353,740</w:t>
            </w:r>
          </w:p>
        </w:tc>
      </w:tr>
      <w:tr>
        <w:trPr>
          <w:trHeight w:val="20"/>
        </w:trPr>
        <w:tc>
          <w:tcPr>
            <w:tcW w:w="70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On February 19, 2026, the Company’s Board of Directors authorized a share repurchase program of up to $80.0 million of the Company’s outstanding Class A common stock, subject to market conditions, contractual restrictions and other factors. Under the share repurchase program, the Company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the Company may have for the use or investment of its capital. The program does not obligate the Company to acquire any particular amount of Class A common stock, and the program may be extended, modified, suspended or terminated at any time at the Company’s discretion.</w:t>
      </w:r>
    </w:p>
    <w:p>
      <w:pPr>
        <w:spacing w:after="0" w:line="1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During the three months ended March 31, 2026, the Company repurchased 313,936 shares of its Class A common stock at an average price of $15.93 per share, excluding commissions, for an aggregate purchase price of $5.0 million. As of March 31, 2026, approximately $75.0 million remained available for repurchases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500" w:right="8620" w:hanging="492"/>
        <w:spacing w:after="0" w:line="439" w:lineRule="auto"/>
        <w:tabs>
          <w:tab w:leader="none" w:pos="311"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Stock-Based Compensation </w:t>
      </w:r>
      <w:r>
        <w:rPr>
          <w:rFonts w:ascii="Times New Roman" w:cs="Times New Roman" w:eastAsia="Times New Roman" w:hAnsi="Times New Roman"/>
          <w:sz w:val="19"/>
          <w:szCs w:val="19"/>
          <w:b w:val="1"/>
          <w:bCs w:val="1"/>
          <w:i w:val="1"/>
          <w:iCs w:val="1"/>
          <w:color w:val="auto"/>
        </w:rPr>
        <w:t>Restricted Stock Units</w:t>
      </w:r>
    </w:p>
    <w:p>
      <w:pPr>
        <w:spacing w:after="0" w:line="1" w:lineRule="exact"/>
        <w:rPr>
          <w:rFonts w:ascii="Times New Roman" w:cs="Times New Roman" w:eastAsia="Times New Roman" w:hAnsi="Times New Roman"/>
          <w:sz w:val="19"/>
          <w:szCs w:val="19"/>
          <w:b w:val="1"/>
          <w:bCs w:val="1"/>
          <w:color w:val="auto"/>
        </w:rPr>
      </w:pPr>
    </w:p>
    <w:p>
      <w:pPr>
        <w:ind w:left="6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following summarizes the restricted stock unit (“RSU”) activity for the three months ended March 31, 2026: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2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 awards</w:t>
            </w:r>
          </w:p>
        </w:tc>
        <w:tc>
          <w:tcPr>
            <w:tcW w:w="12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grant</w:t>
            </w:r>
          </w:p>
        </w:tc>
        <w:tc>
          <w:tcPr>
            <w:tcW w:w="0" w:type="dxa"/>
            <w:vAlign w:val="bottom"/>
          </w:tcPr>
          <w:p>
            <w:pPr>
              <w:spacing w:after="0"/>
              <w:rPr>
                <w:sz w:val="1"/>
                <w:szCs w:val="1"/>
                <w:color w:val="auto"/>
              </w:rPr>
            </w:pPr>
          </w:p>
        </w:tc>
      </w:tr>
      <w:tr>
        <w:trPr>
          <w:trHeight w:val="176"/>
        </w:trPr>
        <w:tc>
          <w:tcPr>
            <w:tcW w:w="708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5,534,657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March 31, 2026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5,045,797</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As of March 31, 2026, total unrecognized compensation cost related to non-vested RSUs was $69.2 million, which will be amortized over a weighted-average period of 2.19 years.</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total stock-based compensation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1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22"/>
                <w:szCs w:val="22"/>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500" w:right="8140" w:hanging="492"/>
        <w:spacing w:after="0" w:line="447" w:lineRule="auto"/>
        <w:tabs>
          <w:tab w:leader="none" w:pos="30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Operating Leases</w:t>
      </w:r>
    </w:p>
    <w:p>
      <w:pPr>
        <w:ind w:left="660"/>
        <w:spacing w:after="0"/>
        <w:rPr>
          <w:sz w:val="20"/>
          <w:szCs w:val="20"/>
          <w:color w:val="auto"/>
        </w:rPr>
      </w:pPr>
      <w:r>
        <w:rPr>
          <w:rFonts w:ascii="Times New Roman" w:cs="Times New Roman" w:eastAsia="Times New Roman" w:hAnsi="Times New Roman"/>
          <w:sz w:val="20"/>
          <w:szCs w:val="20"/>
          <w:color w:val="auto"/>
        </w:rPr>
        <w:t>The Company leases office space under non-cancelable operating lease agreements that expire on various dates through July 2043.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As of March 31, 2026, the Company has </w:t>
      </w:r>
      <w:r>
        <w:rPr>
          <w:rFonts w:ascii="Times New Roman" w:cs="Times New Roman" w:eastAsia="Times New Roman" w:hAnsi="Times New Roman"/>
          <w:sz w:val="20"/>
          <w:szCs w:val="20"/>
          <w:color w:val="231F20"/>
        </w:rPr>
        <w:t>$447.0 million</w:t>
      </w:r>
      <w:r>
        <w:rPr>
          <w:rFonts w:ascii="Times New Roman" w:cs="Times New Roman" w:eastAsia="Times New Roman" w:hAnsi="Times New Roman"/>
          <w:sz w:val="20"/>
          <w:szCs w:val="20"/>
          <w:color w:val="auto"/>
        </w:rPr>
        <w:t xml:space="preserve"> in future minimum rent payments for its office space.</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6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As of March 31, 2026, the Company has $20.0 million in non-cancellable purchase obligations, consisting of primarily network equipment maintenance and software license contracts, of which $8.8 million will be fulfilled within one year.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is subject to certain legal proceedings described below, and from time to time may be subject to legal matters arising in the ordinary course of business. Where it is determined that a loss is probable and estimable in a given matter, the Company establishes an accrual. Any amounts accrued as of the balance sheet date are not material in any of the currently pending matters. In management’s opinion, the Company does not expect that the ultimate resolution of any currently pending legal matter in future periods will have a material effect on our financial condition, but could have a material effect on our results of operations for a given reporting period.</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On July 10, 2025, the City and County of San Francisco Tax Collector (“City of San Francisco”) issued a Corrected Tax Collector Decision on Petition for Redetermination to Bandwidth, asserting an Access Line Tax (“ALT”) deficiency in the amount of $3.8 million. The Company disputes the City of San Francisco’s application of the ALT to Bandwidth as well as the amount of the deficiency. On July 25, 2025, the Company paid and placed on deposit the amount under protest, as required by law. On August 7, 2025, Bandwidth filed a Claim for Refund with the City of San Francisco seeking a refund of the full amount. The Company to date has been unable to resolve the Claim for Refund with the City of San Francisco, and on December 31, 2025 the Company filed a Complaint for Refund challenging the assessment in the Superior Court of the State of California. The City of San Francisco answered the Complaint for Refund on March 27, 2026. The Company believes it has meritorious arguments that support a refund of the full amount.</w:t>
      </w:r>
    </w:p>
    <w:p>
      <w:pPr>
        <w:spacing w:after="0" w:line="12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is also involved as a defendant in a lawsuit alleging that the Company failed to bill, collect and remit certain taxes and surcharges associated with the provision of 911 services in Cook and Kane Counties, Illinois, the City of Chicago, Illinois, and the State of Illinois. The Company intends to vigorously defend this lawsuit and believes that it has meritorious defenses.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Reporting</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manages its business activities on a consolidated basis and operates in one operating segment. Operating segments are defined as components of an enterprise for which separate financial information is available and evaluated regularly by the Chief Operating Decision Maker (the “CODM”) in deciding how to make operating decisions, allocate resources and in assessing performance. The Company’s CODM is its Chief Executive Officer. The CODM utilizes the Company’s budgeted and forecasted expense information as a key input to resource allocation. The CODM makes decisions on resource allocation, assesses performance of the business and monitors budget versus actual results using net income (loss), as reported in the accompanying condensed consolidated statements of operations.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Significant expenses within net income (loss) include cost of revenue, research and development, sales and marketing, and general and administrative expenses, which are each separately presented on the Company’s condensed consolidated statements of operations. Other segment items within net income (loss) include net gain on extinguishment of debt, interest expense, net, other income, net and income tax benefit.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international, and state income taxes and the permanent impacts of differences in book and tax accounting.</w:t>
      </w:r>
    </w:p>
    <w:p>
      <w:pPr>
        <w:spacing w:after="0" w:line="1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recognized an income tax benefit of $1.5 million for the three months ended March 31, 2026, an increase of $1.5 million when compared to the same period in 2025. The resulting effective tax rate for the three months ended March 31, 2026 was (58.9)%, compared with 1.8% for the three months ended March 31, 2025.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increase in tax benefit was primarily due to favorable U.S. federal and state tax law changes as a result of the One Big Beautiful Bill Act (“OBBBA”).</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Company’s accounting for deferred taxes involves the evaluation of a number of factors concerning the realizability of its net deferred tax assets. The Company primarily considered its historic performance, the nature of its deferred tax assets and the timing, likelihood and amount, if any, of future taxable income during the periods in which those temporary differences and carryforwards become deductible. Based on an analysis of these factors, the Company determined that as of March 31, 2026, a valuation allowance against U.S. federal and state deferred tax assets was required.</w:t>
      </w:r>
    </w:p>
    <w:p>
      <w:pPr>
        <w:spacing w:after="0" w:line="13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Company’s effective tax rate for the three months ended March 31, 2026 differed from the federal statutory tax rate of 21% in the U.S. primarily due to a valuation allowance recorded against U.S. federal and state net deferred tax assets.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Basic Income (Loss) and Diluted Loss per Common Share</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Basic net income (loss) per share is computed by dividing net income (loss) by the weighted-average number of shares of common stock outstanding during the period. Diluted net loss per share is computed by giving effect to all potential shares of common stock, including stock options and stock related to unvested restricted stock awards. The Company is in a net loss position for the three months ended March 31, 2025, and therefore diluted shares equals basic shares.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basic income (loss) and diluted loss per share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080" w:type="dxa"/>
            <w:vAlign w:val="bottom"/>
          </w:tcPr>
          <w:p>
            <w:pPr>
              <w:spacing w:after="0"/>
              <w:rPr>
                <w:sz w:val="22"/>
                <w:szCs w:val="22"/>
                <w:color w:val="auto"/>
              </w:rPr>
            </w:pPr>
          </w:p>
        </w:tc>
        <w:tc>
          <w:tcPr>
            <w:tcW w:w="41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148"/>
        </w:trPr>
        <w:tc>
          <w:tcPr>
            <w:tcW w:w="7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used to compute net income (loss) per share: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7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gain on extinguishment of debt, net of taxes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Interest expense on convertible notes, net of taxes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129"/>
        </w:trPr>
        <w:tc>
          <w:tcPr>
            <w:tcW w:w="7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31,681,879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28,982,432</w:t>
            </w:r>
          </w:p>
        </w:tc>
      </w:tr>
      <w:tr>
        <w:trPr>
          <w:trHeight w:val="230"/>
        </w:trPr>
        <w:tc>
          <w:tcPr>
            <w:tcW w:w="7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1,275,955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32,957,834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28,982,432</w:t>
            </w:r>
          </w:p>
        </w:tc>
      </w:tr>
    </w:tbl>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right="20" w:firstLine="656"/>
        <w:spacing w:after="0" w:line="236" w:lineRule="auto"/>
        <w:tabs>
          <w:tab w:leader="none" w:pos="829"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income is adjusted for the reversal of the net gain on extinguishment of debt and add back of interest expense as part of the calculation for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200" w:lineRule="exact"/>
        <w:rPr>
          <w:sz w:val="20"/>
          <w:szCs w:val="20"/>
          <w:color w:val="auto"/>
        </w:rPr>
      </w:pPr>
    </w:p>
    <w:p>
      <w:pPr>
        <w:spacing w:after="0" w:line="33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following common share equivalents were excluded from the weighted average shares used to calculate diluted net loss per common share because their effects would have been anti-dilutive:</w:t>
      </w:r>
    </w:p>
    <w:p>
      <w:pPr>
        <w:spacing w:after="0" w:line="13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78,313</w:t>
            </w:r>
          </w:p>
        </w:tc>
      </w:tr>
      <w:tr>
        <w:trPr>
          <w:trHeight w:val="230"/>
        </w:trPr>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5,045,797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3,954,231</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1,658,767</w:t>
            </w:r>
          </w:p>
        </w:tc>
      </w:tr>
      <w:tr>
        <w:trPr>
          <w:trHeight w:val="22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5,106,603</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5,691,311</w:t>
            </w:r>
          </w:p>
        </w:tc>
      </w:tr>
      <w:tr>
        <w:trPr>
          <w:trHeight w:val="21"/>
        </w:trPr>
        <w:tc>
          <w:tcPr>
            <w:tcW w:w="7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 global communications transformation is underway, and we believe Bandwidth is at the center. Our mission is to develop and deliver the power to communicate. We enable innovative organizations—from startup app developers to the world’s largest enterprises—to engage their end-users and deliver exceptional experiences everywhere people live, learn, work, and play. Backed by the Bandwidth Communications Cloud, our global owned-and-operated network spanning more than 65 countries reaching over 90 percent of global gross domestic product (“GDP”), innovative enterprises use Bandwidth’s Application Programming Interfaces (“APIs”) to easily embed voice, messaging, emergency services, and artificial intelligence (“AI”) capabilities into software and applications. Bandwidth was the first cloud communications provider to offer a robust selection of APIs built on our own cloud platform. Our award-winning support teams help businesses around the world transform their communications every day.</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Bandwidth is strategically positioned at the intersection of enterprise communications and AI. As global enterprises adopt AI-driven tools to modernize customer experiences, we believe AI voice will become a critical new layer of value creation. Our Maestro™ platform and Communications Cloud are designed to support this evolution, enabling the orchestration of AI voice agents across diverse environments with superior quality, reliability, and scale. We see our emerging leadership in AI Voice as a natural extension of our long-term strategy to power trusted, mission-critical communications for the world’s largest enterprises.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Bandwidth’s business continues to benefit from the application of AI technologies to cloud communications use cases, the enterprise migration to the cloud, adoption of Contact Center as a Service platforms, the need to be able to work from anywhere, the reinvention of customer experience, and the growth in messaging applications to engage directly with consumers. We believe these market trends are secular, long-lasting, and still early in the adoption curve.</w:t>
      </w:r>
    </w:p>
    <w:p>
      <w:pPr>
        <w:spacing w:after="0" w:line="118" w:lineRule="exact"/>
        <w:rPr>
          <w:sz w:val="20"/>
          <w:szCs w:val="20"/>
          <w:color w:val="auto"/>
        </w:rPr>
      </w:pPr>
    </w:p>
    <w:p>
      <w:pPr>
        <w:jc w:val="both"/>
        <w:ind w:firstLine="648"/>
        <w:spacing w:after="0" w:line="243" w:lineRule="exact"/>
        <w:rPr>
          <w:sz w:val="20"/>
          <w:szCs w:val="20"/>
          <w:color w:val="auto"/>
        </w:rPr>
      </w:pPr>
      <w:r>
        <w:rPr>
          <w:rFonts w:ascii="Times New Roman" w:cs="Times New Roman" w:eastAsia="Times New Roman" w:hAnsi="Times New Roman"/>
          <w:sz w:val="20"/>
          <w:szCs w:val="20"/>
          <w:color w:val="auto"/>
        </w:rPr>
        <w:t>With the combination of our software APIs, our global Communications Cloud, our AI orchestration capabilities, and our broad range of experience with global regulatory frameworks, we believe Bandwidth is one of the best-positioned providers in our space to deliver mission-critical communications for global enterprises. In fact, Bandwidth already powers all the 2025 Gartner</w:t>
      </w:r>
      <w:r>
        <w:rPr>
          <w:rFonts w:ascii="MS PGothic" w:cs="MS PGothic" w:eastAsia="MS PGothic" w:hAnsi="MS PGothic"/>
          <w:sz w:val="25"/>
          <w:szCs w:val="25"/>
          <w:color w:val="auto"/>
          <w:vertAlign w:val="superscript"/>
        </w:rPr>
        <w:t>Ⓡ</w:t>
      </w:r>
      <w:r>
        <w:rPr>
          <w:rFonts w:ascii="Times New Roman" w:cs="Times New Roman" w:eastAsia="Times New Roman" w:hAnsi="Times New Roman"/>
          <w:sz w:val="20"/>
          <w:szCs w:val="20"/>
          <w:color w:val="auto"/>
        </w:rPr>
        <w:t xml:space="preserve"> Magic Quadrant Leaders in the key cloud communications categories of Unified Communications as a Service (“UCaaS”) and Contact Center as a Service (“CCaaS”), along with leading hyperscalers and Software as a Service (“SaaS”) platforms.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aim to be the key enabling platform for communications transformation in the AI era. We will seek to do this in three ways: (1) cross-sell and up-sell our existing customers as they benefit from our global footprint, powerful APIs, and AI orchestration capabilities to automate and scale cloud communications; (2) focus on direct-to-enterprise growth to serve Global 2000 enterprises that directly leverage Bandwidth services to accelerate their digital transformations; and (3) be the preferred provider for enterprises and SaaS platforms that use conversational voice and messaging to create digital engagements that enhance the customer experience. These three strategies are the foundation of the durable business we seek to build.</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 xml:space="preserve">For the three months ended March 31, 2026 and 2025, total revenue was $209 million and $174 million, respectively, representing an increase of </w:t>
      </w:r>
      <w:r>
        <w:rPr>
          <w:rFonts w:ascii="Times New Roman" w:cs="Times New Roman" w:eastAsia="Times New Roman" w:hAnsi="Times New Roman"/>
          <w:sz w:val="20"/>
          <w:szCs w:val="20"/>
          <w:color w:val="000000"/>
        </w:rPr>
        <w:t>20% between periods.</w:t>
      </w:r>
      <w:r>
        <w:rPr>
          <w:rFonts w:ascii="Times New Roman" w:cs="Times New Roman" w:eastAsia="Times New Roman" w:hAnsi="Times New Roman"/>
          <w:sz w:val="20"/>
          <w:szCs w:val="20"/>
          <w:color w:val="231F20"/>
        </w:rPr>
        <w:t xml:space="preserve"> For the three months ended March 31, 2026 and 2025, n</w:t>
      </w:r>
      <w:r>
        <w:rPr>
          <w:rFonts w:ascii="Times New Roman" w:cs="Times New Roman" w:eastAsia="Times New Roman" w:hAnsi="Times New Roman"/>
          <w:sz w:val="20"/>
          <w:szCs w:val="20"/>
          <w:color w:val="000000"/>
        </w:rPr>
        <w:t>et income was</w:t>
      </w:r>
      <w:r>
        <w:rPr>
          <w:rFonts w:ascii="Times New Roman" w:cs="Times New Roman" w:eastAsia="Times New Roman" w:hAnsi="Times New Roman"/>
          <w:sz w:val="20"/>
          <w:szCs w:val="20"/>
          <w:color w:val="231F20"/>
        </w:rPr>
        <w:t xml:space="preserve"> $4 million and n</w:t>
      </w:r>
      <w:r>
        <w:rPr>
          <w:rFonts w:ascii="Times New Roman" w:cs="Times New Roman" w:eastAsia="Times New Roman" w:hAnsi="Times New Roman"/>
          <w:sz w:val="20"/>
          <w:szCs w:val="20"/>
          <w:color w:val="000000"/>
        </w:rPr>
        <w:t>et loss was</w:t>
      </w:r>
      <w:r>
        <w:rPr>
          <w:rFonts w:ascii="Times New Roman" w:cs="Times New Roman" w:eastAsia="Times New Roman" w:hAnsi="Times New Roman"/>
          <w:sz w:val="20"/>
          <w:szCs w:val="20"/>
          <w:color w:val="231F20"/>
        </w:rPr>
        <w:t xml:space="preserve"> $4 million, respectively.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February 2026, our board of directors authorized a share repurchase program to repurchase up to $80.0 million in aggregate value of our Class A common stock, subject to market conditions, contractual restrictions and other factors. The repurchases may be made from time to time at the discretion of management through open market purchases, block trades, privately negotiated transactions, Rule 10b5-1 plans or other means.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During the three months ended March 31, 2026, we repurchased 313,936 shares of our Class A common stock at an average price of $15.93 per share, excluding commissions, for an aggregate purchase price of $5 million. As of March 31, 2026, approximately $75 million remained available for repurchases under the share repurchase program.</w:t>
      </w: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Repurchase of 2026 and 2028 Convertible Notes</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On March 1, 2026, the 2026 Convertible Notes matured and the related 2026 Capped Calls expired. The aggregate remaining outstanding principal amount of </w:t>
      </w:r>
      <w:r>
        <w:rPr>
          <w:rFonts w:ascii="Times New Roman" w:cs="Times New Roman" w:eastAsia="Times New Roman" w:hAnsi="Times New Roman"/>
          <w:sz w:val="20"/>
          <w:szCs w:val="20"/>
          <w:color w:val="1C0A14"/>
        </w:rPr>
        <w:t>$7.6 million of 2026 Convertible Notes</w:t>
      </w:r>
      <w:r>
        <w:rPr>
          <w:rFonts w:ascii="Times New Roman" w:cs="Times New Roman" w:eastAsia="Times New Roman" w:hAnsi="Times New Roman"/>
          <w:sz w:val="20"/>
          <w:szCs w:val="20"/>
          <w:color w:val="auto"/>
        </w:rPr>
        <w:t>, along with all accrued and unpaid interest, was settled in full in cash. As of March 31, 2026, no 2026 Convertible Notes remain outstanding.</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During March 2026, we entered into separate, privately negotiated repurchase agreements with a limited number of holders of the 2028 Convertible Notes (the “2026 Repurchases”) to repurchase approximately $100 million aggregate principal amount of the 2028 Convertible Notes for an aggregate cash price of approximately $92 million. The 2026 Repurchases closed on March 4, 2026. Following the 2026 Repurchases, approximately $150 million aggregate principal amount of the 2028 Convertible Notes remains outstanding.</w:t>
      </w:r>
    </w:p>
    <w:p>
      <w:pPr>
        <w:spacing w:after="0" w:line="13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difference between the consideration used for the 2026 Repurchases and the carrying value of the 2028 Convertible Notes resulted in a gain of $7 million recorded within net gain on extinguishment of debt on our consolidated statements of operations for the three months ended March 31, 2026.</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monitor the following key performance indicator to help us evaluate our business, identify trends affecting our business, formulate business plans, and make strategic decisions.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Net Retention Rate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believe net retention rate is useful in evaluating our business. For the three months ended March 31, 2026 and 2025, our net retention rate was 102% and 116%, respectively. The decrease in our net retention rate was driven by less political messaging over the previous four quarters relative to the prior year.</w:t>
      </w:r>
    </w:p>
    <w:p>
      <w:pPr>
        <w:spacing w:after="0" w:line="1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231F20"/>
        </w:rPr>
        <w:t>Our ability to drive growth and generate incremental revenue depends, in part, on our ability to maintain and grow our relationships with our existing customers that generated revenue and seek to increase their use of our platform. We track our performance in this area by measuring the net retention rate for our customers who generate revenue. To calculate the net retention rate, we first identify the cohort of customers that generated revenue in the same quarter of the prior year. The net retention rate is obtained by dividing the revenue generated from that cohort in a quarter, by the revenue generated from that same cohort in the corresponding quarter in the prior year. The net retention rate reported in a quarter is then obtained by averaging the result from that quarter, by the corresponding results from each of the prior three quarters. Customers of acquired businesses are included in the subsequent year</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s calendar quarter of acquisition. Our net retention rate increases when such customers increase usage of a product, extend usage of a product to new applications or adopt a new product. Our net retention rate decreases when such customers cease or reduce usage of a product or when we lower prices on our solutions.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our customers grow their businesses and increase usage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this new customer is tied to, and revenue from this new customer is included with, the original customer for the purposes of calculating this metric.</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Components of Statements of Operations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Cloud communications revenue is derived from (i) reoccurring sources such as per minute voice usage and voice calling, per text message usage and other usage services and fees, and (ii) monthly recurring charges arising from phone number services, 911-enabled phone number services, messaging services, software services and other services. Messaging surcharge revenue is derived from fees imposed by certain carriers within the messaging ecosystem, which are subsequently invoiced and passed through to customers.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2026 and 2025, we generated 74% and 73%, respectively, of our cloud communications revenue from reoccurring sources. The large bulk of our remaining cloud communications revenue is generated from recurring monthly charges.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recognize accounts receivable at the time the customer is invoiced. Additionally, we record a receivable for unbilled revenue if services have been delivered and are billable in subsequent periods. Unbilled revenue made up 61% and 57%, of outstanding accounts receivable, net of allowance, as of March 31, 2026 and 2025, respectively.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231F20"/>
        </w:rPr>
        <w:t>Cost of revenue consists of fees paid to other network service providers, network operations costs, personnel costs, allocated costs of facilities and information technology, amortization of acquired technology intangibles and depreciation.</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Fees paid to other network service providers arise when we purchase services such as minutes of use, phone numbers, messages, porting of customer numbers and network circuits.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Network operations costs are incurred for web services and cloud infrastructure, capacity planning and management, software licenses, hardware and software maintenance fees, customer support and network-related facility rents.</w:t>
      </w:r>
    </w:p>
    <w:p>
      <w:pPr>
        <w:spacing w:after="0" w:line="1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231F20"/>
        </w:rPr>
        <w:t>Personnel costs (including non-cash stock-based compensation expenses) arise for employees who are responsible for the delivery of services and the operations and maintenance of the communications network.</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231F20"/>
        </w:rPr>
        <w:t>Gross margin is calculated by subtracting cost of revenue from revenue, divided by revenue, expressed as a percentage. Our cost of revenue and gross margin have been, and will continue to be, affected by several factors, including the timing and extent of our investments in our network, our ability to manage off-network minutes of use and messaging costs, changes to the mix or amount of personnel-related costs included in our cost of revenue, the product mix of revenue, the timing of amortization of capitalized software development costs and fluctuations in the price we charge our customers for services.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 driven by the growth in our business.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22222"/>
        </w:rPr>
        <w:t>R</w:t>
      </w:r>
      <w:r>
        <w:rPr>
          <w:rFonts w:ascii="Times New Roman" w:cs="Times New Roman" w:eastAsia="Times New Roman" w:hAnsi="Times New Roman"/>
          <w:sz w:val="20"/>
          <w:szCs w:val="20"/>
          <w:color w:val="231F20"/>
        </w:rPr>
        <w:t>esearch and development expenses consist of salaries and related personnel costs for the design, development, testing and</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231F20"/>
        </w:rPr>
        <w:t>enhancement of our cloud network and software products. Research and development expenses include depreciation and allocated costs of facilities and information technology utilized by our research and development staff.</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Sales and Marketing</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222222"/>
        </w:rPr>
        <w:t>S</w:t>
      </w:r>
      <w:r>
        <w:rPr>
          <w:rFonts w:ascii="Times New Roman" w:cs="Times New Roman" w:eastAsia="Times New Roman" w:hAnsi="Times New Roman"/>
          <w:sz w:val="19"/>
          <w:szCs w:val="19"/>
          <w:color w:val="000000"/>
        </w:rPr>
        <w:t>ales and marketing expenses consist of salaries and related personnel costs, commissions, and costs related to advertising,</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19"/>
          <w:szCs w:val="19"/>
          <w:color w:val="000000"/>
        </w:rPr>
        <w:t>marketing, brand awareness activities, sales support and professional services fees, and customer billing and collections functions. Sales and marketing expenses include depreciation, amortization of acquired customer relationship intangible assets, and allocated costs of facilities and information technology utilized by our sales and marketing staff.</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222222"/>
        </w:rPr>
        <w:t>General and administrative expenses consist of salaries and related personnel costs for accounting, legal, human resources, corporate, and other administrative and compliance functions. General and administrative expenses include depreciation, expenditures for third party professional services, and allocated costs of facilities and information technology utilized by our corporate and administrative staff.</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2026 and 2025, our effective tax rate was (58.9)% and 1.8%, respectively. For the three months ended March 31, 2026 and 2025, our income tax benefit was $2 million and less than $1 million, respectively. The increase in tax benefit is primarily due to favorable U.S. federal and state tax law changes as a result of the One Big Beautiful Bill Act (“OBBBA”).</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March 31, 2026, we continue to maintain a valuation allowance against our U.S. federal and state net deferred tax assets.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 xml:space="preserve">The following table sets forth selected </w:t>
      </w:r>
      <w:r>
        <w:rPr>
          <w:rFonts w:ascii="Times New Roman" w:cs="Times New Roman" w:eastAsia="Times New Roman" w:hAnsi="Times New Roman"/>
          <w:sz w:val="20"/>
          <w:szCs w:val="20"/>
          <w:color w:val="000000"/>
        </w:rPr>
        <w:t>condensed consolidated</w:t>
      </w:r>
      <w:r>
        <w:rPr>
          <w:rFonts w:ascii="Times New Roman" w:cs="Times New Roman" w:eastAsia="Times New Roman" w:hAnsi="Times New Roman"/>
          <w:sz w:val="20"/>
          <w:szCs w:val="20"/>
          <w:color w:val="231F20"/>
        </w:rPr>
        <w:t xml:space="preserve"> statements of operations data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1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174,241</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77,914</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71,512</w:t>
            </w: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26,456</w:t>
            </w: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30"/>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0"/>
          <w:szCs w:val="20"/>
          <w:color w:val="auto"/>
        </w:rPr>
        <w:t xml:space="preserve">The following table sets forth </w:t>
      </w:r>
      <w:r>
        <w:rPr>
          <w:rFonts w:ascii="Times New Roman" w:cs="Times New Roman" w:eastAsia="Times New Roman" w:hAnsi="Times New Roman"/>
          <w:sz w:val="20"/>
          <w:szCs w:val="20"/>
          <w:color w:val="231F20"/>
        </w:rPr>
        <w:t>selected</w:t>
      </w:r>
      <w:r>
        <w:rPr>
          <w:rFonts w:ascii="Times New Roman" w:cs="Times New Roman" w:eastAsia="Times New Roman" w:hAnsi="Times New Roman"/>
          <w:sz w:val="20"/>
          <w:szCs w:val="20"/>
          <w:color w:val="auto"/>
        </w:rPr>
        <w:t xml:space="preserve"> condensed consolidated </w:t>
      </w:r>
      <w:r>
        <w:rPr>
          <w:rFonts w:ascii="Times New Roman" w:cs="Times New Roman" w:eastAsia="Times New Roman" w:hAnsi="Times New Roman"/>
          <w:sz w:val="20"/>
          <w:szCs w:val="20"/>
          <w:color w:val="231F20"/>
        </w:rPr>
        <w:t>statements of operations data</w:t>
      </w:r>
      <w:r>
        <w:rPr>
          <w:rFonts w:ascii="Times New Roman" w:cs="Times New Roman" w:eastAsia="Times New Roman" w:hAnsi="Times New Roman"/>
          <w:sz w:val="20"/>
          <w:szCs w:val="20"/>
          <w:color w:val="auto"/>
        </w:rPr>
        <w:t xml:space="preserve"> as a percentage of our total revenue for the periods presented. *</w:t>
      </w:r>
    </w:p>
    <w:p>
      <w:pPr>
        <w:spacing w:after="0" w:line="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8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8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8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8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Columns may not foot due to rounding.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the three months ended March 31, 2026 and 2025</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2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3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communications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3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Messaging surcharges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208,784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three months ended March 31, 2026, our cloud communications revenue increased by $17 million, or 13%, compared with</w:t>
      </w:r>
    </w:p>
    <w:p>
      <w:pPr>
        <w:spacing w:after="0" w:line="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the same period in 2025. Within cloud communications revenue, our Global Voice Plans revenue grew by 12% and was driven by higher voice traffic on our network. Our Programmable Messaging revenue increased by 15% largely from higher civic engagement related</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commercial messaging during the quarter. Our Enterprise Voice revenue grew by 14%, reflecting strong momentum as customers increasingly choose Maestro for its flexibility and vendor-agnostic UCaaS/CCaaS model.</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2026, our messaging surcharges revenue increased by $18 million</w:t>
      </w:r>
      <w:r>
        <w:rPr>
          <w:rFonts w:ascii="Times New Roman" w:cs="Times New Roman" w:eastAsia="Times New Roman" w:hAnsi="Times New Roman"/>
          <w:sz w:val="20"/>
          <w:szCs w:val="20"/>
          <w:color w:val="231F20"/>
        </w:rPr>
        <w:t>, or</w:t>
      </w:r>
      <w:r>
        <w:rPr>
          <w:rFonts w:ascii="Times New Roman" w:cs="Times New Roman" w:eastAsia="Times New Roman" w:hAnsi="Times New Roman"/>
          <w:sz w:val="20"/>
          <w:szCs w:val="20"/>
          <w:color w:val="auto"/>
        </w:rPr>
        <w:t xml:space="preserve"> 44%, compared with the same period in 2025. This increase was primarily driven by higher civic engagement related commercial messaging and higher surcharge fees imposed by certain carriers within the messaging ecosystem.</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2026, our average annual customer revenue was $0.2 million, which increased by 7% compared with the same period in 2025, as a result of our strategy to attract and retain larger customers who provide revenue scale and enhanced profitability.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3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130,870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102,729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77,914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71,512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For the three months ended March 31, 2026, total cost of revenue increased by $28 million, compared with the same period in </w:t>
      </w:r>
      <w:r>
        <w:rPr>
          <w:rFonts w:ascii="Times New Roman" w:cs="Times New Roman" w:eastAsia="Times New Roman" w:hAnsi="Times New Roman"/>
          <w:sz w:val="20"/>
          <w:szCs w:val="20"/>
          <w:color w:val="231F20"/>
        </w:rPr>
        <w:t>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driven by higher pass-through messaging surcharges of </w:t>
      </w:r>
      <w:r>
        <w:rPr>
          <w:rFonts w:ascii="Times New Roman" w:cs="Times New Roman" w:eastAsia="Times New Roman" w:hAnsi="Times New Roman"/>
          <w:sz w:val="20"/>
          <w:szCs w:val="20"/>
          <w:color w:val="000000"/>
        </w:rPr>
        <w:t>$18 million primarily from carrier surcharge rate increases.</w:t>
      </w:r>
      <w:r>
        <w:rPr>
          <w:rFonts w:ascii="Times New Roman" w:cs="Times New Roman" w:eastAsia="Times New Roman" w:hAnsi="Times New Roman"/>
          <w:sz w:val="20"/>
          <w:szCs w:val="20"/>
          <w:color w:val="231F20"/>
        </w:rPr>
        <w:t xml:space="preserve"> The </w:t>
      </w:r>
      <w:r>
        <w:rPr>
          <w:rFonts w:ascii="Times New Roman" w:cs="Times New Roman" w:eastAsia="Times New Roman" w:hAnsi="Times New Roman"/>
          <w:sz w:val="20"/>
          <w:szCs w:val="20"/>
          <w:color w:val="000000"/>
        </w:rPr>
        <w:t>combination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changes in total revenue and total cost of revenue yielded an increase in total gross profit of $6 million, or 9% </w:t>
      </w:r>
      <w:r>
        <w:rPr>
          <w:rFonts w:ascii="Times New Roman" w:cs="Times New Roman" w:eastAsia="Times New Roman" w:hAnsi="Times New Roman"/>
          <w:sz w:val="20"/>
          <w:szCs w:val="20"/>
          <w:color w:val="231F20"/>
        </w:rPr>
        <w:t>f</w:t>
      </w:r>
      <w:r>
        <w:rPr>
          <w:rFonts w:ascii="Times New Roman" w:cs="Times New Roman" w:eastAsia="Times New Roman" w:hAnsi="Times New Roman"/>
          <w:sz w:val="20"/>
          <w:szCs w:val="20"/>
          <w:color w:val="000000"/>
        </w:rPr>
        <w:t xml:space="preserve">rom the same period in </w:t>
      </w:r>
      <w:r>
        <w:rPr>
          <w:rFonts w:ascii="Times New Roman" w:cs="Times New Roman" w:eastAsia="Times New Roman" w:hAnsi="Times New Roman"/>
          <w:sz w:val="20"/>
          <w:szCs w:val="20"/>
          <w:color w:val="231F20"/>
        </w:rPr>
        <w:t>2025,</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driven by ongoing efficiencies and improved unit economics as we successfully scale larger volumes of voice traffic on our network.</w:t>
      </w:r>
    </w:p>
    <w:p>
      <w:pPr>
        <w:spacing w:after="0" w:line="11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For the three months ended March 31, 2026, o</w:t>
      </w:r>
      <w:r>
        <w:rPr>
          <w:rFonts w:ascii="Times New Roman" w:cs="Times New Roman" w:eastAsia="Times New Roman" w:hAnsi="Times New Roman"/>
          <w:sz w:val="20"/>
          <w:szCs w:val="20"/>
          <w:color w:val="231F20"/>
        </w:rPr>
        <w:t>ur total gross margin percentage of</w:t>
      </w:r>
      <w:r>
        <w:rPr>
          <w:rFonts w:ascii="Times New Roman" w:cs="Times New Roman" w:eastAsia="Times New Roman" w:hAnsi="Times New Roman"/>
          <w:sz w:val="20"/>
          <w:szCs w:val="20"/>
          <w:color w:val="auto"/>
        </w:rPr>
        <w:t xml:space="preserve"> 37% decreas</w:t>
      </w:r>
      <w:r>
        <w:rPr>
          <w:rFonts w:ascii="Times New Roman" w:cs="Times New Roman" w:eastAsia="Times New Roman" w:hAnsi="Times New Roman"/>
          <w:sz w:val="20"/>
          <w:szCs w:val="20"/>
          <w:color w:val="231F20"/>
        </w:rPr>
        <w:t>ed by</w:t>
      </w:r>
      <w:r>
        <w:rPr>
          <w:rFonts w:ascii="Times New Roman" w:cs="Times New Roman" w:eastAsia="Times New Roman" w:hAnsi="Times New Roman"/>
          <w:sz w:val="20"/>
          <w:szCs w:val="20"/>
          <w:color w:val="auto"/>
        </w:rPr>
        <w:t xml:space="preserve"> 4%, compared with the same period in 2025, driven by higher pass-through messaging surcharges w</w:t>
      </w:r>
      <w:r>
        <w:rPr>
          <w:rFonts w:ascii="Times New Roman" w:cs="Times New Roman" w:eastAsia="Times New Roman" w:hAnsi="Times New Roman"/>
          <w:sz w:val="20"/>
          <w:szCs w:val="20"/>
          <w:color w:val="231F20"/>
        </w:rPr>
        <w:t>ithin the total revenue mix.</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60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4"/>
        </w:trPr>
        <w:tc>
          <w:tcPr>
            <w:tcW w:w="4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76,199</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
        </w:trPr>
        <w:tc>
          <w:tcPr>
            <w:tcW w:w="4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 xml:space="preserve">As a percentage of revenue, total operating expenses for the three months ended March 31, 2026 and 2025 were </w:t>
      </w:r>
      <w:r>
        <w:rPr>
          <w:rFonts w:ascii="Times New Roman" w:cs="Times New Roman" w:eastAsia="Times New Roman" w:hAnsi="Times New Roman"/>
          <w:sz w:val="20"/>
          <w:szCs w:val="20"/>
          <w:color w:val="000000"/>
        </w:rPr>
        <w:t>40% and 44%,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respectively.</w:t>
      </w:r>
    </w:p>
    <w:p>
      <w:pPr>
        <w:spacing w:after="0" w:line="9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For the three months ended March 31, 2026, </w:t>
      </w:r>
      <w:r>
        <w:rPr>
          <w:rFonts w:ascii="Times New Roman" w:cs="Times New Roman" w:eastAsia="Times New Roman" w:hAnsi="Times New Roman"/>
          <w:sz w:val="20"/>
          <w:szCs w:val="20"/>
          <w:color w:val="231F20"/>
        </w:rPr>
        <w:t>research and development expenses</w:t>
      </w:r>
      <w:r>
        <w:rPr>
          <w:rFonts w:ascii="Times New Roman" w:cs="Times New Roman" w:eastAsia="Times New Roman" w:hAnsi="Times New Roman"/>
          <w:sz w:val="20"/>
          <w:szCs w:val="20"/>
          <w:color w:val="auto"/>
        </w:rPr>
        <w:t xml:space="preserve"> increased </w:t>
      </w:r>
      <w:r>
        <w:rPr>
          <w:rFonts w:ascii="Times New Roman" w:cs="Times New Roman" w:eastAsia="Times New Roman" w:hAnsi="Times New Roman"/>
          <w:sz w:val="20"/>
          <w:szCs w:val="20"/>
          <w:color w:val="231F20"/>
        </w:rPr>
        <w:t>by</w:t>
      </w:r>
      <w:r>
        <w:rPr>
          <w:rFonts w:ascii="Times New Roman" w:cs="Times New Roman" w:eastAsia="Times New Roman" w:hAnsi="Times New Roman"/>
          <w:sz w:val="20"/>
          <w:szCs w:val="20"/>
          <w:color w:val="auto"/>
        </w:rPr>
        <w:t xml:space="preserve"> $8 million</w:t>
      </w:r>
      <w:r>
        <w:rPr>
          <w:rFonts w:ascii="Times New Roman" w:cs="Times New Roman" w:eastAsia="Times New Roman" w:hAnsi="Times New Roman"/>
          <w:sz w:val="20"/>
          <w:szCs w:val="20"/>
          <w:color w:val="231F20"/>
        </w:rPr>
        <w:t>, or</w:t>
      </w:r>
      <w:r>
        <w:rPr>
          <w:rFonts w:ascii="Times New Roman" w:cs="Times New Roman" w:eastAsia="Times New Roman" w:hAnsi="Times New Roman"/>
          <w:sz w:val="20"/>
          <w:szCs w:val="20"/>
          <w:color w:val="auto"/>
        </w:rPr>
        <w:t xml:space="preserve"> 26%</w:t>
      </w:r>
      <w:r>
        <w:rPr>
          <w:rFonts w:ascii="Times New Roman" w:cs="Times New Roman" w:eastAsia="Times New Roman" w:hAnsi="Times New Roman"/>
          <w:sz w:val="20"/>
          <w:szCs w:val="20"/>
          <w:color w:val="231F20"/>
        </w:rPr>
        <w:t>, compared with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same period in 2025. Our continued investment in evolving our network infrastructure was the key driver behind this increase.</w:t>
      </w:r>
    </w:p>
    <w:p>
      <w:pPr>
        <w:spacing w:after="0" w:line="1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the three months ended March 31, 2026, sales and marketing expenses decreased by $2 million, or 7%, compared with th</w:t>
      </w:r>
      <w:r>
        <w:rPr>
          <w:rFonts w:ascii="Times New Roman" w:cs="Times New Roman" w:eastAsia="Times New Roman" w:hAnsi="Times New Roman"/>
          <w:sz w:val="20"/>
          <w:szCs w:val="20"/>
          <w:color w:val="231F20"/>
        </w:rPr>
        <w:t>e same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period in 2025, primarily due t</w:t>
      </w:r>
      <w:r>
        <w:rPr>
          <w:rFonts w:ascii="Times New Roman" w:cs="Times New Roman" w:eastAsia="Times New Roman" w:hAnsi="Times New Roman"/>
          <w:sz w:val="20"/>
          <w:szCs w:val="20"/>
          <w:color w:val="000000"/>
        </w:rPr>
        <w:t>o lower headcount expenses from lower average headcount during the period.</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For the three months ended March 31, 2026, g</w:t>
      </w:r>
      <w:r>
        <w:rPr>
          <w:rFonts w:ascii="Times New Roman" w:cs="Times New Roman" w:eastAsia="Times New Roman" w:hAnsi="Times New Roman"/>
          <w:sz w:val="20"/>
          <w:szCs w:val="20"/>
          <w:color w:val="231F20"/>
        </w:rPr>
        <w:t>eneral and administrative expenses</w:t>
      </w:r>
      <w:r>
        <w:rPr>
          <w:rFonts w:ascii="Times New Roman" w:cs="Times New Roman" w:eastAsia="Times New Roman" w:hAnsi="Times New Roman"/>
          <w:sz w:val="20"/>
          <w:szCs w:val="20"/>
          <w:color w:val="auto"/>
        </w:rPr>
        <w:t xml:space="preserve"> increased by less than $1 million</w:t>
      </w:r>
      <w:r>
        <w:rPr>
          <w:rFonts w:ascii="Times New Roman" w:cs="Times New Roman" w:eastAsia="Times New Roman" w:hAnsi="Times New Roman"/>
          <w:sz w:val="20"/>
          <w:szCs w:val="20"/>
          <w:color w:val="231F20"/>
        </w:rPr>
        <w:t>, or</w:t>
      </w:r>
      <w:r>
        <w:rPr>
          <w:rFonts w:ascii="Times New Roman" w:cs="Times New Roman" w:eastAsia="Times New Roman" w:hAnsi="Times New Roman"/>
          <w:sz w:val="20"/>
          <w:szCs w:val="20"/>
          <w:color w:val="auto"/>
        </w:rPr>
        <w:t xml:space="preserve"> 2%</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auto"/>
        </w:rPr>
        <w:t xml:space="preserve"> compared with the same period in 2025.</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 Net</w:t>
      </w:r>
    </w:p>
    <w:p>
      <w:pPr>
        <w:spacing w:after="0" w:line="179"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 xml:space="preserve">For the three months ended March 31, 2026, interest expense, net of interest income increased by less than $1 million </w:t>
      </w:r>
      <w:r>
        <w:rPr>
          <w:rFonts w:ascii="Times New Roman" w:cs="Times New Roman" w:eastAsia="Times New Roman" w:hAnsi="Times New Roman"/>
          <w:sz w:val="20"/>
          <w:szCs w:val="20"/>
          <w:color w:val="231F20"/>
        </w:rPr>
        <w:t>compared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 same period in 2025, primarily from an increase in interest expense resulting from borrowing on our Credit Facility.</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 Benefit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the three months ended March 31, 2026, we recognized an income tax benefit of $2 million, an increase of $1 million compared with the same period in </w:t>
      </w:r>
      <w:r>
        <w:rPr>
          <w:rFonts w:ascii="Times New Roman" w:cs="Times New Roman" w:eastAsia="Times New Roman" w:hAnsi="Times New Roman"/>
          <w:sz w:val="20"/>
          <w:szCs w:val="20"/>
          <w:color w:val="231F20"/>
        </w:rPr>
        <w:t>2025</w:t>
      </w:r>
      <w:r>
        <w:rPr>
          <w:rFonts w:ascii="Times New Roman" w:cs="Times New Roman" w:eastAsia="Times New Roman" w:hAnsi="Times New Roman"/>
          <w:sz w:val="20"/>
          <w:szCs w:val="20"/>
          <w:color w:val="auto"/>
        </w:rPr>
        <w:t xml:space="preserve">. The resulting effective tax rate for the three months ended March 31, 2026 was (58.9)%, compared with 1.8% for the three months ended March 31, </w:t>
      </w:r>
      <w:r>
        <w:rPr>
          <w:rFonts w:ascii="Times New Roman" w:cs="Times New Roman" w:eastAsia="Times New Roman" w:hAnsi="Times New Roman"/>
          <w:sz w:val="20"/>
          <w:szCs w:val="20"/>
          <w:color w:val="231F20"/>
        </w:rPr>
        <w:t>2025</w:t>
      </w:r>
      <w:r>
        <w:rPr>
          <w:rFonts w:ascii="Times New Roman" w:cs="Times New Roman" w:eastAsia="Times New Roman" w:hAnsi="Times New Roman"/>
          <w:sz w:val="20"/>
          <w:szCs w:val="20"/>
          <w:color w:val="auto"/>
        </w:rPr>
        <w:t>. The increase in income tax benefit was primarily due to favorable U.S. federal and state tax law changes as a result of the OBBBA.</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2026, the effective tax rate of (58.9)% differed from the federal statutory rate of 21% in the U.S. primarily due to the valuation allowance recorded against our U.S. federal and state net deferred tax assets, as well as differences in statutory income tax rates across foreign jurisdictions.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continue to expect recurring changes to the valuation allowance as deferred tax assets within the U.S. increase or decrease in subsequent periods. We will maintain a valuation allowance against all U.S. federal and state deferred tax assets until it becomes more likely than not that the benefit of our federal and state deferred tax assets will be realized.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liquidity is provided by our cash flow from operations less expenditures for capital equipment, and supplemented by financing activities from time to time. Our cash flow from operations is driven by monthly payments from customers for communication services consumed during the period. Our primary uses of cash include operating costs, such as fees paid to other network service providers, network operations costs, personnel costs and facility expenses, as well as the purchase of property, plant and equipment to support growth on our communications platform and repurchases of shares of our Class A common stock under our share repurchase program. As of March 31, 2026, we had cash and cash equivalents of $47 million and marketable securities of $3 million.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August 2023, we entered into a credit agreement (as amended to date, the “Credit Agreement”), among the Company, as borrower, the lenders from time to time party thereto, and Bank of America, N.A., as administrative agent, swingline lender and letters of credit issuer, which provides for a $150 million revolving credit facility (the “Credit Facility”). As of March 31, 2026, we had $51 million outstanding borrowings under the Credit Facility and the available borrowing capacity was $99 million. See Note 7, “Debt,” to the condensed consolidated financial statements included elsewhere in this Quarterly Report on Form 10-Q for additional information regarding the Credit Agreement, including a summary of the current terms of the Credit Facility.</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During March 2026, we repaid the remaining </w:t>
      </w:r>
      <w:r>
        <w:rPr>
          <w:rFonts w:ascii="Times New Roman" w:cs="Times New Roman" w:eastAsia="Times New Roman" w:hAnsi="Times New Roman"/>
          <w:sz w:val="20"/>
          <w:szCs w:val="20"/>
          <w:color w:val="1C0A14"/>
        </w:rPr>
        <w:t>$8 million aggregate principal amount of the 2026 Convertible Notes. Additionally,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C0A14"/>
        </w:rPr>
        <w:t>d</w:t>
      </w:r>
      <w:r>
        <w:rPr>
          <w:rFonts w:ascii="Times New Roman" w:cs="Times New Roman" w:eastAsia="Times New Roman" w:hAnsi="Times New Roman"/>
          <w:sz w:val="20"/>
          <w:szCs w:val="20"/>
          <w:color w:val="000000"/>
        </w:rPr>
        <w:t>uring March 2026, we entered into the 2026 Repurchases to repurchase</w:t>
      </w:r>
      <w:r>
        <w:rPr>
          <w:rFonts w:ascii="Times New Roman" w:cs="Times New Roman" w:eastAsia="Times New Roman" w:hAnsi="Times New Roman"/>
          <w:sz w:val="20"/>
          <w:szCs w:val="20"/>
          <w:color w:val="1C0A14"/>
        </w:rPr>
        <w:t xml:space="preserve"> $100 million </w:t>
      </w:r>
      <w:r>
        <w:rPr>
          <w:rFonts w:ascii="Times New Roman" w:cs="Times New Roman" w:eastAsia="Times New Roman" w:hAnsi="Times New Roman"/>
          <w:sz w:val="20"/>
          <w:szCs w:val="20"/>
          <w:color w:val="000000"/>
        </w:rPr>
        <w:t>aggregate principal amount for an aggregate cash price</w:t>
      </w:r>
      <w:r>
        <w:rPr>
          <w:rFonts w:ascii="Times New Roman" w:cs="Times New Roman" w:eastAsia="Times New Roman" w:hAnsi="Times New Roman"/>
          <w:sz w:val="20"/>
          <w:szCs w:val="20"/>
          <w:color w:val="1C0A14"/>
        </w:rPr>
        <w:t xml:space="preserve"> </w:t>
      </w:r>
      <w:r>
        <w:rPr>
          <w:rFonts w:ascii="Times New Roman" w:cs="Times New Roman" w:eastAsia="Times New Roman" w:hAnsi="Times New Roman"/>
          <w:sz w:val="20"/>
          <w:szCs w:val="20"/>
          <w:color w:val="000000"/>
        </w:rPr>
        <w:t xml:space="preserve">of </w:t>
      </w:r>
      <w:r>
        <w:rPr>
          <w:rFonts w:ascii="Times New Roman" w:cs="Times New Roman" w:eastAsia="Times New Roman" w:hAnsi="Times New Roman"/>
          <w:sz w:val="20"/>
          <w:szCs w:val="20"/>
          <w:color w:val="1C0A14"/>
        </w:rPr>
        <w:t>$92 million</w:t>
      </w:r>
      <w:r>
        <w:rPr>
          <w:rFonts w:ascii="Times New Roman" w:cs="Times New Roman" w:eastAsia="Times New Roman" w:hAnsi="Times New Roman"/>
          <w:sz w:val="20"/>
          <w:szCs w:val="20"/>
          <w:color w:val="000000"/>
        </w:rPr>
        <w:t>. The 2026 Repurchases closed on March 4, 2026. Following the 2026 Repurchases, approximately $150 million aggregate principal amount of the 2028 Convertible Notes remains outstanding. We may, at any time and from time to time, seek to retire or purchase our 2028 Convertible Notes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w:t>
      </w:r>
    </w:p>
    <w:p>
      <w:pPr>
        <w:spacing w:after="0" w:line="12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believe that our cash, cash equivalents and marketable securities balances,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r>
        <w:rPr>
          <w:rFonts w:ascii="Times New Roman" w:cs="Times New Roman" w:eastAsia="Times New Roman" w:hAnsi="Times New Roman"/>
          <w:sz w:val="20"/>
          <w:szCs w:val="20"/>
          <w:color w:val="231F20"/>
        </w:rPr>
        <w:t>.</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principal future commitments consist of (i) an aggregate of $150 million in Convertible Notes</w:t>
      </w:r>
      <w:r>
        <w:rPr>
          <w:rFonts w:ascii="Times New Roman" w:cs="Times New Roman" w:eastAsia="Times New Roman" w:hAnsi="Times New Roman"/>
          <w:sz w:val="20"/>
          <w:szCs w:val="20"/>
          <w:color w:val="231F20"/>
        </w:rPr>
        <w:t>, (ii) $447 million in</w:t>
      </w:r>
      <w:r>
        <w:rPr>
          <w:rFonts w:ascii="Times New Roman" w:cs="Times New Roman" w:eastAsia="Times New Roman" w:hAnsi="Times New Roman"/>
          <w:sz w:val="20"/>
          <w:szCs w:val="20"/>
          <w:color w:val="auto"/>
        </w:rPr>
        <w:t xml:space="preserve"> future minimum rent payments for our </w:t>
      </w:r>
      <w:r>
        <w:rPr>
          <w:rFonts w:ascii="Times New Roman" w:cs="Times New Roman" w:eastAsia="Times New Roman" w:hAnsi="Times New Roman"/>
          <w:sz w:val="20"/>
          <w:szCs w:val="20"/>
          <w:color w:val="231F20"/>
        </w:rPr>
        <w:t>current office space, including a $440 million</w:t>
      </w:r>
      <w:r>
        <w:rPr>
          <w:rFonts w:ascii="Times New Roman" w:cs="Times New Roman" w:eastAsia="Times New Roman" w:hAnsi="Times New Roman"/>
          <w:sz w:val="20"/>
          <w:szCs w:val="20"/>
          <w:color w:val="auto"/>
        </w:rPr>
        <w:t xml:space="preserve"> non-cancelable lease for our </w:t>
      </w:r>
      <w:r>
        <w:rPr>
          <w:rFonts w:ascii="Times New Roman" w:cs="Times New Roman" w:eastAsia="Times New Roman" w:hAnsi="Times New Roman"/>
          <w:sz w:val="20"/>
          <w:szCs w:val="20"/>
          <w:color w:val="231F20"/>
        </w:rPr>
        <w:t>corporate headquarters,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commenced in the third quarter of 2023 </w:t>
      </w:r>
      <w:r>
        <w:rPr>
          <w:rFonts w:ascii="Times New Roman" w:cs="Times New Roman" w:eastAsia="Times New Roman" w:hAnsi="Times New Roman"/>
          <w:sz w:val="20"/>
          <w:szCs w:val="20"/>
          <w:color w:val="000000"/>
        </w:rPr>
        <w:t>and which will continue for an initial twenty (20) year term</w:t>
      </w:r>
      <w:r>
        <w:rPr>
          <w:rFonts w:ascii="Times New Roman" w:cs="Times New Roman" w:eastAsia="Times New Roman" w:hAnsi="Times New Roman"/>
          <w:sz w:val="20"/>
          <w:szCs w:val="20"/>
          <w:color w:val="231F20"/>
        </w:rPr>
        <w:t xml:space="preserve">, and (iii) $20 million in non-cancelable purchase obligations and future minimum payments under contracts to various service providers. For additional information on these future contractual obligations, </w:t>
      </w:r>
      <w:r>
        <w:rPr>
          <w:rFonts w:ascii="Times New Roman" w:cs="Times New Roman" w:eastAsia="Times New Roman" w:hAnsi="Times New Roman"/>
          <w:sz w:val="20"/>
          <w:szCs w:val="20"/>
          <w:color w:val="000000"/>
        </w:rPr>
        <w:t>see</w:t>
      </w:r>
      <w:r>
        <w:rPr>
          <w:rFonts w:ascii="Times New Roman" w:cs="Times New Roman" w:eastAsia="Times New Roman" w:hAnsi="Times New Roman"/>
          <w:sz w:val="20"/>
          <w:szCs w:val="20"/>
          <w:color w:val="231F20"/>
        </w:rPr>
        <w:t xml:space="preserve"> Note 7, </w:t>
      </w:r>
      <w:r>
        <w:rPr>
          <w:rFonts w:ascii="Times New Roman" w:cs="Times New Roman" w:eastAsia="Times New Roman" w:hAnsi="Times New Roman"/>
          <w:sz w:val="20"/>
          <w:szCs w:val="20"/>
          <w:color w:val="000000"/>
        </w:rPr>
        <w:t>“Debt,” and</w:t>
      </w:r>
      <w:r>
        <w:rPr>
          <w:rFonts w:ascii="Times New Roman" w:cs="Times New Roman" w:eastAsia="Times New Roman" w:hAnsi="Times New Roman"/>
          <w:sz w:val="20"/>
          <w:szCs w:val="20"/>
          <w:color w:val="231F20"/>
        </w:rPr>
        <w:t xml:space="preserve"> Note 11, </w:t>
      </w:r>
      <w:r>
        <w:rPr>
          <w:rFonts w:ascii="Times New Roman" w:cs="Times New Roman" w:eastAsia="Times New Roman" w:hAnsi="Times New Roman"/>
          <w:sz w:val="20"/>
          <w:szCs w:val="20"/>
          <w:color w:val="000000"/>
        </w:rPr>
        <w:t>“Commitments and Contingencies,”</w:t>
      </w:r>
      <w:r>
        <w:rPr>
          <w:rFonts w:ascii="Times New Roman" w:cs="Times New Roman" w:eastAsia="Times New Roman" w:hAnsi="Times New Roman"/>
          <w:sz w:val="20"/>
          <w:szCs w:val="20"/>
          <w:color w:val="231F20"/>
        </w:rPr>
        <w:t xml:space="preserve"> to the </w:t>
      </w:r>
      <w:r>
        <w:rPr>
          <w:rFonts w:ascii="Times New Roman" w:cs="Times New Roman" w:eastAsia="Times New Roman" w:hAnsi="Times New Roman"/>
          <w:sz w:val="20"/>
          <w:szCs w:val="20"/>
          <w:color w:val="000000"/>
        </w:rPr>
        <w:t>condensed consolidated</w:t>
      </w:r>
      <w:r>
        <w:rPr>
          <w:rFonts w:ascii="Times New Roman" w:cs="Times New Roman" w:eastAsia="Times New Roman" w:hAnsi="Times New Roman"/>
          <w:sz w:val="20"/>
          <w:szCs w:val="20"/>
          <w:color w:val="231F20"/>
        </w:rPr>
        <w:t xml:space="preserve"> financial statements included elsewhere in this </w:t>
      </w:r>
      <w:r>
        <w:rPr>
          <w:rFonts w:ascii="Times New Roman" w:cs="Times New Roman" w:eastAsia="Times New Roman" w:hAnsi="Times New Roman"/>
          <w:sz w:val="20"/>
          <w:szCs w:val="20"/>
          <w:color w:val="000000"/>
        </w:rPr>
        <w:t>Quarterly Report on Form 10-Q</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table below summarizes our cash flow information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0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63"/>
        </w:trPr>
        <w:tc>
          <w:tcPr>
            <w:tcW w:w="70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1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2"/>
                <w:szCs w:val="22"/>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(29,033)</w:t>
            </w:r>
          </w:p>
        </w:tc>
      </w:tr>
      <w:tr>
        <w:trPr>
          <w:trHeight w:val="229"/>
        </w:trPr>
        <w:tc>
          <w:tcPr>
            <w:tcW w:w="7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Operating Activities</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For the three months ended March 31, 2026, net cash provided by operating activities was </w:t>
      </w:r>
      <w:r>
        <w:rPr>
          <w:rFonts w:ascii="Times New Roman" w:cs="Times New Roman" w:eastAsia="Times New Roman" w:hAnsi="Times New Roman"/>
          <w:sz w:val="20"/>
          <w:szCs w:val="20"/>
          <w:color w:val="231F20"/>
        </w:rPr>
        <w:t>$9 million and was generated by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aggregate results of $26 million during the period, net of (1) non-cash items </w:t>
      </w:r>
      <w:r>
        <w:rPr>
          <w:rFonts w:ascii="Times New Roman" w:cs="Times New Roman" w:eastAsia="Times New Roman" w:hAnsi="Times New Roman"/>
          <w:sz w:val="20"/>
          <w:szCs w:val="20"/>
          <w:color w:val="000000"/>
        </w:rPr>
        <w:t>comprising depreciation and amortization, non-cash reduction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the right-of-use asset, amortization of debt discount and issuance costs, </w:t>
      </w:r>
      <w:r>
        <w:rPr>
          <w:rFonts w:ascii="Times New Roman" w:cs="Times New Roman" w:eastAsia="Times New Roman" w:hAnsi="Times New Roman"/>
          <w:sz w:val="20"/>
          <w:szCs w:val="20"/>
          <w:color w:val="231F20"/>
        </w:rPr>
        <w:t>stock-based</w:t>
      </w:r>
      <w:r>
        <w:rPr>
          <w:rFonts w:ascii="Times New Roman" w:cs="Times New Roman" w:eastAsia="Times New Roman" w:hAnsi="Times New Roman"/>
          <w:sz w:val="20"/>
          <w:szCs w:val="20"/>
          <w:color w:val="000000"/>
        </w:rPr>
        <w:t xml:space="preserve"> compensation, deferred taxes and other, net gain on extinguishment of debt and (2) a </w:t>
      </w:r>
      <w:r>
        <w:rPr>
          <w:rFonts w:ascii="Times New Roman" w:cs="Times New Roman" w:eastAsia="Times New Roman" w:hAnsi="Times New Roman"/>
          <w:sz w:val="20"/>
          <w:szCs w:val="20"/>
          <w:color w:val="231F20"/>
        </w:rPr>
        <w:t>$18 million cash outflow, primarily from lower operating liabilities and higher operating assets. Within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operating liabilities, net cash used of $4 million was driven by $9 million of outflows from decreases in accounts payable, partially offset by $7 million of cash generated by increases in accrued expenses and other liabilities. The increase in accrued expenses and other liabilities was largely driven by the timing of payments and correlated with higher network usage. Within operating assets, the net cash used of $14 million was primarily driven by higher unbilled receivables balances of $10 million </w:t>
      </w:r>
      <w:r>
        <w:rPr>
          <w:rFonts w:ascii="Times New Roman" w:cs="Times New Roman" w:eastAsia="Times New Roman" w:hAnsi="Times New Roman"/>
          <w:sz w:val="20"/>
          <w:szCs w:val="20"/>
          <w:color w:val="000000"/>
        </w:rPr>
        <w:t>from higher usage amounts in the last month of the quarter ended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March 31, 2026 and changes in prepaid expenses and other current assets of </w:t>
      </w:r>
      <w:r>
        <w:rPr>
          <w:rFonts w:ascii="Times New Roman" w:cs="Times New Roman" w:eastAsia="Times New Roman" w:hAnsi="Times New Roman"/>
          <w:sz w:val="20"/>
          <w:szCs w:val="20"/>
          <w:color w:val="231F20"/>
        </w:rPr>
        <w:t>$4 million.</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Investing Activities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three months ended March 31, 2026, net cash used in investing activities was $4 million. Cash used in investing activities was primarily driven by cash used for the purchase of property, plant and equipment of $7 million and cash used for capitalized software development costs of $2 million, driven by investments in the communications platform, partially offset by cash generated from proceeds of marketable securities, net of purchases, of $5 million.</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Financing Activities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three months ended March 31, 2026, net cash used in financing activities was $60 million, driven primarily by $100 million used to complete the 2026 Repurchases and $11 million used for tax withholdings on vested employee awards and share repurchases under the share repurchase program. These cash outflows were partially offset by $51 million of cash from borrowings under our Credit Facility to fund the 2026 Repurchases.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231F20"/>
        </w:rPr>
        <w:t>We use Non-GAAP gross profit, Non-GAAP gross margin, Non-GAAP net income, Adjusted EBITDA and free cash flow for financial and operational decision making and to evaluate period-to-period differences in our performance. Non-GAAP gross profit, Non-GAAP gross margin, Non-GAAP net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Gross Profit and Non-GAAP Gross Margin</w:t>
      </w:r>
    </w:p>
    <w:p>
      <w:pPr>
        <w:spacing w:after="0" w:line="16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GAAP defines gross profit as revenue less cost of revenue. Cost of revenue includes all expenses associated with our various service offerings as more fully described under the caption “Key Components of Statements of Operations-Cost of Revenue and Gross Margin.”</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calculate Non-GAAP gross margin by dividing Non-GAAP gross profit by cloud communications revenue.</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our calculation of Non-GAAP gross profit and Non-GAAP gross margin, we eliminate the impact of depreciation and amortization, amortization of acquired intangible assets related to acquisitions, stock-based compensation, pass-through messaging surcharges, and all significant non-cash items, because we do not consider them indicative of our core operating performance. The exclusion of these items facilitates comparisons of our operating performance on a period-to-period basis. 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we do.</w:t>
      </w:r>
    </w:p>
    <w:p>
      <w:pPr>
        <w:spacing w:after="0" w:line="14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table shows a reconciliation of gross profit to non-GAAP gross profit and gross profit margin to non-GAAP gross margin for the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4"/>
        </w:trPr>
        <w:tc>
          <w:tcPr>
            <w:tcW w:w="7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38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77,914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71,512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 %</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4,678</w:t>
            </w:r>
          </w:p>
        </w:tc>
      </w:tr>
      <w:tr>
        <w:trPr>
          <w:trHeight w:val="230"/>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8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89,279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78,612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Non-GAAP Gross Margin % </w:t>
            </w:r>
            <w:r>
              <w:rPr>
                <w:rFonts w:ascii="Times New Roman" w:cs="Times New Roman" w:eastAsia="Times New Roman" w:hAnsi="Times New Roman"/>
                <w:sz w:val="23"/>
                <w:szCs w:val="23"/>
                <w:b w:val="1"/>
                <w:bCs w:val="1"/>
                <w:color w:val="auto"/>
                <w:vertAlign w:val="superscript"/>
              </w:rPr>
              <w:t>(1)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firstLine="656"/>
        <w:spacing w:after="0" w:line="236" w:lineRule="auto"/>
        <w:tabs>
          <w:tab w:leader="none" w:pos="832"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Calculated by dividing Non-GAAP gross profit by cloud communications revenue of $150 million and $133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Net Income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define Non-GAAP net income as net income or loss adjusted for certain items affecting period-to-period comparability. Non-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net income excludes:</w:t>
      </w:r>
    </w:p>
    <w:p>
      <w:pPr>
        <w:spacing w:after="0" w:line="153" w:lineRule="exact"/>
        <w:rPr>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53"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related to acquisitions;</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debt discount and issuance costs for convertible debt;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related expenses;</w:t>
      </w:r>
    </w:p>
    <w:p>
      <w:pPr>
        <w:spacing w:after="0" w:line="53"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of intangibles assets</w:t>
      </w:r>
      <w:r>
        <w:rPr>
          <w:rFonts w:ascii="Times New Roman" w:cs="Times New Roman" w:eastAsia="Times New Roman" w:hAnsi="Times New Roman"/>
          <w:sz w:val="20"/>
          <w:szCs w:val="20"/>
          <w:color w:val="231F20"/>
        </w:rPr>
        <w:t>, if any</w:t>
      </w:r>
      <w:r>
        <w:rPr>
          <w:rFonts w:ascii="Times New Roman" w:cs="Times New Roman" w:eastAsia="Times New Roman" w:hAnsi="Times New Roman"/>
          <w:sz w:val="20"/>
          <w:szCs w:val="20"/>
          <w:color w:val="auto"/>
        </w:rPr>
        <w: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cost associated with early lease terminations and leases without economic benefit;</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(gain) loss on sale of business;</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(gain) loss on extinguishment of debt;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gain on business interruption insurance recoveries;</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items not indicative of ongoing operations and other; and</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tax impact of above adjustments, net of valuation allowances.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by recalculating the tax provision on a Non-GAAP basis. When we have a valuation allowance recorded and no tax benefits will be recognized, the rate is considered to be zero.</w:t>
      </w:r>
    </w:p>
    <w:p>
      <w:pPr>
        <w:spacing w:after="0" w:line="1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 As a result of the adoption of ASU No. 2020-06 on January 1, 2022, we add back cash interest expense on the Convertible Notes, as if converted at the beginning of the period, if the impact is dilutive for the purposes of calculating diluted Non-GAAP net income or loss per Non-GAAP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reconciliation of net income (loss) to non-GAAP net income and net income (loss) per share to non-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net income per non-GAAP share for the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In thousands, except share and per share</w:t>
            </w:r>
          </w:p>
        </w:tc>
      </w:tr>
      <w:tr>
        <w:trPr>
          <w:trHeight w:val="238"/>
        </w:trPr>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center"/>
              <w:ind w:left="910"/>
              <w:spacing w:after="0"/>
              <w:rPr>
                <w:sz w:val="20"/>
                <w:szCs w:val="20"/>
                <w:color w:val="auto"/>
              </w:rPr>
            </w:pPr>
            <w:r>
              <w:rPr>
                <w:rFonts w:ascii="Times New Roman" w:cs="Times New Roman" w:eastAsia="Times New Roman" w:hAnsi="Times New Roman"/>
                <w:sz w:val="16"/>
                <w:szCs w:val="16"/>
                <w:b w:val="1"/>
                <w:bCs w:val="1"/>
                <w:color w:val="auto"/>
              </w:rPr>
              <w:t>amounts</w:t>
            </w:r>
            <w:r>
              <w:rPr>
                <w:rFonts w:ascii="Times New Roman" w:cs="Times New Roman" w:eastAsia="Times New Roman" w:hAnsi="Times New Roman"/>
                <w:sz w:val="17"/>
                <w:szCs w:val="17"/>
                <w:b w:val="1"/>
                <w:bCs w:val="1"/>
                <w:color w:val="auto"/>
              </w:rPr>
              <w:t>)</w:t>
            </w:r>
          </w:p>
        </w:tc>
        <w:tc>
          <w:tcPr>
            <w:tcW w:w="1220" w:type="dxa"/>
            <w:vAlign w:val="bottom"/>
          </w:tcPr>
          <w:p>
            <w:pPr>
              <w:spacing w:after="0"/>
              <w:rPr>
                <w:sz w:val="20"/>
                <w:szCs w:val="20"/>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3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r>
      <w:tr>
        <w:trPr>
          <w:trHeight w:val="229"/>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 for convertible debt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77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Non-recurring items not indicative of ongoing operations and other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77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Estimated tax effects of adjustments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74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Interest expense on Convertible Notes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used to compute Non-GAAP diluted net income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7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108"/>
        </w:trPr>
        <w:tc>
          <w:tcPr>
            <w:tcW w:w="7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per Non-GAAP share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29"/>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08"/>
        </w:trPr>
        <w:tc>
          <w:tcPr>
            <w:tcW w:w="7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number of shares outstanding</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61"/>
        </w:trPr>
        <w:tc>
          <w:tcPr>
            <w:tcW w:w="774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31,681,879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28,982,432</w:t>
            </w:r>
          </w:p>
        </w:tc>
      </w:tr>
      <w:tr>
        <w:trPr>
          <w:trHeight w:val="203"/>
        </w:trPr>
        <w:tc>
          <w:tcPr>
            <w:tcW w:w="7740" w:type="dxa"/>
            <w:vAlign w:val="bottom"/>
            <w:tcBorders>
              <w:top w:val="single" w:sz="8" w:color="CCEEFF"/>
            </w:tcBorders>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32,957,834</w:t>
            </w: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28,982,432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77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196"/>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Non-GAAP basic shares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31,681,879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28,982,432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1,658,767</w:t>
            </w:r>
          </w:p>
        </w:tc>
      </w:tr>
      <w:tr>
        <w:trPr>
          <w:trHeight w:val="23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r>
      <w:tr>
        <w:trPr>
          <w:trHeight w:val="229"/>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767,704</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33,836,293</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31,430,205</w:t>
            </w:r>
          </w:p>
        </w:tc>
      </w:tr>
      <w:tr>
        <w:trPr>
          <w:trHeight w:val="21"/>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both"/>
        <w:ind w:firstLine="656"/>
        <w:spacing w:after="0" w:line="363" w:lineRule="auto"/>
        <w:tabs>
          <w:tab w:leader="none" w:pos="813"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Non-recurring items not indicative of ongoing operations and other include (i) $(0.6) million of foreign exchange charges primarily related to balance sheet revaluations during the three months ended March 31, 2026, (ii) $0.2 million and less than $0.1 million of losses on disposals of property, plant and equipment during the three months ended March 31, 2026 and 2025, respectively, and (iii) $0.5 million of nonrecurring litigation expense during the three months ended March 31, 2025.</w:t>
      </w:r>
    </w:p>
    <w:p>
      <w:pPr>
        <w:spacing w:after="0" w:line="5" w:lineRule="exact"/>
        <w:rPr>
          <w:rFonts w:ascii="Times New Roman" w:cs="Times New Roman" w:eastAsia="Times New Roman" w:hAnsi="Times New Roman"/>
          <w:sz w:val="20"/>
          <w:szCs w:val="20"/>
          <w:color w:val="auto"/>
          <w:vertAlign w:val="superscript"/>
        </w:rPr>
      </w:pPr>
    </w:p>
    <w:p>
      <w:pPr>
        <w:jc w:val="both"/>
        <w:ind w:firstLine="656"/>
        <w:spacing w:after="0" w:line="235" w:lineRule="auto"/>
        <w:tabs>
          <w:tab w:leader="none" w:pos="854"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estimated tax-effect of adjustments is determined by recalculating the tax provision on a Non-GAAP basis. The Non-GAAP effective income tax rate was 20.6% and 19.4% for the three months ended March 31, 2026 and 2025, respectively. We analyze the Non-GAAP valuation allowance position on a quarterly basis. As of March 31, 2026, we have no valuation allowance against our deferred tax assets for Non-GAAP purposes.</w:t>
      </w:r>
    </w:p>
    <w:p>
      <w:pPr>
        <w:spacing w:after="0" w:line="30" w:lineRule="exact"/>
        <w:rPr>
          <w:rFonts w:ascii="Times New Roman" w:cs="Times New Roman" w:eastAsia="Times New Roman" w:hAnsi="Times New Roman"/>
          <w:sz w:val="23"/>
          <w:szCs w:val="23"/>
          <w:color w:val="auto"/>
          <w:vertAlign w:val="superscript"/>
        </w:rPr>
      </w:pPr>
    </w:p>
    <w:p>
      <w:pPr>
        <w:ind w:left="820" w:hanging="164"/>
        <w:spacing w:after="0"/>
        <w:tabs>
          <w:tab w:leader="none" w:pos="8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net income is increased for interest expense as part of the calculation for diluted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17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231F20"/>
        </w:rPr>
        <w:t>We define Adjusted EBITDA as net income or losses from continuing operations, adjusted to reflect the addition or elimination of certain income statement items including, but not limited to:</w:t>
      </w:r>
    </w:p>
    <w:p>
      <w:pPr>
        <w:spacing w:after="0" w:line="119" w:lineRule="exact"/>
        <w:rPr>
          <w:sz w:val="20"/>
          <w:szCs w:val="20"/>
          <w:color w:val="auto"/>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tax (benefit) provision;</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interest (income) expense, net;</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depreciation and amortization expense;</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acquisition related expenses;</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stock-based compensation expense;</w:t>
      </w:r>
    </w:p>
    <w:p>
      <w:pPr>
        <w:spacing w:after="0" w:line="67"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impairment of intangible assets, if any;</w:t>
      </w:r>
    </w:p>
    <w:p>
      <w:pPr>
        <w:spacing w:after="0" w:line="53"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(gain) loss on sale of business;</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cost associated with early lease terminations and leases without economic benefit;</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(gain) loss on extinguishment of debt;</w:t>
      </w:r>
    </w:p>
    <w:p>
      <w:pPr>
        <w:spacing w:after="0" w:line="53"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gain on business interruption insurance recoveries; and</w:t>
      </w:r>
    </w:p>
    <w:p>
      <w:pPr>
        <w:spacing w:after="0" w:line="67"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non-recurring items not indicative of ongoing operations and other.</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231F20"/>
        </w:rPr>
        <w:t>Adjusted EBITDA is a key measure u</w:t>
      </w:r>
      <w:r>
        <w:rPr>
          <w:rFonts w:ascii="Times New Roman" w:cs="Times New Roman" w:eastAsia="Times New Roman" w:hAnsi="Times New Roman"/>
          <w:sz w:val="20"/>
          <w:szCs w:val="20"/>
          <w:color w:val="000000"/>
        </w:rPr>
        <w:t>sed by management to understand and evaluate our core operating performance and trends,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reconciliation of net income (loss) to Adjusted EBITDA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2"/>
                <w:szCs w:val="22"/>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7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Non-recurring items not indicative of ongoing operations and other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both"/>
        <w:ind w:firstLine="656"/>
        <w:spacing w:after="0" w:line="400" w:lineRule="auto"/>
        <w:tabs>
          <w:tab w:leader="none" w:pos="813"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Non-recurring items not indicative of ongoing operations and other include (i) $(0.6) million of foreign exchange charges primarily related to balance sheet revaluations during the three months ended March 31, 2026, (ii) $0.2 million and less than $0.1 million of losses on disposals of property, plant and equipment during the three months ended March 31, 2026 and 2025, respectively, and (iii) $0.5 million of nonrecurring litigation expense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to invest in our business. Free cash flow has certain limitations because it is subject to working capital timing, it does not represent the total increase or decrease in the cash balance for the period, it does not take into consideration investment in long-term securities, nor does it represent residual cash flows available for discretionary expenditures. Therefore, it is important to evaluate free cash flow along with our condensed consolidated statements of cash flows.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free cash flow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2"/>
                <w:szCs w:val="22"/>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29"/>
        </w:trPr>
        <w:tc>
          <w:tcPr>
            <w:tcW w:w="7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in capital assets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840" w:hanging="184"/>
        <w:spacing w:after="0" w:line="231" w:lineRule="auto"/>
        <w:tabs>
          <w:tab w:leader="none" w:pos="8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acquisition cost of property, plant and equipment and capitalized development costs for software for internal use.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231F20"/>
        </w:rPr>
        <w:t xml:space="preserve">Our unaudited </w:t>
      </w:r>
      <w:r>
        <w:rPr>
          <w:rFonts w:ascii="Times New Roman" w:cs="Times New Roman" w:eastAsia="Times New Roman" w:hAnsi="Times New Roman"/>
          <w:sz w:val="20"/>
          <w:szCs w:val="20"/>
          <w:color w:val="000000"/>
        </w:rPr>
        <w:t>condensed consolidated</w:t>
      </w:r>
      <w:r>
        <w:rPr>
          <w:rFonts w:ascii="Times New Roman" w:cs="Times New Roman" w:eastAsia="Times New Roman" w:hAnsi="Times New Roman"/>
          <w:sz w:val="20"/>
          <w:szCs w:val="20"/>
          <w:color w:val="231F20"/>
        </w:rPr>
        <w:t xml:space="preserve">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There have been no material changes to our critical accounting policies and significant judgments and estimates as compared to the critical accounting policies and significant judgments and estimates disclosed in our Annual Report on Form 10-K filed with the U.S. Securities and Exchange Commission (“SEC”) on February 19,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Guidance</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See Note 1, “Description of Business and Summary of Significant Accounting Policies,” to the condensed consolidated financial statements included elsewhere in this Quarterly Report on Form 10-Q for a summary of recently adopted accounting standards and recent accounting pronouncements not yet adopted, if applicable.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79"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20"/>
          <w:szCs w:val="20"/>
          <w:color w:val="auto"/>
        </w:rPr>
        <w:t>We had cash and cash equivalents of $47 million and marketable securities of $3 million as of March 31, 2026, which were held for working capital purposes. Our cash and cash equivalents are comprised primarily of interest bearing checking and direct deposit accounts, and money market accounts. Marketable securities consist of commercial paper not otherwise classified as cash equivalents. 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nature of our investments, we have not been exposed to, nor do we anticipate being exposed to, material risks due to changes in interest rates.</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231F20"/>
        </w:rPr>
        <w:t xml:space="preserve">Interest on borrowings under our Credit Facility accrues at an annual rate tied to a base rate or the SOFR, at our election. Under the terms of the Credit Agreement, loans based on SOFR bear interest at a rate equal to term SOFR for the applicable interest period plus </w:t>
      </w:r>
      <w:r>
        <w:rPr>
          <w:rFonts w:ascii="Times New Roman" w:cs="Times New Roman" w:eastAsia="Times New Roman" w:hAnsi="Times New Roman"/>
          <w:sz w:val="20"/>
          <w:szCs w:val="20"/>
          <w:color w:val="000000"/>
        </w:rPr>
        <w:t>10</w:t>
      </w:r>
      <w:r>
        <w:rPr>
          <w:rFonts w:ascii="Times New Roman" w:cs="Times New Roman" w:eastAsia="Times New Roman" w:hAnsi="Times New Roman"/>
          <w:sz w:val="20"/>
          <w:szCs w:val="20"/>
          <w:color w:val="231F20"/>
        </w:rPr>
        <w:t xml:space="preserve"> basis points plus an applicable margin between </w:t>
      </w:r>
      <w:r>
        <w:rPr>
          <w:rFonts w:ascii="Times New Roman" w:cs="Times New Roman" w:eastAsia="Times New Roman" w:hAnsi="Times New Roman"/>
          <w:sz w:val="20"/>
          <w:szCs w:val="20"/>
          <w:color w:val="000000"/>
        </w:rPr>
        <w:t>2.0% and 2.5%</w:t>
      </w:r>
      <w:r>
        <w:rPr>
          <w:rFonts w:ascii="Times New Roman" w:cs="Times New Roman" w:eastAsia="Times New Roman" w:hAnsi="Times New Roman"/>
          <w:sz w:val="20"/>
          <w:szCs w:val="20"/>
          <w:color w:val="231F20"/>
        </w:rPr>
        <w:t xml:space="preserve">, and loans based on the base rate bear interest at a rate equal to the base rate plus an applicable margin between </w:t>
      </w:r>
      <w:r>
        <w:rPr>
          <w:rFonts w:ascii="Times New Roman" w:cs="Times New Roman" w:eastAsia="Times New Roman" w:hAnsi="Times New Roman"/>
          <w:sz w:val="20"/>
          <w:szCs w:val="20"/>
          <w:color w:val="000000"/>
        </w:rPr>
        <w:t>1.0% and 1.50%</w:t>
      </w:r>
      <w:r>
        <w:rPr>
          <w:rFonts w:ascii="Times New Roman" w:cs="Times New Roman" w:eastAsia="Times New Roman" w:hAnsi="Times New Roman"/>
          <w:sz w:val="20"/>
          <w:szCs w:val="20"/>
          <w:color w:val="231F20"/>
        </w:rPr>
        <w:t xml:space="preserve">, in each case of the foregoing, depending upon our </w:t>
      </w:r>
      <w:r>
        <w:rPr>
          <w:rFonts w:ascii="Times New Roman" w:cs="Times New Roman" w:eastAsia="Times New Roman" w:hAnsi="Times New Roman"/>
          <w:sz w:val="20"/>
          <w:szCs w:val="20"/>
          <w:color w:val="000000"/>
        </w:rPr>
        <w:t>consolidated total leverage ratio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the most recent fiscal quarter for which financial statements have been delivered under the Credit Agreement. </w:t>
      </w:r>
      <w:r>
        <w:rPr>
          <w:rFonts w:ascii="Times New Roman" w:cs="Times New Roman" w:eastAsia="Times New Roman" w:hAnsi="Times New Roman"/>
          <w:sz w:val="20"/>
          <w:szCs w:val="20"/>
          <w:color w:val="231F20"/>
        </w:rPr>
        <w:t>As a result, we are exposed to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interest rate risk as we make draws on the Credit Facility. As of </w:t>
      </w:r>
      <w:r>
        <w:rPr>
          <w:rFonts w:ascii="Times New Roman" w:cs="Times New Roman" w:eastAsia="Times New Roman" w:hAnsi="Times New Roman"/>
          <w:sz w:val="20"/>
          <w:szCs w:val="20"/>
          <w:color w:val="000000"/>
        </w:rPr>
        <w:t>March 31, 2026</w:t>
      </w:r>
      <w:r>
        <w:rPr>
          <w:rFonts w:ascii="Times New Roman" w:cs="Times New Roman" w:eastAsia="Times New Roman" w:hAnsi="Times New Roman"/>
          <w:sz w:val="20"/>
          <w:szCs w:val="20"/>
          <w:color w:val="231F20"/>
        </w:rPr>
        <w:t xml:space="preserve">, we had </w:t>
      </w:r>
      <w:r>
        <w:rPr>
          <w:rFonts w:ascii="Times New Roman" w:cs="Times New Roman" w:eastAsia="Times New Roman" w:hAnsi="Times New Roman"/>
          <w:sz w:val="20"/>
          <w:szCs w:val="20"/>
          <w:color w:val="000000"/>
        </w:rPr>
        <w:t>$51 million</w:t>
      </w:r>
      <w:r>
        <w:rPr>
          <w:rFonts w:ascii="Times New Roman" w:cs="Times New Roman" w:eastAsia="Times New Roman" w:hAnsi="Times New Roman"/>
          <w:sz w:val="20"/>
          <w:szCs w:val="20"/>
          <w:color w:val="231F20"/>
        </w:rPr>
        <w:t xml:space="preserve"> of outstanding borrowings under the Credit Facility.</w:t>
      </w:r>
    </w:p>
    <w:p>
      <w:pPr>
        <w:spacing w:after="0" w:line="1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As of March 31, 2026, we paid off the entirety of our 2026 Convertible Notes and had a gross carrying amount of $150 million outstanding from our 2028 Convertible Notes. As the 2028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2028 Convertible Notes at face value less unamortized discount on our balance sheet, and we present the fair value for required disclosure purposes only.</w:t>
      </w:r>
    </w:p>
    <w:p>
      <w:pPr>
        <w:spacing w:after="0" w:line="13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231F20"/>
        </w:rPr>
        <w:t>S</w:t>
      </w:r>
      <w:r>
        <w:rPr>
          <w:rFonts w:ascii="Times New Roman" w:cs="Times New Roman" w:eastAsia="Times New Roman" w:hAnsi="Times New Roman"/>
          <w:sz w:val="20"/>
          <w:szCs w:val="20"/>
          <w:color w:val="000000"/>
        </w:rPr>
        <w:t>ee</w:t>
      </w:r>
      <w:r>
        <w:rPr>
          <w:rFonts w:ascii="Times New Roman" w:cs="Times New Roman" w:eastAsia="Times New Roman" w:hAnsi="Times New Roman"/>
          <w:sz w:val="20"/>
          <w:szCs w:val="20"/>
          <w:color w:val="231F20"/>
        </w:rPr>
        <w:t xml:space="preserve"> Note 7, </w:t>
      </w:r>
      <w:r>
        <w:rPr>
          <w:rFonts w:ascii="Times New Roman" w:cs="Times New Roman" w:eastAsia="Times New Roman" w:hAnsi="Times New Roman"/>
          <w:sz w:val="20"/>
          <w:szCs w:val="20"/>
          <w:color w:val="000000"/>
        </w:rPr>
        <w:t>“Debt,”</w:t>
      </w:r>
      <w:r>
        <w:rPr>
          <w:rFonts w:ascii="Times New Roman" w:cs="Times New Roman" w:eastAsia="Times New Roman" w:hAnsi="Times New Roman"/>
          <w:sz w:val="20"/>
          <w:szCs w:val="20"/>
          <w:color w:val="231F20"/>
        </w:rPr>
        <w:t xml:space="preserve"> to the </w:t>
      </w:r>
      <w:r>
        <w:rPr>
          <w:rFonts w:ascii="Times New Roman" w:cs="Times New Roman" w:eastAsia="Times New Roman" w:hAnsi="Times New Roman"/>
          <w:sz w:val="20"/>
          <w:szCs w:val="20"/>
          <w:color w:val="000000"/>
        </w:rPr>
        <w:t>condensed consolidated</w:t>
      </w:r>
      <w:r>
        <w:rPr>
          <w:rFonts w:ascii="Times New Roman" w:cs="Times New Roman" w:eastAsia="Times New Roman" w:hAnsi="Times New Roman"/>
          <w:sz w:val="20"/>
          <w:szCs w:val="20"/>
          <w:color w:val="231F20"/>
        </w:rPr>
        <w:t xml:space="preserve"> financial statements included elsewhere in this </w:t>
      </w:r>
      <w:r>
        <w:rPr>
          <w:rFonts w:ascii="Times New Roman" w:cs="Times New Roman" w:eastAsia="Times New Roman" w:hAnsi="Times New Roman"/>
          <w:sz w:val="20"/>
          <w:szCs w:val="20"/>
          <w:color w:val="000000"/>
        </w:rPr>
        <w:t>Quarterly Report on Form 10-Q</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for additional information on the Credit Facility and the Convertible Notes</w:t>
      </w:r>
      <w:r>
        <w:rPr>
          <w:rFonts w:ascii="Times New Roman" w:cs="Times New Roman" w:eastAsia="Times New Roman" w:hAnsi="Times New Roman"/>
          <w:sz w:val="20"/>
          <w:szCs w:val="20"/>
          <w:color w:val="231F20"/>
        </w:rPr>
        <w:t>.</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A hypothetical 10% change in interest rates would not have had a material impact on our financial results included elsewhere in this Quarterly Report on Form 10-Q.</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functional currencies of our foreign subsidiaries are the respective local currencies of the jurisdictions in which they operate, which are primarily the Euro and the British Pound. Approximately 13% of our total revenue was generated outside North America for the three months ended March 31, 2026 and 2025.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Foreign currency translation adjustments are accounted for as a component of accumulated other comprehensive loss within stockholders’ equity. Gains or losses due to transactions in foreign currencies are included in other income, net in our condensed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results in increased revenue and operating expenses for our rest of world operations. Similarly, our revenue and operating expenses for our rest of world operations decrease if the U.S. dollar strengthens against foreign currencies. A hypothetical 10% adverse change in foreign currency exchange rates would have adversely impacted our net income for the three months ended March 31, 2026 by approximately $2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Controls and Procedures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Our management, with the participation of our Chief Executive Officer and our Chief Financial Officer, have evaluated our disclosure controls and procedures (as defined in Rules 13a-15(e) and 15d-15(e) under the Exchange Act) as of the end of the period covered by this </w:t>
      </w:r>
      <w:r>
        <w:rPr>
          <w:rFonts w:ascii="Times New Roman" w:cs="Times New Roman" w:eastAsia="Times New Roman" w:hAnsi="Times New Roman"/>
          <w:sz w:val="20"/>
          <w:szCs w:val="20"/>
          <w:color w:val="231F20"/>
        </w:rPr>
        <w:t>Quarterly</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10-Q</w:t>
      </w:r>
      <w:r>
        <w:rPr>
          <w:rFonts w:ascii="Times New Roman" w:cs="Times New Roman" w:eastAsia="Times New Roman" w:hAnsi="Times New Roman"/>
          <w:sz w:val="20"/>
          <w:szCs w:val="20"/>
          <w:color w:val="auto"/>
        </w:rPr>
        <w:t xml:space="preserve">. Based on that evaluation, our Chief Executive Officer and our Chief Financial Officer have concluded that, as of the end of the period covered by this </w:t>
      </w:r>
      <w:r>
        <w:rPr>
          <w:rFonts w:ascii="Times New Roman" w:cs="Times New Roman" w:eastAsia="Times New Roman" w:hAnsi="Times New Roman"/>
          <w:sz w:val="20"/>
          <w:szCs w:val="20"/>
          <w:color w:val="231F20"/>
        </w:rPr>
        <w:t>Quarterly</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10-Q</w:t>
      </w:r>
      <w:r>
        <w:rPr>
          <w:rFonts w:ascii="Times New Roman" w:cs="Times New Roman" w:eastAsia="Times New Roman" w:hAnsi="Times New Roman"/>
          <w:sz w:val="20"/>
          <w:szCs w:val="20"/>
          <w:color w:val="auto"/>
        </w:rPr>
        <w: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Times New Roman" w:cs="Times New Roman" w:eastAsia="Times New Roman" w:hAnsi="Times New Roman"/>
          <w:sz w:val="20"/>
          <w:szCs w:val="20"/>
          <w:color w:val="000000"/>
        </w:rPr>
        <w:t>March 31, 2026</w:t>
      </w:r>
      <w:r>
        <w:rPr>
          <w:rFonts w:ascii="Times New Roman" w:cs="Times New Roman" w:eastAsia="Times New Roman" w:hAnsi="Times New Roman"/>
          <w:sz w:val="20"/>
          <w:szCs w:val="20"/>
          <w:color w:val="231F20"/>
        </w:rPr>
        <w:t>, that have materially affected, or are reasonably likely to materially affect, our internal control over financial reporting.</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 on the effectiveness of internal control</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Information with respect to this item may be found in Note 11, “Commitments and Contingencies,” in the accompanying notes to the consolidated financial statements contained in Part I, Item 1 of this Quarterly Report on Form 10-Q, under “Legal Matters”, which is incorporated herein by reference.</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to the litigation referenced above, we have received, and may in the future continue to receive, claims from third parties relating to number management and billing, employment-related claims, claims arising from customer misuse of our offerings,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or to recover amounts owed to us.</w:t>
      </w:r>
    </w:p>
    <w:p>
      <w:pPr>
        <w:spacing w:after="0" w:line="13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results of any current or future litigation in which we engage cannot be predicted with certainty. Regardless of the outcome, litigation can have an adverse impact on us because of defense and settlement costs, diversion of management resources, and other factors.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results of operations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7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growth and financial health are subject to a number of economic risks.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shutdowns or delays in federal agency operations, subject us to a number of risks.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Nearly all of our operating cash is held in financial institution accounts that are not FDIC-insured.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in which we participate is highly competitive, and we may not compete effectively.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attract new customers in a cost-effective manner.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for some of our services is new and unproven, and may decline or experience limited growth.</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meet our goals for revenue growth, cash flow and operating performance depends on customers increasing their use of our services.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increase the revenue that we derive from enterprises.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develop service enhancements or new services that achieve market acceptance.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use AI in our business, and challenges in managing it could adversely affect our results of operations.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As we expand, we may experience difficulty maintaining our corporate culture and operational infrastructure.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have grown rapidly, and may not be able to manage the growth effectively.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pricing and billing systems are complex and errors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must continue to develop effective systems to support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maintain and enhance our brand and increase market awareness.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deliver high-quality support may adversely affect our customer relationships.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operate internationally, which exposes us to incremental risks.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 significant portion of our revenue is concentrated in a limited number of large customers.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Cyberattacks or breaches of our systems or third-party systems we rely on could disrupt our services and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are currently subject to litigation, including litigation related to taxes and charges associated with our provision of 911 services.</w:t>
      </w:r>
    </w:p>
    <w:p>
      <w:pPr>
        <w:spacing w:after="0" w:line="6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Customer misuse of our services and software could result in litigation and/or regulatory enforcement actions and harm our business and reputation.</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litigation in the ordinary course of business, which may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communications industry faces significant regulatory uncertainties globally.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evolving regulation of Internet Protocol (“IP”)-based service providers are unknown.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Expanded state and federal oversight and enforcement may increase our compliance and litigation risk.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must obtain and maintain numerous licenses and permits to operate our network.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Evolving technical standards could increase business costs for existing and future products.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Regulatory violations could limit our operations or impose costly compliance obligations.</w:t>
      </w:r>
    </w:p>
    <w:p>
      <w:pPr>
        <w:spacing w:after="0" w:line="6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is subject to complex and evolving laws, commercial standards, contractual obligations and other requirements regarding privacy and data protection.</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may be harmed if we cannot obtain or retain numbering resources.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exposed to liabilities under anti-corruption, export control and economic sanction regulations.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Third-party intellectual property rights could prevent us from using technologies needed to provide our services.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Use of open source software could negatively affect our ability to sell our services and subject us to litigation.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Indemnity provisions in various agreements potentially expose us to substantial liability.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protect our internally developed systems, technology and software and our intellectual property.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liable for the information that content owners or distributors distribute over our network.</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use our services to commit fraud or steal our services.</w:t>
      </w:r>
    </w:p>
    <w:p>
      <w:pPr>
        <w:spacing w:after="0" w:line="6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customers may choose to discontinue use of Voice over Internet Protocol (“VoIP”)-based services and revert to traditional network service providers.</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may lose customers if our platform or network fails or is disrupted.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Defects or errors in our services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If our emergency services do not function properly, we may be exposed to significant liability.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Termination of relationships with key suppliers could cause delay and additional costs.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Supply chain interruptions or cyber-attacks aimed at third parties we work with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 churn rate may increase.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prices for some of our services have decreased in the past and may do so again in the future.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need to obtain additional IP circuits or interconnect with other networks could increase our costs.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any member of our senior management team or key employees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We could be subject to additional tax liabilities for historic and future sales, use and similar taxes.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global operations and legal entity structure subject us to potentially adverse income tax consequences.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Use of net operating loss and tax credit carryforwards to offset future taxable income may be limited.</w:t>
      </w:r>
    </w:p>
    <w:p>
      <w:pPr>
        <w:spacing w:after="0" w:line="22"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or repurchase shares of our stock in the future, we could be subject to an excise tax.</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estimates or judgments relating to our critical accounting policies may prove to be incorrect.</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maintain an effective system of disclosure controls and internal control over financial reporting.</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Foreign currency exchange rate fluctuations may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Natural disasters, pandemics, power outages, terrorist attacks, acts of war, civilian unrest and similar events could harm our business.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We may acquire other businesses, which may divert our management’s attention and impact our stock price.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Convertible Notes</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Servicing our future indebtedness may require a significant amount of cash, which we may not have.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have the ability to raise the funds necessary for cash settlement of the Convertible Notes.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capped call transactions may affect the value of the Convertible Notes and our Class A common stock.</w:t>
      </w:r>
    </w:p>
    <w:p>
      <w:pPr>
        <w:spacing w:after="0" w:line="22"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counterparty risk with respect to the Capped Calls.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Class A Common Stock</w:t>
      </w:r>
    </w:p>
    <w:p>
      <w:pPr>
        <w:spacing w:after="0" w:line="7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Class A common stock price may be volatile and you could lose all or part of your investment.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 future sales of shares of our Class A common stock could cause the price of our Class A to decline.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dual class capital structure may be perceived to concentrate voting control.</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We cannot predict the impact our capital structure may have on our stock price.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stock price and trading volume could decline if securities or industry analysts stop covering our Class A Common Stock.</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organizational documents and Delaware law could impair a takeover attempt.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certificate of incorporation and bylaws include super-majority voting provisions.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bylaws provide that Delaware will be the sole and exclusive forum for certain stockholder litigation.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We may need additional capital in the future and such capital may be limited or unavailable.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We do not intend to pay dividends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growth and financial health are impacted by a number of risks, including uncertain capital markets, political and economic instability in a number of regions, the imposition of widespread tariffs, unfavorable macroeconomic conditions, recessionary fears, high rates of inflation and higher interest rates.</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recent years, the financial markets in the United States have experienced substantial volatility in securities prices, reduced liquidity and credit availability, rating downgrades of certain investments and declining values with respect to others. If capital and credit markets continue to experience uncertainty, we may not be able to obtain debt or equity financing or to refinance our existing indebtedness on favorable terms or at all, which could impair our ability to execute on our strategy, and harm our financial performance. These conditions currently have not precluded us from accessing credit markets or financing our operations, but there can be no assurance that financial markets and confidence in major economies will not deteriorate.</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we are vulnerable to changes in market preferences or other market changes, as well as general macroeconomic conditions, reduced growth rates, interest rates, tax rates and policies, inflation, a significant shift in U.S., state and foreign government policies and the deterioration of economic relations between countries or regions, including potential negative consumer sentiment toward non-local products or sources. In recent years, the United States has experienced higher rates of inflation and as a result, we may experience a compression in our gross margins. These inflationary pressures could affect wages, the cost of and our ability to obtain necessary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components, the price of our products and services, our ability to meet customer demand, and our gross margins and operating profit. Inflation may further exacerbate other risks discussed in this “Risk Factors” section, such as risks related to our sales and marketing efforts and our ability to attract, motivate and retain sales, engineering and other key personnel. If we are unable to successfully manage the effects of inflation, our business, operating results, cash flows and financial condition may be adversely affected.</w:t>
      </w:r>
    </w:p>
    <w:p>
      <w:pPr>
        <w:spacing w:after="0" w:line="1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As a result of recent changes to U.S. and foreign government policies, there may be changes to existing trade agreements, greater restrictions on free trade generally, the imposition of or significant increases in tariffs on goods imported into the U.S., and adverse responses by foreign governments to U.S. trade policies, among other possible changes. The U.S. government has implemented or announced it intends to implement or increase tariffs, and it remains unclear what the U.S. government or foreign governments will or will not do with respect to tariffs or trade agreements and policies. These trade measures enacted, or threatened to be enacted, by the U.S. and other countries have led to increased volatility and uncertainty in certain parts of the global economy. We cannot predict the timing, strength, or duration of the current or any future potential economic volatility or slowdown in the U.S. or globally. Increased tariffs could adversely impact the costs to us of the fiber, computers, software, transmission electronics and related network components, including network colocation facilities, that are critical to the operation of our network. We may not be able to offset any such increase in costs with a commensurate increase in the price of our services, which could have an adverse impact on our business, results of operations and financial condition.</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U.S. and global economies have in the past, and will in the future, experience recessionary periods and periods of economic instability, which could affect the rate of technology spending generally. During such periods, our existing and potential customers may choose not to expend the amounts that we anticipate based on our expectations with respect to the addressable market for the services we offer. Customers may also suffer financial hardships due to economic conditions such that their accounts become uncollectible or are subject to longer collection cycles. There could also be a number of other effects from adverse general business and economic conditions on our business, including insolvency of any of our third-party suppliers or contractors, decreased market confidence, decreased interest in communications solutions, decreased discretionary spending and reduced customer demand for the services we offer, any of which could have a material adverse effect on our business, financial condition and results of operations and exacerbate some of the other risk factors contained in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Nearly all of our operating cash is maintained in deposit accounts with various financial institutions and is not insured by the FDIC.</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Nearly all of our operating cash is maintained in deposit accounts at various financial institutions and is not insured by the FDIC. We believe we employ a reasonable strategy to diversify our cash deposits among financial institutions. However, if any of the institutions into which our funds are deposited experience limited liquidity or otherwise defaults or does not perform its obligations to depositors, we may not be able to access those funds in a timely manner, or at all, which could adversely affect our business, financial condition or results of operations, and our prospects.</w:t>
      </w:r>
    </w:p>
    <w:p>
      <w:pPr>
        <w:spacing w:after="0" w:line="11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Government shutdowns or delays in government agency operations, including those of the FCC, could materially and adversely affect our business, financial condition, and results of operations.</w:t>
      </w:r>
    </w:p>
    <w:p>
      <w:pPr>
        <w:spacing w:after="0" w:line="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Lapses in U.S. federal government funding, such as the government shutdown experienced in the U.S. in October 2025, and other significant disruptions to government agency operations may have a material adverse effect on our business, financial condition, and results of operations.</w:t>
      </w:r>
    </w:p>
    <w:p>
      <w:pPr>
        <w:spacing w:after="0" w:line="1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As a telecommunications services provider, our business depends on the continued operations and timely reviews of federal agencies, such as the FCC, which oversees licensing and other authorizations, regulatory proceedings, product certifications and other telecommunications industry issues. Importantly, the FCC also provides telecommunications service providers like Bandwidth with a venue for dispute resolution when certain disputes with other providers arise, and this venue is unavailable during a government shutdown.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recent government shutdown caused significant impacts to FCC operations, suspending transaction review timelines and extending various types of filing and review deadlines until one day after the government reopened, effectively delaying the regulatory process and impacting the pace at which certain business goals could be pursued and disputes resolved. The government shutdown also delayed our participation in open FCC rulemaking proceedings surrounding issues like the transition of communications networks to all-Internet Protocol technology, which is important to our competitive positioning, growth strategy, and long-term business objectives.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future government shutdowns or significant reduction in federal agency operations, may also diminish our ability to access the public markets and obtain necessary capital to properly capitalize and continue operations. Although we have insignificant sales involving the government, a shutdown may also impede our customers’ ability to obtain or utilize federal funds and regulatory approvals, potentially reducing their demand for our services or adversely affecting their ability to make timely payments to us.</w:t>
      </w:r>
    </w:p>
    <w:p>
      <w:pPr>
        <w:spacing w:after="0" w:line="11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in which we participate is highly competitive, and if we do not compete effectively, our business, results of operations and financial condition could be adversely affected.</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market for cloud communications is rapidly evolving, significantly fragmented and highly competitive, with relatively low barriers to entry in some segments while other areas experience increased barriers. The principal competitive factors in our market include completeness of our suite of service offerings,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25" w:lineRule="exact"/>
        <w:rPr>
          <w:sz w:val="20"/>
          <w:szCs w:val="20"/>
          <w:color w:val="auto"/>
        </w:rPr>
      </w:pPr>
    </w:p>
    <w:p>
      <w:pPr>
        <w:ind w:left="660" w:right="20" w:hanging="328"/>
        <w:spacing w:after="0" w:line="28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CPaaS companies that offer software APIs, less robust customer support and fewer other features, while relying on third-party networks and physical infrastructure; and</w:t>
      </w:r>
    </w:p>
    <w:p>
      <w:pPr>
        <w:spacing w:after="0" w:line="9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service providers that offer limited developer functionality on top of their own networks and physical infrastructure.</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Some of our competitors and potential competitors are larger and have greater name recognition, longer operating histories, more established customer relationships, greater penetration into the enterprise space, a larger global reach, larger budgets and significantly greater resources than we do. In addition, they have the operating flexibility to bundle competing products and services at little or no incremental cost, including by offering them at a lower price as part of a larger sales transaction. As a result, our competitors may be able to respond more quickly and effectively than we can to new or changing opportunities, technologies, technical and commercial standards or customer requirements and preferences.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which may force us to compete on price in order to remain competitive and therefore erode our profit margins. Customers utilize our services in many ways and use varying levels of functionality that our services offer or are capable of supporting or enabling our services within their applications. Customers using only limited functionality may be able to more easily replace our services with competitive offerings. By contrast, customers using many of the features of our services or using our services to support or enable core functionality for their applications may find it difficult or impractical to replace our services with a competitor’s services.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 the introduction of new services and new market entrants, we expect competition to intensify in the future. In addition, some of our customers choose to use both our services and our competitors’ services in order to provide redundancy in their ability to deliver their own product offerings. Moreover, as we expand the scope of our services, we may face additional competition. If one or more of our competitors were to merge or partner with another of our competitors, this change in the competitive landscape could further adversely affect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current and potential competitors have developed, and in the future may develop, service offerings that are available not only in the United States, but also internationally. To the extent that customers seek service offerings that include support and scaling internationally, they may choose to use other service providers to fill their communication service needs before we have fully expanded and scaled our international offerings. Each of these factors could lead to reduced revenue, slower growth and lower international brand name recognition amongst our industry competitors, any or all of which could harm our business, results of operations and financial condition.</w:t>
      </w:r>
    </w:p>
    <w:p>
      <w:pPr>
        <w:spacing w:after="0" w:line="13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in a cost-effective manner, our business, results of operations and financial condition could be adversely affected.</w:t>
      </w:r>
    </w:p>
    <w:p>
      <w:pPr>
        <w:spacing w:after="0" w:line="8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and as target audience preferences shift across channels,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for some of our services is new and unproven, may decline or experience limited growth and is dependent in part on enterprises and developers continuing to adopt our platform and use our services.</w:t>
      </w:r>
    </w:p>
    <w:p>
      <w:pPr>
        <w:spacing w:after="0" w:line="11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We have been developing and providing a cloud-based platform that enables developers and organizations to integrate voice and messaging communications capabilities into their software applications. This market is subject to a number of risks and uncertainties. We believe that our future success will depend in large part on the growth, if any, of this market. For example, developers and organizations may not recognize the need for, or benefits of, our services and platform. And even if they recognize the need for and benefits of our services and platform, they may decide to adopt alternative services and/or develop the necessary services in-house to satisfy their business needs.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market for our services and platform could fail to grow significantly or there could be a reduction in demand for our services and platform as a result of a lack of customer acceptance, technological changes or challenges, or our inability to successfully introduce new product offerings. If demand for our services and platform does not grow or if it decreases, then our business, results of operations and financial condition could be adversely affected.</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ability to achieve revenue growth, cashflow, and operating performance depends on retaining customers and increasing their use of our services.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usage levels</w:t>
      </w:r>
      <w:r>
        <w:rPr>
          <w:rFonts w:ascii="Times New Roman" w:cs="Times New Roman" w:eastAsia="Times New Roman" w:hAnsi="Times New Roman"/>
          <w:sz w:val="19"/>
          <w:szCs w:val="19"/>
          <w:color w:val="008080"/>
        </w:rPr>
        <w:t>,</w:t>
      </w:r>
      <w:r>
        <w:rPr>
          <w:rFonts w:ascii="Times New Roman" w:cs="Times New Roman" w:eastAsia="Times New Roman" w:hAnsi="Times New Roman"/>
          <w:sz w:val="19"/>
          <w:szCs w:val="19"/>
          <w:color w:val="auto"/>
        </w:rPr>
        <w:t xml:space="preserve"> and the loss of customers or reductions in their service usage levels may each have a negative impact on our business, results of operations and financial condition and may cause our net retention rate to decline in the future. As a result, we may be required to spend significantly more than planned on sales and marketing efforts to maintain or increase revenue from customers, which could adversely affect our business, results of operations and financial condition then we may be unable to increase or maintain our revenue at acceptable margins.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1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ability to expand our sales to enterprise customers will depend, in part, on our ability to effectively organize, focus and train our sales and marketing personnel and to attract and retain sales personnel capable of selling to enterprises. We believe there is significant competition for experienced sales professionals with the skills and technical knowledge our business requires. Our ability to achieve significant revenue growth in the future will depend, in part, on our ability to recruit, train and retain a sufficient number of talented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2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sales cycle for typical enterprise customers is lengthy and complex. The adoption and implementation of our enterprise service offerings are often considered a strategic purchasing decision, and may require the approval of multiple executive-level technical and business decision-makers, including security, compliance, procurement, operations and IT. In addition, enterprise customers often require extensive education about our services and significant customer support time, engage in protracted pricing negotiations, and seek to secure readily available development resources. Enterprise customers may also require deployment of our services on a limited basis prior to making a commitment to deploy our services more broadly over a contracted period of time. These complex and resource-intensive sales efforts could place outsized strain on our limited product and engineering resources.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Further, enterprise customers, including some of our customers, may choose to develop their own solutions in-house that do not include our services. They also may demand reductions in pricing as their usage of our services increases, which could have an adverse impact on our gross margin. We may not be successful in our efforts to grow our enterprise customer base, and if we are unable to increase the revenue we derive from enterprises, then our business, results of operations and financial condition may be adversely affected.</w:t>
      </w:r>
    </w:p>
    <w:p>
      <w:pPr>
        <w:spacing w:after="0" w:line="12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do not develop enhancements to our services and introduce new services or features that achieve marketplace acceptance and preference, our business, results of operations and financial condition could be adversely affected.</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ability to attract new customers and increase revenue from existing customers depends in part on our ability to increase adoption and usage of our services, enhance and improve functionality of our existing services, and introduce new services and features. The success of any enhancements or new services or features depends on several factors, including timely completion, adequate quality testing, actual performance quality, market-accepted pricing levels and overall market acceptance. Enhancements and new services or features that we develop may not be introduced in a timely or cost-effective manner, may contain errors or defects, may have interoperability difficulties with our communications platform, network or other services, or may not achieve the broad market acceptance necessary to generate significant revenue.</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also must integrate with a variety of network, hardware, mobile and software platforms and technologies, which requires us to adapt our communications platform and product offerings to changes and innovation in these technologies. Wireline and wireless telephone providers, as well as cell-phone operating system providers such as Apple and Google, have developed, and may in the future develop, new applications, functions 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technologies intended to filter illegal robocalls or other unwanted phone calls or messages. Such applications, functions or technologies may inadvertently filter legal and desired calls or messages to or from our customers and in some cases, we may need to update our services and technology or work with these providers to ensure customer success in the face of these applications, functions or technologies. Any failure to operate effectively with evolving or new technologies could reduce the demand for our services. The introduction of new features for existing products may require new technology and services, which we may procure from third party vendors. The success of these upgrades may be dependent on reaching mutually acceptable terms with vendors, on vendors meeting their obligations in a timely manner, and on the financial and operational stability of selected vendors. If we cannot respond to technological changes and evolving customer requirements in a timely and cost-effective manner, or if our new or enhanced services do not gain market acceptance, our services may become less competitive or obsolete and our business, results of operations and financial condition would be adversely affected.</w:t>
      </w:r>
    </w:p>
    <w:p>
      <w:pPr>
        <w:spacing w:after="0" w:line="1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Use of AI in our business, and its use by others, may present challenges with properly managing its use including potential reputational harm, competitive harm, and legal liability, or otherwise adversely affect our operations.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currently use AI in our business primarily with a focus on driving operational efficiencies for greater productivity, including in customer service, internal operations and network management, and we continue to expand our exploration of such capabilities. We also offer our customers the ability to integrate certain AI technologies developed by third parties into certain of our offerings, and this integration capability is a prominent feature of our Maestro offering. Certain other features of our products are also supported by third-party AI technologies.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competitors or other third parties may incorporate AI into their products and offerings, or use AI to gain internal efficiencies, more quickly or more successfully than us. The failure to differentiate our offerings by incorporating AI features that our customers want or to realize operational efficiencies could impair our ability to compete effectively and adversely affect our business, reputation and results of operations.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with many developing technologies, AI presents risks and challenges, and may result in unintended consequences that could affect its further development, adoption, and use, and therefore our business. Deficiencies or other failures of AI systems could subject us to competitive harm, cybersecurity events, regulatory action, penalties, legal liability, or brand or reputational harm. Further, our customers may fail to provide adequate notice, collect consent, or otherwise fail to comply with applicable legal frameworks in their use of our products and services, or integrated AI products and services, which may subject us to regulatory action, private rights of action, legal liability, or brand or reputational harm.</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AI is an emerging technology for which the legal and regulatory landscape is evolving rapidly, which may result in new or enhanced governmental or regulatory scrutiny, litigation, confidentiality, privacy, intellectual property or security risks, ethical concerns, legal liability or other complications that could adversely affect our business, reputation and financial results. Laws and regulations applicable to AI are emerging and evolving, and the ultimate legal framework remains uncertain and may be inconsistent from jurisdiction to jurisdiction, including internationally. We may not always be able to anticipate how to respond to these legal frameworks, and our obligation to comply with the laws and regulations could entail significant costs, negatively affect our business, or entirely limit our ability to incorporate certain AI capabilities into our offerings. If we cannot use AI or if that use is restricted, our business may be less efficient or we may be at a competitive disadvantage.</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particular, there is significant uncertainty surrounding the applications of intellectual property and privacy laws to AI. Intellectual property ownership and license rights, including copyright, surrounding AI technology have not been fully addressed by courts or other federal or state laws or regulations, and our use of AI or incorporation of AI into our offerings may result in disputes with respect to ownership or intellectual property, or exposure to claims of copyright or other intellectual property misappropriation. In addition, AI may involve the processing of personal and other sensitive data and may be subject to laws, policies, legal obligations, and contractual requirements related to privacy, data protection, and information security. Certain privacy laws extend rights to consumers (such as the right to obtain consent or delete certain personal data) and regulate automated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decision making. An alleged or actual failure to meet these obligations may lead to regulatory investigations and fines or penalties; may require us to change our business practices or retrain our algorithms; or may prevent or limit our use of AI. It is also possible that we could be held liable for intellectual property, privacy, or other legal violations of third-party AI that we use, and that we may not have full recourse for any damages that we suffer (for example, our use of third-party AI may be subject to limitations of liability or provide no liability coverage (e.g., free or open-source technology)).</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algorithms or training methodologies used in the AI we use or offer may be flawed. Datasets may be overly broad, insufficient, or contain inappropriately biased information. Generative AI may also generate outputs that are inaccurate, misleading, harmful, or otherwise flawed. This may happen if the inputs that the model relied on were inaccurate, incomplete, or flawed (including if a bad actor “poisons” the model with bad inputs or logic), or if the logic of the algorithm is flawed (a so-called “hallucination”). Our customers or others may rely on or use such outputs to their detriment, or it may lead to adverse outcomes, which may expose us to brand or reputational harm, competitive harm, and/or legal liability. Finally, if we enable or offer services or technologies that draw scrutiny or controversy, we may experience brand or reputational harm, competitive harm, and/or legal liability.</w:t>
      </w:r>
    </w:p>
    <w:p>
      <w:pPr>
        <w:spacing w:after="0" w:line="121"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As we continue to expand our services geographically and otherwise, we may experience difficulties in maintaining our corporate culture, operational infrastructure and management, and our business, results of operations and financial condition could be adversely affected.</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experienced substantial expansion in our business, including internationally through our acquisition of Voxbone in late 2020. We believe that our corporate culture has been a critical component of our success. We have invested substantial time and resources in building our team and nurturing our culture. As we further expand our business and continue to grow internationally, we may find it difficult to maintain our corporate culture. Any management of organizational changes in a manner that fails to preserve the key aspects of our culture could hurt our chance for future success, including our ability to recruit and retain personnel, and effectively focus on and pursue our corporate objectives.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our organizational structure has become more complex. In order to manage these increasing complexities, we will need to continue to scale and adapt our operational, financial and management controls, and our reporting systems and procedures. The expansion or, if we deem appropriate, consolidation of our systems and infrastructure will require us to commit substantial financial, operational and management resources before our revenue increases and without any assurances that our revenue will increase. This expansion or consolidation could strain our ability to maintain reliable service levels for our customers.</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we are unable to effectively maintain our corporate culture or fail to achieve the necessary level of efficiency in our organization as we grow, then our business, results of operations and financial condition could be adversely affected.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pricing and billing systems are complex, and errors could adversely affect our results of operations.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pricing and billing systems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that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2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revenue recognition, and inaccuracies in our billing could result in lost revenue. If we fail to adapt quickly and effectively to changes affecting our costs, pricing and billing, our profitability and cash flow will be adversely affected.</w:t>
      </w:r>
    </w:p>
    <w:p>
      <w:pPr>
        <w:spacing w:after="0" w:line="8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must continue to develop effective business support systems to implement customer orders and to provide and bill our customers for services.</w:t>
      </w:r>
    </w:p>
    <w:p>
      <w:pPr>
        <w:spacing w:after="0" w:line="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07"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quoting, accepting and inputting customer orders for services;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provisioning, installing and delivering services;</w:t>
      </w:r>
    </w:p>
    <w:p>
      <w:pPr>
        <w:spacing w:after="0" w:line="80"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customers with direct access to the information systems included in our communications platform so that they can manage the services they purchase from us, generally through web-based customer portals; and</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 for services.</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we are unable to develop, maintain, and scale these systems effectively, or if data migration or integration efforts fail or are significantly delayed, we may experience errors or delays in processing orders, provisioning services, providing customers with accurate information about their services, or supporting billing activities. Any such issues could negatively affect customer satisfaction, increase our costs and harm our business, results of operations and financial condition.</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that maintaining and enhancing our brand identity and increasing market awareness of our company and services are critical to achieving widespread acceptance of our company and our communications platform, strengthening our relationships with our existing customers, and attracting new customers. The successful promotion of our brand depends largely on our continued marketing efforts, our ability to continue to offer high quality services meeting the evolving needs of existing and prospective customers,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From time to time, we have received customer complaints about our services, including with respect to pricing, customer support, unwanted traffic and disruption to, or outage of, our services. If we do not handle customer complaints effectively, then our brand and reputation may suffer, our customers may lose confidence in us and they may reduce or cease their use of our services. In addition, social media has become a widespread method by which consumers communicate about products and services they purchase, including our services and communications platform. Our ability to generate positive customer feedback and address or minimize negative feedback on social media channels where existing and potential customers seek and share information is important to our brand and reputation. Complaints or negative publicity about us, our services or our communications platform could materially and adversely affect our ability to attract and retain customers, our business, results of operations and financial condition.</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Many of our customers depend on our customer support team to help them deploy or use our services effectively, to help them resolve post-deployment issues quickly and to provide ongoing support. If we do not devote sufficient resources to,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operate internationally, which exposes us to risks that are incremental to those experienced by a company operating only domestically.</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expanded our international operations, including through the deployment of data centers in certain locations outside of the U.S. and our acquisition of Voxbone in late 2020. As part of our growth strategy, we will continue to evaluate potential opportunities for further international expansion.</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Operating in international markets requires significant resources and management attention, and subjects us to legal, regulatory, economic and political risks in addition to those we face in the United States. Our experience with international operations is more limited than our domestic experience, and further international expansion efforts may not be successful.</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particular, we face risks in doing business internationally that could adversely affect our business, including:</w:t>
      </w:r>
    </w:p>
    <w:p>
      <w:pPr>
        <w:spacing w:after="0" w:line="175" w:lineRule="exact"/>
        <w:rPr>
          <w:sz w:val="20"/>
          <w:szCs w:val="20"/>
          <w:color w:val="auto"/>
        </w:rPr>
      </w:pPr>
    </w:p>
    <w:p>
      <w:pPr>
        <w:ind w:left="660" w:hanging="328"/>
        <w:spacing w:after="0" w:line="283"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international political developments that may cause instability for businesses and volatility in global financial markets and the value of foreign currencies, any of which could disrupt trade and the sale of our services in international markets;</w:t>
      </w:r>
    </w:p>
    <w:p>
      <w:pPr>
        <w:spacing w:after="0" w:line="1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and staffing international operations, including difficulties related to the increased operations, travel, infrastructure, employee attrition and legal compliance costs associated with numerous international locations;</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price our products in competitive international markets;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network service providers outside of the United States;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adapt and localize our products for specific countries.</w:t>
      </w:r>
    </w:p>
    <w:p>
      <w:pPr>
        <w:spacing w:after="0" w:line="80"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keeping abreast of, understanding and complying with local laws, regulations and customs in multiple foreign jurisdictions, particularly in the areas of telecommunications, data privacy and security, and artificial intelligence;</w:t>
      </w:r>
    </w:p>
    <w:p>
      <w:pPr>
        <w:spacing w:after="0" w:line="2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related to differing technical standards, certification requirements and audit requirements outside the United States, which could prevent customers from deploying our products or limit their usage;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various anti-bribery and anti-corruption laws, such as the U.S. Foreign Corrupt Practices Act and U.K. Bribery Act 2010;</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trade policies, tariffs and other non-tariff barriers, such as quotas;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limited protection for intellectual property rights in some countries;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consequences relating to the complexity of operating in multiple international jurisdictions with differing tax frameworks;</w:t>
      </w:r>
    </w:p>
    <w:p>
      <w:pPr>
        <w:spacing w:after="0" w:line="80"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control regulations, which might restrict or prohibit our conversion of other currencies into U.S. dollars;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transfer of funds from or between international jurisdictions;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deterioration of political relations between the United States and other countries;</w:t>
      </w:r>
    </w:p>
    <w:p>
      <w:pPr>
        <w:spacing w:after="0" w:line="80"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epidemics, such as COVID-19, or natural disasters, which could have an adverse impact on our employees, contractors, customers, partners, travel and the global economy;</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social unrest, acts of war or economic instability in a specific country or region in which we operate, which could have an adverse impact on our operations in that location; and</w:t>
      </w:r>
    </w:p>
    <w:p>
      <w:pPr>
        <w:spacing w:after="0" w:line="24"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geopolitical conflicts and related government actions, such as the military conflict between Russia and Ukraine and the United States-Israel and Iran conflict, continued or expanded conflict in those regions, or similar conflicts in other regions, could disrupt our operations in affected areas (including locations such as our office in Romania), impact customer demand or cause broader volatility in global markets.</w:t>
      </w:r>
    </w:p>
    <w:p>
      <w:pPr>
        <w:spacing w:after="0" w:line="11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overall gross margin may fluctuate as we further expand our operations and customer base internationally.</w:t>
      </w:r>
    </w:p>
    <w:p>
      <w:pPr>
        <w:spacing w:after="0" w:line="10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harm our international operations, and adversely affect our business, results of operations and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significant portion of our revenue is concentrated in a limited number of large customers.</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A significant portion of our revenue is concentrated among a limited number of large customers. If we lost several of our top ten customers, or, if several of these major customers significantly decreased their usage of our services, our business would be materially and adversely affected.</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Attacks on or breaches of our networks or systems, or those of third parties upon which we rely, could degrade our ability to conduct our business, compromise the integrity of our services and our communications platform, result in service degradation or outages, significant data losses, the theft of our intellectual property, investigations and fines by government agencies and damage to our reputation, and could expose us to liability to third parties and require us to incur significant additional costs to maintain the security of our networks and data.</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Our communications platform processes, stores, and transmits our own sensitive data as well as customers’ and partners’ proprietary, confidential, and sensitive data, such as personal information, protected health information, and financial data. We are a target of threat actors seeking unauthorized access to our or our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customers’ or third-party service providers’ systems or data or to disrupt our operations or ability to provide our services.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also use third-party service providers, sub-processors, and technology to help us deliver services to our customers and their end-users, as well as for our internal business operations. These third-party providers may process, store, or transmit data of our employees, partners, customers, and customers’ end-users or may otherwise be used to help operate our technology. Some of this third-party technology, including open-source software, could be used as an attack vector. Even though we may not control the security measures of these vendors, we may be responsible for any breach of such measures.</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Cyber-attacks, including through the use of malware, computer viruses, distributed denial of service (“DDoS”)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communications platform. Cyber-attacks may cause service degradation or outages,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nation-states.</w:t>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use AI technologies internally, and we also have incorporated AI-powered features into certain of our solutions and may continue to do so in the future. The integration of AI models and large data sets into our products and internal systems, including those provided by third parties, may heighten our exposure to cyber-attacks, data breaches, misuse of our data and other security incidents. In addition, AI technologies may be used in connection with cyber-attacks, which may increase in sophistication, frequency or speed of such attacks and, in turn, make them more difficult to detect or mitigate.</w:t>
      </w:r>
    </w:p>
    <w:p>
      <w:pPr>
        <w:spacing w:after="0" w:line="1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Despite our efforts to reduce the risks associated with cyber-attacks, including the implementation of a number of defensive measures and protocols designed to protect our systems and networks, there can be no assurance that our cybersecurity risk management program and processes, including our policies, controls or procedures, will be fully implemented, complied with or effective in protecting our systems and information, and such efforts may be insufficient to repel or mitigate the effects of a major cyber-attack. Cybersecurity events, like the DDoS attack we experienced in late 2021, may have cascading effects that unfold over time and result in additional costs, including costs associated with defensive measures, investigations, contractual claims, performance penalties, litigation, the loss of future business and other losses and liabilities that may be difficult to foresee. Any perception by existing and prospective customers that our network and systems are not secure could result in a material loss of business and revenue and damage our reputation. We will continue to deploy security enhancements in an effort to further secure our network.</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techniques used by individuals or entities to access, disrupt or sabotage devices, systems and networks change frequently and may not be recognized until launched against a target. We may be unable to anticipate these techniques, and we may not become aware in a timely manner of a security breach, which could exacerbate the negative impact of such an event on our business or that of our customers.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existing general liability and cyber liability insurance policies may not cover, or may cover only a portion of, any potential claims related to cyber incidents or security breaches that we experience or may not be adequate to indemnify us for all or any portion of liabilities that may be imposed. As insurance claims hit record levels and new cyber insurance legislation is introduced in the United States,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Many global insurance carriers now exclude coverage for attacks carried out by nation-states from their cyber insurance policies.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along with many other communications service providers, are subject to litigation regarding our billing, collection and remittance of non-income-based taxes and other similar charges regarding 911 services alleged to apply in certain states, counties, and municipalities located in California and Illinois. See “Part II, Item 1. Legal Proceedings,” in this Quarterly Report on Form 10-Q. We may face similar litigation in other jurisdictions in the future. While we are vigorously defending these lawsuits, litigation is inherently uncertain. Tax assessments, penalties and interest or future requirements arising from these lawsuits, the settlement of any such lawsuit or any other lawsuits that may arise in other jurisdictions, may adversely affect our business, results of operations and financial condition. We have also filed a lawsuit against the city of San Francisco with respect to its assessment of certain 911-related taxes and charges.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face a risk of litigation and/or regulatory enforcement actions resulting from customer or end user misuse of our services and software to make or send unauthorized and/or unsolicited calls and/or messages, including those in violation of the Telephone Consumer Protection Act of 1991 (the “TCPA”), the Telemarketing Sales Rule (the “TSR”), and other state and federal laws. Customer or end user misuse of our services and software also could damage our reputation.</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Calls and/or text messages originated or passed to us by our customers may subject us to potential risks, including litigation, civil liability, regulatory enforcement actions, fines, and reputational damage. For example, the TCPA restricts telemarketing and the use of technologies that enable automatic calling and/or messaging without proper customer consent. In addition, the TSR prohibits deceptive and abusive telemarketing practices. The TSR, which is enforced by the FTC, makes it unlawful for any person or entity to “provide substantial assistance or support to any seller or telemarketer when that person knows or consciously avoids knowing that the seller or telemarketer is engaged in any act or practice” that violates the TSR.</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misuse of our offerings by our customers, or customers of our customers, may result in civil claims and/or agency enforcement actions against us, including those arising due to misuse of our platform or offerings, and requests for information through third-party subpoenas or regulatory investigations. For example, we have received correspondence from the FTC relating to customers using our network to transit “robocall” traffic. We have received similar correspondence from the FCC relating to our role as a gateway provider. Additionally, we are in regular communication with numerous state attorneys general regarding efforts to curb illegal robocalling. Internationally, we also may become subject to similar laws imposing limitations on marketing calls to wireline and wireless numbers. The scope and interpretation of the laws and regulations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taking mandatory actions such as obtaining proper customer consent, we could become subject to costly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Some of our customers, or customers of our customers, may use our platform to transmit illegal, offensive, unsolicited and/or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and in certain jurisdictions, an end user,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In cases where our customers are reselling our services, we are relying on a contractual pass-through by our customers of similar contractual representations from their end users.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found to be liable for our customers’ activities, we could be required to pay fines or penalties, redesign our business methods, limit our provision of certain services or otherwise expend resources to remedy any damages caused by such actions and avoid future liability.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also subject to litigation in the ordinary course of business, and uninsured judgments or a rise in insurance premiums may adversely affect our results of operations.</w:t>
      </w:r>
    </w:p>
    <w:p>
      <w:pPr>
        <w:spacing w:after="0" w:line="1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a settlement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 See “Part II, Item 1. Legal Proceedings,” in this Quarterly Report on Form 10-Q.</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current or future regulations change, the FCC, state or local regulators or regulators in jurisdictions abroad may not grant us required regulatory authorizations or may take action against us if they determine we have provided services without obtaining the necessary authorizations or that we have violated other requirements of their rules and orders. Delays in receiving required regulatory approvals or the enactment of new adverse or burdensome regulation or regulatory requirements may slow our growth and have a material adverse effect on our business, results of operations and financial condition.</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addition,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and other U.S. Supreme Court cases such as </w:t>
      </w:r>
      <w:r>
        <w:rPr>
          <w:rFonts w:ascii="Times New Roman" w:cs="Times New Roman" w:eastAsia="Times New Roman" w:hAnsi="Times New Roman"/>
          <w:sz w:val="20"/>
          <w:szCs w:val="20"/>
          <w:i w:val="1"/>
          <w:iCs w:val="1"/>
          <w:color w:val="auto"/>
        </w:rPr>
        <w:t>Corner Post, Inc. v. Board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Governors of the Federal Reserve System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Securities and Exchange Commission v. Jarkesy </w:t>
      </w:r>
      <w:r>
        <w:rPr>
          <w:rFonts w:ascii="Times New Roman" w:cs="Times New Roman" w:eastAsia="Times New Roman" w:hAnsi="Times New Roman"/>
          <w:sz w:val="20"/>
          <w:szCs w:val="20"/>
          <w:color w:val="auto"/>
        </w:rPr>
        <w:t>may introduce additional uncertainty into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U.S. regulatory process and result in additional challenges to actions taken by federal regulatory agencies. For example, in January 2025, the U.S. Court of Appeals for the Eleventh Circuit vacated the FCC’s “One-to-One Consent Rule”. The court, citing </w:t>
      </w:r>
      <w:r>
        <w:rPr>
          <w:rFonts w:ascii="Times New Roman" w:cs="Times New Roman" w:eastAsia="Times New Roman" w:hAnsi="Times New Roman"/>
          <w:sz w:val="20"/>
          <w:szCs w:val="20"/>
          <w:i w:val="1"/>
          <w:iCs w:val="1"/>
          <w:color w:val="auto"/>
        </w:rPr>
        <w:t>Loper Bright</w:t>
      </w:r>
      <w:r>
        <w:rPr>
          <w:rFonts w:ascii="Times New Roman" w:cs="Times New Roman" w:eastAsia="Times New Roman" w:hAnsi="Times New Roman"/>
          <w:sz w:val="20"/>
          <w:szCs w:val="20"/>
          <w:color w:val="auto"/>
        </w:rPr>
        <w:t>, found that the FCC exceeded its statutory authority under the TCPA by imposing the new consent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Proceedings before the FCC or regulators from international jurisdictions could limit our access to various network services or further increase the rates we must pay for such services. For example, a proposed proceeding before the FCC as of February 2026 could result in a change in the amount we pay to other carriers or a reduction in the revenue we derive from other carriers in, or retroactive liability for, access charges and reciprocal compensation. A number of states also have proceedings pending that could impact our access to and the rates we pay for network services. Other state proceedings could limit our pricing and billing flexibility. Other recent proceedings before the FCC have produced new rules in the areas of IP Interconnection, cybersecurity compliance, emergency services, robocalling and robotexting, and others that could result in increases in the cost of regulatory compliance. For example, the FCC continues to examine how to improve the delivery of emergency 911 services and whether to expand requirements to include communications services not currently subject to emergency calling obligations. As of March 25, 2025, providers must work with 911 authorities to establish NG911 connectivity within tight timelines as NG911 authorities declare readiness, and this process is often different from one 911 authority to the next and can create complexity and resource burdens. As of April 15, 2025, providers are required to provide a 911 outage notification to a potentially affected 911 special facility within 30 minutes of discovering such an outage. Conversely, the continued lack of regulatory certainty in the messaging ecosystem and marketplace has created considerable operational challenges that increase our operating costs and ability to support these services.</w:t>
      </w:r>
    </w:p>
    <w:p>
      <w:pPr>
        <w:spacing w:after="0" w:line="1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congressional legislative efforts to rewrite the Telecommunications Act of 1996 or enact other legislation impacting our operations, including but not limited to, legislation focused around issues of telecommunications, cybersecurity, and AI,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 Our business would be substantially impaired if the FCC, the courts, state commissions, or interconnected carriers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While we believe we comply in all material respects with all material federal, state, local and international rules and regulations, these regulations are subject to interpretation and the relevant regulators may determine that our application of these rules and regulations is not consistent with their interpretation. Additionally, third parties or government agencies may bring action with federal, state, local or international regulators if they believe a provider has breached applicable rules and regulations.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effects of either increased or decreased regulation of IP-based services are unknown.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While the FCC has generally subjected IP-based services in the United States to less stringent regulatory oversight than traditional telecommunications,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TRACED Act aims to mitigate illegal robocalls by directing the FCC to conduct certain rulemaking proceedings that include adopting rules that require participation in the technical standard known as STIR/SHAKEN, among other requirements. While additional countries have adopted or are expected to adopt the STIR/SHAKEN framework, other countries may seek to impose alternative regulatory obligations in an effort to mitigate illegal robocalling and such a fragmented country-by-country approach could increase operational costs and potentially prevent us from expanding to, or continuing to provide services in, certain jurisdictions.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Noncompliance with applicable FCC, FTC, state public utility corporation or other regulations or requirements could subject us to investigations, sanctions, enforcement actions, fines, consent decrees or other collateral consequences. If any governmental sanctions or fines are imposed, our business, results of operations, and financial condition could be materially adversely affected. In addition, responding to any governmental action will likely result in a diversion of management’s attention and resources and an increase in professional fees.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significant regulation and require us to obtain and maintain numerous governmental licenses and permits in the United States and internationally. If we fail to obtain and maintain those licenses and permits, we may not be able to conduct our business. Moreover, changes in regulatory requirements could significantly increase our costs or otherwise adversely affect our operations.</w:t>
      </w:r>
    </w:p>
    <w:p>
      <w:pPr>
        <w:spacing w:after="0" w:line="1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operating our network and providing our services, we must obtain and maintain a variety of telecommunications and other licenses, permits and authorizations. We also must comply with a variety of ongoing regulatory obligations. If we are unable to obtain and maintain the licenses and permits needed to operate and expand our network on acceptable terms and on a timely basis, our business could be materially adversely affected. In addition, the cancellation or non-renewal of the licenses or permits we hold could materially adversely affect our business. Our failure to comply with the obligations imposed upon license and permit holders, including the payment of fees or the filing of required reports, may cause sanctions or additional costs, including the revocation of authority to provide services.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operations are subject to regulation at the regional bloc (e.g., the European Union), country, state and local levels. Changes to existing regulations or rules, or the failure of regulatory agencies to regulate in areas historically regulated on matters such as network neutrality, licensing fees, environmental, health and safety, privacy, intercarrier compensation, emergency services, interconnection, illegal robocalling, extraterritorial use of telephone numbers, cybersecurity, AI and other areas, in general or particular to our industry, may increase uncertainty and costs and restrict operations or decrease revenue.</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Our inability or failure to comply with communications and other laws and regulations that impact our business model and overall position in the marketplace could cause the temporary or permanent suspension of our operations. For example, we have received correspondence from the FCC relating to traffic transmitted by us as a gateway provider on behalf of overseas providers. Under FCC rules, gateway providers must take reasonable and effective steps to ensure that any foreign originating or intermediate providers are not using a gateway provider to carry or process a high volume of illegal traffic onto U.S. networks. Any failure to abide by these rules may result in enforcement action, up to and including an order from the FCC directing voice providers to block traffic from an identified gateway provider.</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if we cannot provide emergency calling functionality through our communications platform to meet applicable federal, state, local or international requirements, the competitive advantages that we have may not persist, adversely affecting our ability to obtain and to retain enterprise customers which could have an adverse impact on our business.</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communications laws and regulations in the non-U.S. countries where we offer our services. Numerous country-specific laws and governmental regulations apply to our business and may increase our costs,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data to national law enforcement authorities’ systems.</w:t>
      </w:r>
    </w:p>
    <w:p>
      <w:pPr>
        <w:spacing w:after="0" w:line="12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complex and evolving laws and regulations, commercial standards, contractual obligations and other requirements related to information collection.</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subject to various federal, state, local and foreign laws and regulations, contractual commitments and industry standards that create obligations and impose restrictions with respect to the collection, storage, retention, use, processing, transmission, sharing, disclosure and protection of personal data and other customer data, including “customer proprietary network information” as defined in applicable U.S. laws. We must comply with these obligations and restrictions and may be subject to significant consequences, including penalties and fines, if we fail to comply. These obligations and restrictions continue to develop and evolve rapidly, and it is possible that we may not be, or may not have been, compliant with each such obligation and restriction.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complexity and evolving nature of these obligations and restrictions subject us to the risk of differing interpretations, inconsistency or conflicts among countries or rules, and creates uncertainty regarding their application to our business. 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These obligations and restrictions may limit our ability to collect, store, process, use, transmit and share data with our customers, employees, consultants and third-party providers, which may result in our inability in certain cases to provide services to our customers or to offer a global customer experience. These obligations may also limit the ability of our customers to collect, store, retain, protect, use, process, transmit, share and disclose data with others through our services. Compliance with, and other burdens imposed by, such obligations and restrictions could increase the cost of our operations and adversely impact our business.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failure to comply with these obligations and restrictions or our own posted privacy policies and notices, or any security incident that results in a personal data breach or the unauthorized access to, or the acquisition, release or transfer of, other customer data, could subject us to investigations, proceedings or actions against us by governmental entities or others, lawsuits, fines, criminal penalties, statutory damages, consent decrees, injunctions, adverse publicity, contractual liability, civil liabilities, loss of customer confidence, damage to our brand and reputation or a loss of customers, any of which could materially harm our business.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we were to suffer or if one of our customers or vendors were to suffer a personal data breach or other security incident, we may be subject to the jurisdiction of a variety of governmental agencies. We may have to comply with a variety of data breach requirements at the national and state levels in the United States and in other countries,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From time to time, various federal, state and foreign legislative or regulatory bodies may enact new or additional laws and regulations concerning data-protection issues. For example, certain laws or regulations may mandate disclosure of customer information to domestic or international law enforcement bodies, which could adversely impact our business, our brand or our reputation with customers and may not always provide a level of protection for such information that is required by other laws or regulations. In other cases, some countries may limit the transfer of personal data or require that that personal data regarding customers in their country be maintained solely in their country. Having to maintain local data centers and redesign product, service and business operations to limit, within an individual country, the processing of personal data could increase our operating costs significantly.</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Additionally, some of our third-party vendors may have access to customer, end user or employee data. If these third-party vendors violate obligations and restrictions related to applicable data protection laws or our policies or contractual commitments, such violations may also put us, or data relating to our customers, end users or employees, at risk and could in turn have a material and adverse effect on our business.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suffer if we cannot obtain or retain numbering resources or are significantly limited with how numbers may be distributed to customers.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future success depends on our ability to procure numbering resources to meet customer demands at reasonable cost and without undue restrictions. Our ability to procure and distribute numbers may depend on factors outside of our control, such as regulations, the practices of the communications carriers that provide numbers to us in certain jurisdictions, the cost of obtaining and managing numbers and the level of demand for new numbers. Certain popular area code prefixes and specialized numbers have limited availability, and we may not be able to obtain those prefixes and specialized numbers in desired quantities. Our inability to acquire or retain such numbers would make our services, including our communications platform, less attractive to potential customers that desire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assignments of particular numbering resources. If we are not able to obtain or retain adequate inventory of numbering resources, our business, results of operations and financial condition could be materially adversely affected.</w:t>
      </w:r>
    </w:p>
    <w:p>
      <w:pPr>
        <w:spacing w:after="0" w:line="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obtained telecommunications regulatory licenses or are obtaining those licenses in various countries in which we do business, but in some countries, the regulatory regime around provisioning of phone numbers is unclear, subject to change, and may conflict from jurisdiction to jurisdiction. Furthermore, these regulations and government-specific approaches to their enforcement, as well as our products and services, are evolving and we may be unable to maintain compliance with applicable regulations, or enforce compliance by our customers, on a timely basis or without significant or prohibitive cost. Also, compliance with these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3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and we regularly require Company-wide training on these issues,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2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the technology we require to provide our services or expand the features we offer, including our communications platform, were determined by a court to infringe a patent held by another entity that refuses to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using the relevant technology and discontinue offering services incorporating the technology. If a claim of infringement were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negatively affect our ability to sell our services and subject us to possible litigation.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2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potentially expose us to substantial liability for intellectual property infringement and other losses.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agreements with customers and other third parties typically include indemnification or other provisions such as service level agreements under which we agree to indemnify or are otherwise liable to them for losses suffered or incurred as a result of claims of intellectual property infringement, service interruptions,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In the event we discover potential instances of infringement of our brand or trademarks, we will need to spend the time and resources to defend our trademarks, which can include, but is not limited to, actions which could incur steep business costs such as sending cease &amp; desist letter(s) and pursuing litigation.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well-known by the public that their use becomes generic and they lose trademark protection. Over the long-term,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liable for the information that content owners or distributors distribute over our network.</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fraudulently obtain access to customer accounts and other personal information, use our services to commit fraud or steal our services, which could damage our reputation, limit our growth or cause us to incur additional expenses.</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customers have been subject to “phishing,” which occurs when a third party calls or sends an email or text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spacing w:after="0" w:line="127" w:lineRule="exact"/>
        <w:rPr>
          <w:sz w:val="20"/>
          <w:szCs w:val="20"/>
          <w:color w:val="auto"/>
        </w:rPr>
      </w:pPr>
    </w:p>
    <w:p>
      <w:pPr>
        <w:ind w:left="660" w:right="20" w:hanging="328"/>
        <w:spacing w:after="0" w:line="295" w:lineRule="auto"/>
        <w:tabs>
          <w:tab w:leader="none" w:pos="64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spacing w:after="0" w:line="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power loss or Internet access interruption experienced by a customer, our service may be interrupted.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experience lower call quality than they are used to from traditional wireline or wireless telephone companies, including static, echoes and delays in transmissions.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not be able to call premium-rate telephone numbers such as 1-900 numbers and 976 numbers.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current or potential customers or their end users are unwilling to accept these differences, or perceive our services as less reliable than traditional telephone services, they may choose to remain with their current providers, reduce their use of our services, or discontinue our services altogether. Any of these outcomes could adversely affect our ability to attract and retain customers and could negatively impact our business, results of operations, and financial condition.</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spacing w:after="0" w:line="1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disease, accidents, terrorist acts, acts of war, power losses, security breaches, vandalism or other illegal acts, computer viruses or other causes. These delays, errors or failures could significantly impair our business due to:</w:t>
      </w:r>
    </w:p>
    <w:p>
      <w:pPr>
        <w:spacing w:after="0" w:line="138"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interruptions;</w:t>
      </w:r>
    </w:p>
    <w:p>
      <w:pPr>
        <w:spacing w:after="0" w:line="80"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malfunction of our communications platform on which our enterprise users rely for voice, messaging or emergency service functionality;</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customer liability;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install new service;</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unavailability of employees necessary to provide services;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delay in the completion of other corporate functions such as issuing bills and the preparation of financial statements; or</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for expensive modifications to our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Defects or errors in our services could diminish demand for our services, harm our business and results of operations and subject us to liability.</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emergency services do not function properly, we may be exposed to significant liability from our users.</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Certain of our IP telephony offerings, as well as the 911 and other emergency services solutions that we offer are subject to FCC and other rules governing the delivery of emergency calling services. New 911 outage notification rules promulgated by the FCC in 2024 went into effect on April 15, 2025, which require us to deliver 911 outage notifications to Public Safety Answering Points. The rules and laws that govern emergency calling services are subject to change as communications technologies and consumer use cases continue to evolve. Similar to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through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assistance to the wrong location. Even manual updates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 information should be provided to emergency call centers when the call originates from a mobile application are unsettled and evolving.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spacing w:after="0" w:line="123"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disruption to or termination of arrangements with key suppliers could cause delay and additional costs and could harm our relationships with current and prospective customers.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business is dependent on third-party carriers, suppliers for fiber, computers, software, transmission electronics and related network components, including network colocation facilities that are integrated into our network, some of which are critical to the operation of our business. If any of these third-party critical relationships is terminated, a supplier exits or curtails its business, a supplier fails to deliver critical services or equipment, or the supplier is forced to stop providing equipment or services due to supply chain issues or legal constraints, such as patent infringement, and we are unable to reach suitable alternative arrangements quickly, we may experience significant additional costs or an interruption, either temporary or permanent, in providing certain services to customers. If that happens, our business, results of operations and financial condition could be materially adversely affected. There can be no assurance that alternative components or equipment will be available when required or on terms that are commercially reasonable, which could extend our lead times, increase the cost of maintaining our network, result in service outages and otherwise harm our business, operating results and financial condition. We may not be able to continue to procure components at reasonable prices, which may require us to enter into longer-term contracts with component suppliers to obtain components at competitive prices. Any of the foregoing disruptions could exacerbate other risk factors and increase our costs and decrease our gross margins, harming our business, operating results and financial condition.</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other key suppliers upon which we rely could be unwilling or unable to provide us with the materials or services that we need to operate our communications platform on a timely basis or on terms that we find acceptable. Our financial counterparties, insurance providers or others also may default on their contractual obligations to us. If any of our key suppliers fail to continue to provide us with the materials or services that we rely upon to operate, we may not be able to replace them without disruptions to, or deterioration of, our services and we may incur higher costs associated with new suppliers. Transitioning to new suppliers also may result in the loss of the value of assets associated with the integration of third-party services into our network or service offerings.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customer churn rate may increase.</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Customer churn occurs when a customer reduces usage or discontinues service with us, whether voluntarily or involuntarily, such as a customer switching some or all of its usage to a competitor or going out of business. Changes in the economy, increased competition from other providers, cyber incidents such as the DDoS attack we experienced in late 2021, customer service preferences,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customer churn rates could cause our net retention rate to decline. A sustained and significant growth in the churn rate could have a material adverse effect on our business.</w:t>
      </w:r>
    </w:p>
    <w:p>
      <w:pPr>
        <w:spacing w:after="0" w:line="8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prices for certain of our services have decreased in the past and may decrease in the future, resulting in lower revenue than we anticipate.</w:t>
      </w:r>
    </w:p>
    <w:p>
      <w:pPr>
        <w:spacing w:after="0" w:line="8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Market prices for certain of our services have decreased over recent years. These decreases resulted from downward market pressure and other factors including:</w:t>
      </w:r>
    </w:p>
    <w:p>
      <w:pPr>
        <w:spacing w:after="0" w:line="106" w:lineRule="exact"/>
        <w:rPr>
          <w:sz w:val="20"/>
          <w:szCs w:val="20"/>
          <w:color w:val="auto"/>
        </w:rPr>
      </w:pPr>
    </w:p>
    <w:p>
      <w:pPr>
        <w:ind w:left="66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changes and network expansions, which have resulted in increased transmission capacity available for sale by us and by our competitors; and</w:t>
      </w:r>
    </w:p>
    <w:p>
      <w:pPr>
        <w:spacing w:after="0" w:line="118"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been willing to accept smaller operating margins in the short term in an attempt to increase long-term revenue.</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 and adversely impact our business.</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Network providers also may institute additional fees due to regulatory, competitive or other industry-related changes that increase our costs. For example, the major U.S. cellular carriers and their intermediaries have added a variety of fees that are applied to A2P messages delivered to their subscribers.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market conditions limit our ability to increase the prices we charge our customers.</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delivery of text messages to customers of mobile carriers in the U.S., and in certain other instances, our customers’ traffic must be routed through intermediaries who have direct access to network service providers. Although we are seeking direct connections with network service providers in a number of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such as those who develop and maintain our service offerings, could significantly delay or prevent the achievement of our development and strategic objectives. In particular, we depend to a considerable degree on the vision, skills, experience and effort of our Chief Executive Officer, David A. Morken. The replacement of any of our senior management personnel or other key employees can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hire, retain and motivate qualified personnel, our business will suffer.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future success depends, in part, on our ability to continue to attract and retain highly skilled personnel, and our inability to do so could adversely affect our business, results of operations and financial condition. Competition for talent in the technology industry has become increasingly intense, and the market to recruit, retain and motivate talent has become even more competitive. Many key individual contributors, particularly in software development, sales and cloud computing and telecommunications infrastructure, are critical to our success and can attract very significant compensation packages. In addition, we believe that there is, and will continue to be, intense competition for highly skilled management, technical, sales and other personnel with experience in our industry in the Raleigh, North Carolina area, where our corporate headquarters are located, and in other geographic locations where we maintain offices.</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have experienced and may continue to experience difficulties attracting, hiring and retaining highly-skilled personnel with appropriate qualifications, and may not be able to fill positions in desired geographic areas or at all. These difficulties may be exacerbated by the reactions of employees and prospective employees to our policies related to remote working flexibility. As a result, we have also experienced and may continue to experience increased compensation and training costs that may not be offset by either improved productivity or higher sales, which could reduce our profitability.</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seek to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Volatility or declines in our stock price may also affect our ability to attract and retain key personnel. Employees may be more likely to terminate their employment with us if the shares they own or the shares underlying any restricted stock units have not significantly appreciated in value, or if the value of the shares underlying restricted stock units they hold has depreciated significantly. If we are unable to retain our employees, our business, results of operations and financial condition could be adversely affected.</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additional tax liabilities for historic and future sales, use and similar taxes, which could adversely affect our results of operations.</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 See also “Part II, Item 1. Legal Proceedings” in this Quarterly Report on Form 10-Q.</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global operations and legal entity structure subject us to potentially adverse income tax consequences.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conduct our international operations through subsidiaries and branches,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 required to pay additional taxes, interest and penalties, which could result in additional tax charges, higher effective tax rates, reduced cash flows and lower overall profitability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Certain government agencies in jurisdictions where we and our affiliates do business have had an extended focus on issues related to the taxation of multinational companies. For example, on October 8, 2021, the Organisation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model rules for the domestic implementation of a 15% global minimum tax. Many countries have implemented legislation and other guidance to align their international tax rules with the OECD’s Framework recommendations and action plan that aim to standardize and modernize global corporate tax policy, including changes to cross-border tax, transfer pricing documentation rules, and nexus-based tax incentive practices.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As we continue to scale our international business, any changes to our global business activities may impact our effective tax rate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ability to use our net operating loss and tax credit carryforwards to offset future taxable income may be subject to certain limitations.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future utilization of our net operating loss and tax credit carryforwards (collectively, “Tax Attributes”) may be limited due to changes in ownership as defined under Section 382 of the Internal Revenue Code of 1986, as amended (the “Code”). In general, if we experience a greater than 50% aggregate change in ownership of certain significant stockholders or groups over a three-year period, utilization of our pre-change Tax Attributes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Tax Attributes before utilization and may be substantial. In the past we may have experienced, and in the future may experience, ownership changes as a result of subsequent shifts in our stock ownership. As a result, if we earn net taxable income, our ability to use our pre-change Tax Attributes to offset U.S. federal taxable income may be subject to limitations, which could potentially result in increased future tax liability to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redeem or repurchase shares of our stock in the future, we could be subject to an excise tax.</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Inflation Reduction Act of 2022 imposed a 1% excise tax on the fair market value of stock on certain repurchases (including redemptions) of stock by publicly traded corporations on or after January 1, 2023, subject to certain exceptions (including an exception that allows netting the amount of stock redemptions or repurchases against certain new issuances of stock). Subsequently, the U.S. Department of the Treasury issued final regulations providing additional rules about this excise tax. If we redeem or repurchase shares of our stock in the future, we could be subject to this excise tax, unless we qualify for any of the exceptions that are provided in the Inflation Reduction Act, in the final regulations, or in other future laws, regulations or rules. Any such excise tax would be our liability and could increase the amount of tax that we are required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in the unaudited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and deferred revenue, goodwill and intangible assets,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goodwill or intangible assets become impaired, we may be required to record a significant charge to earnings.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2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Earthquakes, hurricanes, fires, floods, pandemics, power outages, terrorist attacks, acts of war, civilian unrest and other significant events could disrupt our business and ability to serve our clients.</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 significant event, such as an earthquake, hurricane, a fire, a flood, a pandemic, a power outage, terrorist attack, act of war, such as the ongoing Russia-Ukraine conflict or the conflict between the United States-Israel and Iran, or civilian unrest, could have a material adverse effect on our business, results of operations or financial condition. Health concerns or governmental, legal, political or regulatory developments in the United States or other countries in which we or our customers, partners and service providers operate could cause economic, labor or social instability and reduce demand for our services or impair our ability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including acts of war, also could cause disruptions in our business.</w:t>
      </w:r>
    </w:p>
    <w:p>
      <w:pPr>
        <w:spacing w:after="0" w:line="11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If any of these events occur and our disaster recovery or business continuity plans prove to be inadequate, we could experience prolonged service outages, data loss, delays in billing or financial reporting, increased costs and damage to our reputation, any of which could adversely affect our business, results of operations, and financial condition.</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spacing w:after="0" w:line="11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106"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demands on management related to any significant increase in size after the acquisition;</w:t>
      </w:r>
    </w:p>
    <w:p>
      <w:pPr>
        <w:spacing w:after="0" w:line="67"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disruption of ongoing business and the diversion of management’s attention from the management of daily operations to management of integration activities;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fully achieve expected synergies and costs savings;</w:t>
      </w:r>
    </w:p>
    <w:p>
      <w:pPr>
        <w:spacing w:after="0" w:line="80"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32" w:lineRule="exact"/>
        <w:rPr>
          <w:rFonts w:ascii="Times New Roman" w:cs="Times New Roman" w:eastAsia="Times New Roman" w:hAnsi="Times New Roman"/>
          <w:sz w:val="20"/>
          <w:szCs w:val="20"/>
          <w:color w:val="auto"/>
        </w:rPr>
      </w:pPr>
    </w:p>
    <w:p>
      <w:pPr>
        <w:ind w:left="660" w:right="20" w:hanging="328"/>
        <w:spacing w:after="0" w:line="28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customers or the failure of customers to order incremental services that we expect them to order;</w:t>
      </w:r>
    </w:p>
    <w:p>
      <w:pPr>
        <w:spacing w:after="0" w:line="80" w:lineRule="exact"/>
        <w:rPr>
          <w:rFonts w:ascii="Times New Roman" w:cs="Times New Roman" w:eastAsia="Times New Roman" w:hAnsi="Times New Roman"/>
          <w:sz w:val="20"/>
          <w:szCs w:val="20"/>
          <w:color w:val="auto"/>
        </w:rPr>
      </w:pPr>
    </w:p>
    <w:p>
      <w:pPr>
        <w:ind w:left="660" w:hanging="328"/>
        <w:spacing w:after="0" w:line="28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provision services that are ordered by customers during the integration period;</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integration costs than anticipated;</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assimilation and retention of highly qualified, experienced employees, many of whom may be geographically dispersed;</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investigations, proceedings, fines, or penalties arising from or relating to the transaction or the acquired business, and any resulting liabilities may exceed our forecasts;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83"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of businesses with different revenue models, different contractual relationships, and increased customer concentration risks;</w:t>
      </w:r>
    </w:p>
    <w:p>
      <w:pPr>
        <w:spacing w:after="0" w:line="1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24"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evaluate or utilize the acquired business’ technology and accurately forecast the financial impact of an acquisition, including accounting charges; and</w:t>
      </w:r>
    </w:p>
    <w:p>
      <w:pPr>
        <w:spacing w:after="0" w:line="1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drag on our overall revenue growth rate or an increase of our net loss, which could cause analysts and investors to reduce their valuation of our company.</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Acquisitions or investments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Convertible Notes</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Servicing our debt requires a significant amount of cash, and additional indebtedness could intensify the risk associated with our indebtedness.</w:t>
      </w:r>
    </w:p>
    <w:p>
      <w:pPr>
        <w:spacing w:after="0" w:line="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and our subsidiaries may also be able to incur substantial additional debt in the future, some of which may be secured debt. We will not be restricted under the terms of the indentures governing the Convertible Notes from incurring additional debt, securing existing or future debt, recapitalizing our debt or taking a number of other actions that could have the effect of diminishing our ability to make payments on the Convertible Notes when due.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not have the ability to raise the funds necessary for cash settlement upon conversion of the Convertible Notes or to repurchase the Convertible Notes for cash following a fundamental change, and the conditional conversion feature of the Convertible Notes, if triggered, may adversely affect our financial conditions and operating results.</w:t>
      </w:r>
    </w:p>
    <w:p>
      <w:pPr>
        <w:spacing w:after="0" w:line="12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indentures governing the Convertible Notes or to pay the cash amounts due upon future conversions of the Convertible Notes as required by such indentures would constitute a default under such indentures. A default under the indentures governing the Convertible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addition, if the conditional conversion feature of the Convertible Notes is triggered, holders of Convertible Notes will be entitled to convert the Convertible Notes at any time during specified periods at their option as described in the indentures governing the Convertible Notes.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Capped Calls may affect the value of the Convertible Notes and our Class A common stock.</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pricing of our 0.25% Convertible Notes due March 1, 2026 (the “2026 Convertible Notes”) and 0.50% Convertible Notes due April 1, 2028 (the “2028 Convertible Notes” and, together with the 2026 Convertible Notes, the “Convertible Notes”), we entered into privately negotiated capped call transactions (the “2026 Capped Calls” and the “2028 Capped Calls,” respectively and, collectively, the “Capped Calls”) with certain financial institutions (the “option counterparties”). The 2028 Capped Calls are expected generally to reduce the potential dilution upon any conversion of the Convertible Notes and/or offset any cash payments we are required to make in excess of the principal amount of converted Convertible Notes, as the case may be, with such reduction and/or offset subject to a cap.</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have been advised that, in connection with establishing their initial hedges of the Capped Calls, the option counterparties or their respective affiliates entered into various derivative transactions with respect to our Class A common stock concurrently with or shortly after the pricing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Convertible Notes (and are likely to do so during any observation period related to a conversion of Convertible Notes). This activity could also cause or avoid an increase or a decrease in the market price of our Class A common stock or the Convertible Notes, which could affect your ability to convert the Convertible Notes and, to the extent the activity occurs during any observation period related to a conversion of Convertible Notes, it could affect the number of shares and value of the consideration that you will receive upon conversion of such Convertible Notes.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counterparty risk with respect to the Capped Calls.</w:t>
      </w:r>
    </w:p>
    <w:p>
      <w:pPr>
        <w:spacing w:after="0" w:line="1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Class A common stock may be volatile, and you could lose all or part of your investment.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March 31, 2026, the trading price of our Class A common stock has ranged from $9.20 per share to $198.61 per share. The trading price of our Class A common stock may continue to be volatile and could fluctuate significantly in response to numerous factors, many of which are beyond our control, including:</w:t>
      </w:r>
    </w:p>
    <w:p>
      <w:pPr>
        <w:spacing w:after="0" w:line="138" w:lineRule="exact"/>
        <w:rPr>
          <w:sz w:val="20"/>
          <w:szCs w:val="20"/>
          <w:color w:val="auto"/>
        </w:rPr>
      </w:pPr>
    </w:p>
    <w:p>
      <w:pPr>
        <w:ind w:left="660" w:right="20" w:hanging="328"/>
        <w:spacing w:after="0" w:line="283"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volatility caused by epidemics, endemics and pandemics, acts of war, or other significant domestic or international events;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prices and trading volumes of technology stocks;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volumes of our Class A common stock;</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technology companies generally, or those in our industry in particular;</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shares of our Class A common stock by us or our stockholders;</w:t>
      </w:r>
    </w:p>
    <w:p>
      <w:pPr>
        <w:spacing w:after="0" w:line="80"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2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those projections or our failure to meet those projections;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products or services;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us or other companies in our industry;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results of operations or fluctuations in our results of operations;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our competitors’ businesses or the competitive landscape generally;</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or developments affecting our operations, those of our competitors or our industry more broadly;</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or completed acquisitions of businesses, products, services or technologies by us or our competitors;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guidelines, interpretations or principles;</w:t>
      </w:r>
    </w:p>
    <w:p>
      <w:pPr>
        <w:spacing w:after="0" w:line="80"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rules adopted by certain index providers, such as S&amp;P Dow Jones, that limit or preclude inclusion of companies with multi-class capital structures in certain of their indices;</w:t>
      </w:r>
    </w:p>
    <w:p>
      <w:pPr>
        <w:spacing w:after="0" w:line="1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our management; and</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future sales of shares of our Class A common stock could cause the market price of our Class A common stock to decline.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Additionally, we rely on equity-based compensation as an important tool in attracting, retaining and motivating our employees. Shares of Class A common stock issued upon the exercise of outstanding options and upon the vesting of restricted stock unit awards under our equity incentive plans, and the shares reserved for future issuance under our equity incentive plans, will become eligible for sale in the public market upon issuance and will result in dilution to existing holders of our Class A common stock.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has the effect of concentrating voting control with those stockholders who held our capital stock prior to the completion of our initial public offering. This may limit or preclude stockholders’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Our Class A common stock has one vote per share, and our Class B common stock has ten votes per share. Substantially all of our Class B common stock continues to be held by our co-Founder, Chairman and CEO, David A. Morken, and our co-Founder Henry Kaestner. Because of the ten-to-one voting ratio between our Class B and Class A common stock, these holders of our Class B common stock collectively control approximately 42% of the combined voting power of our common stock and therefore would be able to exert significant influence over all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matters submitted to our stockholders for approval. This concentrated voting control limits or precludes stockholders’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feel are in their best interest as one of our stockholders. Moreover, this concentration of ownership may also adversely affect the trading price for our Class A common stock to the extent investors believe there are disadvantages in owning stock of a company that are perceived to have controlling stockholders.</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predict the impact our capital structure may have on our stock price.</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July 2017, S&amp;P Dow Jones, a provider of widely followed stock indices, announced that companies with multiple share classes, such as ours, would not be eligible for inclusion in certain of their indices. As a result, our Class A common stock is not eligible for these stock indices. Many investment funds are precluded from investing in companies that are not included in such indices, and these funds are unable to purchase our Class A common stock if we are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recommend that stockholders vote against our recommendations at stockholder meetings,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second amended and restated certificate of incorporation and third amended and restated bylaws, as well as provisions of Delaware law, could impair a takeover attempt.</w:t>
      </w:r>
    </w:p>
    <w:p>
      <w:pPr>
        <w:spacing w:after="0" w:line="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third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third amended and restated bylaws include provisions:</w:t>
      </w:r>
    </w:p>
    <w:p>
      <w:pPr>
        <w:spacing w:after="0" w:line="132" w:lineRule="exact"/>
        <w:rPr>
          <w:sz w:val="20"/>
          <w:szCs w:val="20"/>
          <w:color w:val="auto"/>
        </w:rPr>
      </w:pPr>
    </w:p>
    <w:p>
      <w:pPr>
        <w:ind w:left="660" w:hanging="328"/>
        <w:spacing w:after="0" w:line="269"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liability of, and providing indemnification to, our directors and officers;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ability of our stockholders to call and bring business before special meetings;</w:t>
      </w:r>
    </w:p>
    <w:p>
      <w:pPr>
        <w:spacing w:after="0" w:line="80"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3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our board of directors is classified into three classes of directors with staggered three-year terms;</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prohibiting stockholder action by written consent, which requires all stockholder actions to be taken at a meeting of our stockholders;</w:t>
      </w:r>
    </w:p>
    <w:p>
      <w:pPr>
        <w:spacing w:after="0" w:line="92" w:lineRule="exact"/>
        <w:rPr>
          <w:rFonts w:ascii="Times New Roman" w:cs="Times New Roman" w:eastAsia="Times New Roman" w:hAnsi="Times New Roman"/>
          <w:sz w:val="19"/>
          <w:szCs w:val="19"/>
          <w:color w:val="auto"/>
        </w:rPr>
      </w:pPr>
    </w:p>
    <w:p>
      <w:pPr>
        <w:ind w:left="660" w:hanging="328"/>
        <w:spacing w:after="0" w:line="283"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super-majority voting to amend some provisions in our second amended and restated certificate of incorporation and third amended and restated bylaws;</w:t>
      </w:r>
    </w:p>
    <w:p>
      <w:pPr>
        <w:spacing w:after="0" w:line="11" w:lineRule="exact"/>
        <w:rPr>
          <w:rFonts w:ascii="Times New Roman" w:cs="Times New Roman" w:eastAsia="Times New Roman" w:hAnsi="Times New Roman"/>
          <w:sz w:val="20"/>
          <w:szCs w:val="20"/>
          <w:color w:val="auto"/>
        </w:rPr>
      </w:pPr>
    </w:p>
    <w:p>
      <w:pPr>
        <w:ind w:left="660" w:hanging="328"/>
        <w:spacing w:after="0" w:line="281"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of stockholder proposals for business to be conducted at meetings of our stockholders and for nominations of candidates for election to our board of directors;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board of directors and stockholder meetings.</w:t>
      </w:r>
    </w:p>
    <w:p>
      <w:pPr>
        <w:spacing w:after="0" w:line="17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provision of our second amended and restated certificate of incorporation, third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certificate of incorporation and our third amended and restated bylaws include super-majority voting provisions that will limit your ability to influence corporate matters.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and our third amended and restated bylaws include provisions that require the affirmative vote of two-thirds of all of the outstanding shares of our capital stock entitled to vote to effect certain changes. These changes include amending or repealing our third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a stockholder’s ability to influence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third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Our third amended and restated bylaws provide, subject to limited exceptions, that the Court of Chancery of the State of Delaware will, to the fullest extent permitted by law, be the sole and exclusive forum for (i) any derivative action or proceeding brought on our behalf;</w:t>
      </w:r>
    </w:p>
    <w:p>
      <w:pPr>
        <w:spacing w:after="0" w:line="2" w:lineRule="exact"/>
        <w:rPr>
          <w:sz w:val="20"/>
          <w:szCs w:val="20"/>
          <w:color w:val="auto"/>
        </w:rPr>
      </w:pPr>
    </w:p>
    <w:p>
      <w:pPr>
        <w:ind w:left="300" w:hanging="292"/>
        <w:spacing w:after="0"/>
        <w:tabs>
          <w:tab w:leader="none" w:pos="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of breach of a fiduciary duty owed by any of our directors, officers or stockholder to us or our stockholders;</w:t>
      </w:r>
    </w:p>
    <w:p>
      <w:pPr>
        <w:spacing w:after="0" w:line="13" w:lineRule="exact"/>
        <w:rPr>
          <w:rFonts w:ascii="Times New Roman" w:cs="Times New Roman" w:eastAsia="Times New Roman" w:hAnsi="Times New Roman"/>
          <w:sz w:val="20"/>
          <w:szCs w:val="20"/>
          <w:color w:val="auto"/>
        </w:rPr>
      </w:pPr>
    </w:p>
    <w:p>
      <w:pPr>
        <w:jc w:val="both"/>
        <w:ind w:firstLine="8"/>
        <w:spacing w:after="0" w:line="248"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that is governed by the internal affairs doctrine; or (iv) any action arising pursuant to any provision of the Delaware General Corporation Law, our second amended and restated certificate of incorporation or our third amended and restated bylaws. This exclusive forum provision does not apply to suits brought to enforce a duty or liability created by the Exchange Act, which provides for exclusive jurisdiction of the federal courts. It could apply, however, to a suit that asserts claims under the Securities Act and falls within one or more of the categories enumerated in our choice of forum provision,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4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Our choice of forum provision may limit a stockholder’s ability to bring a claim in a judicial forum that it finds favorable for disputes with us or any of our directors, officers, other employees or stockholders, which may discourage lawsuits with respect to such claims. While Delaware courts have determined that choice of forum provisions are facially valid, a stockholder may nevertheless seek to bring a claim in a venue other than that designated in our exclusive forum provision. In such instance, we would expect to vigorously assert the validity and enforceability of the exclusive forum provision of our third amended and restated bylaws. Alternatively, if a court were to find the choice of forum provision contained in our third amended and restated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If we are unable to obtain capital on favorable terms or at all, we may have to reduce our operations or forego opportunities, and this may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Purchases of Equity Securities by the Issuer and Affiliated Purchasers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Information regarding purchases made by or on behalf of us or any “affiliated purchaser” (as defined in Rule 10b-18(a)(3) under the Securities Exchange Act of 1934, as amended) of our Class A Common Stock during the three months ended March 31, 2026 is provided below (in thousands, except share and per share amounts):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Average price paid per</w:t>
            </w:r>
          </w:p>
        </w:tc>
        <w:tc>
          <w:tcPr>
            <w:tcW w:w="0" w:type="dxa"/>
            <w:vAlign w:val="bottom"/>
          </w:tcPr>
          <w:p>
            <w:pPr>
              <w:spacing w:after="0"/>
              <w:rPr>
                <w:sz w:val="1"/>
                <w:szCs w:val="1"/>
                <w:color w:val="auto"/>
              </w:rPr>
            </w:pPr>
          </w:p>
        </w:tc>
      </w:tr>
      <w:tr>
        <w:trPr>
          <w:trHeight w:val="243"/>
        </w:trPr>
        <w:tc>
          <w:tcPr>
            <w:tcW w:w="2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Period</w:t>
            </w:r>
          </w:p>
        </w:tc>
        <w:tc>
          <w:tcPr>
            <w:tcW w:w="2240" w:type="dxa"/>
            <w:vAlign w:val="bottom"/>
            <w:gridSpan w:val="3"/>
          </w:tcPr>
          <w:p>
            <w:pPr>
              <w:jc w:val="center"/>
              <w:ind w:right="130"/>
              <w:spacing w:after="0" w:line="243" w:lineRule="exact"/>
              <w:rPr>
                <w:sz w:val="20"/>
                <w:szCs w:val="20"/>
                <w:color w:val="auto"/>
              </w:rPr>
            </w:pPr>
            <w:r>
              <w:rPr>
                <w:rFonts w:ascii="Times New Roman" w:cs="Times New Roman" w:eastAsia="Times New Roman" w:hAnsi="Times New Roman"/>
                <w:sz w:val="18"/>
                <w:szCs w:val="18"/>
                <w:color w:val="auto"/>
                <w:w w:val="94"/>
              </w:rPr>
              <w:t xml:space="preserve">purchased </w:t>
            </w:r>
            <w:r>
              <w:rPr>
                <w:rFonts w:ascii="Times New Roman" w:cs="Times New Roman" w:eastAsia="Times New Roman" w:hAnsi="Times New Roman"/>
                <w:sz w:val="23"/>
                <w:szCs w:val="23"/>
                <w:color w:val="auto"/>
                <w:w w:val="94"/>
                <w:vertAlign w:val="superscript"/>
              </w:rPr>
              <w:t>(1)</w:t>
            </w:r>
          </w:p>
        </w:tc>
        <w:tc>
          <w:tcPr>
            <w:tcW w:w="1800" w:type="dxa"/>
            <w:vAlign w:val="bottom"/>
          </w:tcPr>
          <w:p>
            <w:pPr>
              <w:jc w:val="right"/>
              <w:ind w:right="590"/>
              <w:spacing w:after="0" w:line="243" w:lineRule="exact"/>
              <w:rPr>
                <w:sz w:val="20"/>
                <w:szCs w:val="20"/>
                <w:color w:val="auto"/>
              </w:rPr>
            </w:pPr>
            <w:r>
              <w:rPr>
                <w:rFonts w:ascii="Times New Roman" w:cs="Times New Roman" w:eastAsia="Times New Roman" w:hAnsi="Times New Roman"/>
                <w:sz w:val="18"/>
                <w:szCs w:val="18"/>
                <w:color w:val="auto"/>
              </w:rPr>
              <w:t xml:space="preserve">share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18"/>
        </w:trPr>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1 - 31, 2026</w:t>
            </w:r>
          </w:p>
        </w:tc>
        <w:tc>
          <w:tcPr>
            <w:tcW w:w="8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2026</w:t>
            </w:r>
          </w:p>
        </w:tc>
        <w:tc>
          <w:tcPr>
            <w:tcW w:w="22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1 - 31, 2026</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-892810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60"/>
        <w:spacing w:after="0"/>
        <w:tabs>
          <w:tab w:leader="none" w:pos="2360" w:val="left"/>
        </w:tabs>
        <w:rPr>
          <w:sz w:val="20"/>
          <w:szCs w:val="20"/>
          <w:color w:val="auto"/>
        </w:rPr>
      </w:pPr>
      <w:r>
        <w:rPr>
          <w:rFonts w:ascii="Times New Roman" w:cs="Times New Roman" w:eastAsia="Times New Roman" w:hAnsi="Times New Roman"/>
          <w:sz w:val="18"/>
          <w:szCs w:val="18"/>
          <w:color w:val="auto"/>
        </w:rPr>
        <w:t>Total number of shares</w:t>
      </w:r>
      <w:r>
        <w:rPr>
          <w:sz w:val="20"/>
          <w:szCs w:val="20"/>
          <w:color w:val="auto"/>
        </w:rPr>
        <w:tab/>
      </w:r>
      <w:r>
        <w:rPr>
          <w:rFonts w:ascii="Times New Roman" w:cs="Times New Roman" w:eastAsia="Times New Roman" w:hAnsi="Times New Roman"/>
          <w:sz w:val="18"/>
          <w:szCs w:val="18"/>
          <w:color w:val="auto"/>
        </w:rPr>
        <w:t>Approximate dollar value of shares</w:t>
      </w:r>
    </w:p>
    <w:p>
      <w:pPr>
        <w:ind w:left="40"/>
        <w:spacing w:after="0" w:line="215" w:lineRule="auto"/>
        <w:tabs>
          <w:tab w:leader="none" w:pos="2460" w:val="left"/>
        </w:tabs>
        <w:rPr>
          <w:sz w:val="20"/>
          <w:szCs w:val="20"/>
          <w:color w:val="auto"/>
        </w:rPr>
      </w:pPr>
      <w:r>
        <w:rPr>
          <w:rFonts w:ascii="Times New Roman" w:cs="Times New Roman" w:eastAsia="Times New Roman" w:hAnsi="Times New Roman"/>
          <w:sz w:val="18"/>
          <w:szCs w:val="18"/>
          <w:color w:val="auto"/>
        </w:rPr>
        <w:t>purchased as part of publicly</w:t>
      </w:r>
      <w:r>
        <w:rPr>
          <w:sz w:val="20"/>
          <w:szCs w:val="20"/>
          <w:color w:val="auto"/>
        </w:rPr>
        <w:tab/>
      </w:r>
      <w:r>
        <w:rPr>
          <w:rFonts w:ascii="Times New Roman" w:cs="Times New Roman" w:eastAsia="Times New Roman" w:hAnsi="Times New Roman"/>
          <w:sz w:val="17"/>
          <w:szCs w:val="17"/>
          <w:color w:val="auto"/>
        </w:rPr>
        <w:t>that may yet be purchased under</w:t>
      </w:r>
    </w:p>
    <w:tbl>
      <w:tblPr>
        <w:tblLayout w:type="fixed"/>
        <w:tblInd w:w="0" w:type="dxa"/>
        <w:tblCellMar>
          <w:top w:w="0" w:type="dxa"/>
          <w:left w:w="0" w:type="dxa"/>
          <w:bottom w:w="0" w:type="dxa"/>
          <w:right w:w="0" w:type="dxa"/>
        </w:tblCellMar>
      </w:tblPr>
      <w:tr>
        <w:trPr>
          <w:trHeight w:val="161"/>
        </w:trPr>
        <w:tc>
          <w:tcPr>
            <w:tcW w:w="5020" w:type="dxa"/>
            <w:vAlign w:val="bottom"/>
            <w:gridSpan w:val="4"/>
          </w:tcPr>
          <w:p>
            <w:pPr>
              <w:jc w:val="right"/>
              <w:spacing w:after="0" w:line="161" w:lineRule="exact"/>
              <w:rPr>
                <w:sz w:val="20"/>
                <w:szCs w:val="20"/>
                <w:color w:val="auto"/>
              </w:rPr>
            </w:pPr>
            <w:r>
              <w:rPr>
                <w:rFonts w:ascii="Times New Roman" w:cs="Times New Roman" w:eastAsia="Times New Roman" w:hAnsi="Times New Roman"/>
                <w:sz w:val="18"/>
                <w:szCs w:val="18"/>
                <w:color w:val="auto"/>
              </w:rPr>
              <w:t>announced plan or program   publicly announced plan or program</w:t>
            </w:r>
          </w:p>
        </w:tc>
      </w:tr>
      <w:tr>
        <w:trPr>
          <w:trHeight w:val="150"/>
        </w:trPr>
        <w:tc>
          <w:tcPr>
            <w:tcW w:w="2180" w:type="dxa"/>
            <w:vAlign w:val="bottom"/>
          </w:tcPr>
          <w:p>
            <w:pPr>
              <w:jc w:val="right"/>
              <w:ind w:right="935"/>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jc w:val="right"/>
              <w:ind w:right="1218"/>
              <w:spacing w:after="0"/>
              <w:rPr>
                <w:sz w:val="20"/>
                <w:szCs w:val="20"/>
                <w:color w:val="auto"/>
              </w:rPr>
            </w:pPr>
            <w:r>
              <w:rPr>
                <w:rFonts w:ascii="Times New Roman" w:cs="Times New Roman" w:eastAsia="Times New Roman" w:hAnsi="Times New Roman"/>
                <w:sz w:val="12"/>
                <w:szCs w:val="12"/>
                <w:color w:val="auto"/>
              </w:rPr>
              <w:t>(1)</w:t>
            </w:r>
          </w:p>
        </w:tc>
      </w:tr>
      <w:tr>
        <w:trPr>
          <w:trHeight w:val="39"/>
        </w:trPr>
        <w:tc>
          <w:tcPr>
            <w:tcW w:w="2980" w:type="dxa"/>
            <w:vAlign w:val="bottom"/>
            <w:gridSpan w:val="3"/>
          </w:tcPr>
          <w:p>
            <w:pPr>
              <w:spacing w:after="0"/>
              <w:rPr>
                <w:sz w:val="3"/>
                <w:szCs w:val="3"/>
                <w:color w:val="auto"/>
              </w:rPr>
            </w:pPr>
          </w:p>
        </w:tc>
        <w:tc>
          <w:tcPr>
            <w:tcW w:w="2040" w:type="dxa"/>
            <w:vAlign w:val="bottom"/>
          </w:tcPr>
          <w:p>
            <w:pPr>
              <w:spacing w:after="0"/>
              <w:rPr>
                <w:sz w:val="3"/>
                <w:szCs w:val="3"/>
                <w:color w:val="auto"/>
              </w:rPr>
            </w:pPr>
          </w:p>
        </w:tc>
      </w:tr>
      <w:tr>
        <w:trPr>
          <w:trHeight w:val="218"/>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34"/>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3"/>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409" w:lineRule="exact"/>
        <w:rPr>
          <w:sz w:val="20"/>
          <w:szCs w:val="20"/>
          <w:color w:val="auto"/>
        </w:rPr>
      </w:pPr>
    </w:p>
    <w:p>
      <w:pPr>
        <w:sectPr>
          <w:pgSz w:w="11900" w:h="16838" w:orient="portrait"/>
          <w:cols w:equalWidth="0" w:num="2">
            <w:col w:w="6120" w:space="100"/>
            <w:col w:w="5020"/>
          </w:cols>
          <w:pgMar w:left="320" w:top="117" w:right="339" w:bottom="1440" w:gutter="0" w:footer="0" w:header="0"/>
          <w:type w:val="continuous"/>
        </w:sectPr>
      </w:pPr>
    </w:p>
    <w:p>
      <w:pPr>
        <w:jc w:val="both"/>
        <w:ind w:firstLine="656"/>
        <w:spacing w:after="0" w:line="245" w:lineRule="auto"/>
        <w:tabs>
          <w:tab w:leader="none" w:pos="841"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19, 2026, our Board of Directors authorized a share repurchase program of up to $80 million shares of our outstanding Class A common stock, subject to market conditions, contractual restrictions and other factors. As of March 31, 2026, we had repurchased approximately $5 million aggregate principal amount of shares of our Class A common stock under this program. Under the share repurchase program, we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we may have for the use or investment of our capital. The program does not obligate us to acquire any particular amount of Class A common stock, and the program may be extended, modified, suspended or terminated at any time at our discretion.</w:t>
      </w:r>
    </w:p>
    <w:p>
      <w:pPr>
        <w:spacing w:after="0" w:line="34" w:lineRule="exact"/>
        <w:rPr>
          <w:rFonts w:ascii="Times New Roman" w:cs="Times New Roman" w:eastAsia="Times New Roman" w:hAnsi="Times New Roman"/>
          <w:sz w:val="23"/>
          <w:szCs w:val="23"/>
          <w:color w:val="auto"/>
          <w:vertAlign w:val="superscript"/>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excludes transaction costs and excise tax associated with the repurchase,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describes any contracts, instructions or written plans for the sale or purchase of our securities adopted, amended or terminated by our directors or executive officers during the three months ended March 31, 2026, each of which is intended to satisfy the affirmative defense conditions of Rule 10b5-1(c).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Date of Adoption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Scheduled</w:t>
            </w:r>
          </w:p>
        </w:tc>
        <w:tc>
          <w:tcPr>
            <w:tcW w:w="5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Expiration Date of</w:t>
            </w: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Name and Title</w:t>
            </w: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of Rule 10b5-1</w:t>
            </w: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Rule 10b5-1</w:t>
            </w:r>
          </w:p>
        </w:tc>
        <w:tc>
          <w:tcPr>
            <w:tcW w:w="584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Aggregate Number of Securities to be Purchased or Sold</w:t>
            </w:r>
          </w:p>
        </w:tc>
        <w:tc>
          <w:tcPr>
            <w:tcW w:w="0" w:type="dxa"/>
            <w:vAlign w:val="bottom"/>
          </w:tcPr>
          <w:p>
            <w:pPr>
              <w:spacing w:after="0"/>
              <w:rPr>
                <w:sz w:val="1"/>
                <w:szCs w:val="1"/>
                <w:color w:val="auto"/>
              </w:rPr>
            </w:pPr>
          </w:p>
        </w:tc>
      </w:tr>
      <w:tr>
        <w:trPr>
          <w:trHeight w:val="229"/>
        </w:trPr>
        <w:tc>
          <w:tcPr>
            <w:tcW w:w="2320" w:type="dxa"/>
            <w:vAlign w:val="bottom"/>
            <w:gridSpan w:val="2"/>
            <w:vMerge w:val="continue"/>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Plan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Plan</w:t>
            </w:r>
          </w:p>
        </w:tc>
        <w:tc>
          <w:tcPr>
            <w:tcW w:w="5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Devin M. Krupka</w:t>
            </w:r>
            <w:r>
              <w:rPr>
                <w:rFonts w:ascii="Times New Roman" w:cs="Times New Roman" w:eastAsia="Times New Roman" w:hAnsi="Times New Roman"/>
                <w:sz w:val="21"/>
                <w:szCs w:val="21"/>
                <w:color w:val="auto"/>
                <w:vertAlign w:val="superscript"/>
              </w:rPr>
              <w:t>(1)</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3/13/2026</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3/13/2027</w:t>
            </w:r>
          </w:p>
        </w:tc>
        <w:tc>
          <w:tcPr>
            <w:tcW w:w="120" w:type="dxa"/>
            <w:vAlign w:val="bottom"/>
            <w:shd w:val="clear" w:color="auto" w:fill="CCEEFF"/>
          </w:tcPr>
          <w:p>
            <w:pPr>
              <w:spacing w:after="0"/>
              <w:rPr>
                <w:sz w:val="16"/>
                <w:szCs w:val="16"/>
                <w:color w:val="auto"/>
              </w:rPr>
            </w:pPr>
          </w:p>
        </w:tc>
        <w:tc>
          <w:tcPr>
            <w:tcW w:w="5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Covers the sale of up to (i) 10,000 shares of Class A common stock, plus (ii) an</w:t>
            </w:r>
          </w:p>
        </w:tc>
        <w:tc>
          <w:tcPr>
            <w:tcW w:w="0" w:type="dxa"/>
            <w:vAlign w:val="bottom"/>
          </w:tcPr>
          <w:p>
            <w:pPr>
              <w:spacing w:after="0"/>
              <w:rPr>
                <w:sz w:val="1"/>
                <w:szCs w:val="1"/>
                <w:color w:val="auto"/>
              </w:rPr>
            </w:pPr>
          </w:p>
        </w:tc>
      </w:tr>
      <w:tr>
        <w:trPr>
          <w:trHeight w:val="175"/>
        </w:trPr>
        <w:tc>
          <w:tcPr>
            <w:tcW w:w="2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SVP, Principal Accounting</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indeterminate number of shares of Class A common stock issued upon future</w:t>
            </w:r>
          </w:p>
        </w:tc>
        <w:tc>
          <w:tcPr>
            <w:tcW w:w="0" w:type="dxa"/>
            <w:vAlign w:val="bottom"/>
          </w:tcPr>
          <w:p>
            <w:pPr>
              <w:spacing w:after="0"/>
              <w:rPr>
                <w:sz w:val="1"/>
                <w:szCs w:val="1"/>
                <w:color w:val="auto"/>
              </w:rPr>
            </w:pPr>
          </w:p>
        </w:tc>
      </w:tr>
      <w:tr>
        <w:trPr>
          <w:trHeight w:val="128"/>
        </w:trPr>
        <w:tc>
          <w:tcPr>
            <w:tcW w:w="2320" w:type="dxa"/>
            <w:vAlign w:val="bottom"/>
            <w:gridSpan w:val="2"/>
            <w:vMerge w:val="continue"/>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 vesting events.</w:t>
            </w:r>
          </w:p>
        </w:tc>
        <w:tc>
          <w:tcPr>
            <w:tcW w:w="0" w:type="dxa"/>
            <w:vAlign w:val="bottom"/>
          </w:tcPr>
          <w:p>
            <w:pPr>
              <w:spacing w:after="0"/>
              <w:rPr>
                <w:sz w:val="1"/>
                <w:szCs w:val="1"/>
                <w:color w:val="auto"/>
              </w:rPr>
            </w:pPr>
          </w:p>
        </w:tc>
      </w:tr>
      <w:tr>
        <w:trPr>
          <w:trHeight w:val="106"/>
        </w:trPr>
        <w:tc>
          <w:tcPr>
            <w:tcW w:w="2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20" w:type="dxa"/>
            <w:vAlign w:val="bottom"/>
            <w:gridSpan w:val="2"/>
            <w:vMerge w:val="continue"/>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4"/>
        <w:spacing w:after="0" w:line="225" w:lineRule="auto"/>
        <w:tabs>
          <w:tab w:leader="none" w:pos="863"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12, 2026, the stock trading plan pursuant to Rule 10b5-1, adopted by Mr. Krupka on March 12, 2025, automatically terminated pursuant to its terms.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240" w:type="dxa"/>
            <w:vAlign w:val="bottom"/>
            <w:vMerge w:val="restart"/>
          </w:tcPr>
          <w:p>
            <w:pPr>
              <w:spacing w:after="0"/>
              <w:rPr>
                <w:sz w:val="13"/>
                <w:szCs w:val="13"/>
                <w:color w:val="auto"/>
              </w:rPr>
            </w:pP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6"/>
        </w:trPr>
        <w:tc>
          <w:tcPr>
            <w:tcW w:w="50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12/14/2017</w:t>
            </w:r>
          </w:p>
        </w:tc>
        <w:tc>
          <w:tcPr>
            <w:tcW w:w="0" w:type="dxa"/>
            <w:vAlign w:val="bottom"/>
          </w:tcPr>
          <w:p>
            <w:pPr>
              <w:spacing w:after="0"/>
              <w:rPr>
                <w:sz w:val="1"/>
                <w:szCs w:val="1"/>
                <w:color w:val="auto"/>
              </w:rPr>
            </w:pPr>
          </w:p>
        </w:tc>
      </w:tr>
      <w:tr>
        <w:trPr>
          <w:trHeight w:val="210"/>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0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Amended and Restated Bylaws.</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11/2/2023</w:t>
            </w:r>
          </w:p>
        </w:tc>
        <w:tc>
          <w:tcPr>
            <w:tcW w:w="0" w:type="dxa"/>
            <w:vAlign w:val="bottom"/>
          </w:tcPr>
          <w:p>
            <w:pPr>
              <w:spacing w:after="0"/>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the Chief Executive Officer pursuant to Exchange Act Rules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13a-14(a) and 15d-14(a), as adopted pursuant to Section 302 of the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Certification of the Chief Financial Officer pursuant to Exchange Act Rules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13a-14(a) and 15d-14(a), as adopted pursuant to Section 302 of the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80" w:type="dxa"/>
            <w:vAlign w:val="bottom"/>
          </w:tcPr>
          <w:p>
            <w:pPr>
              <w:spacing w:after="0"/>
              <w:rPr>
                <w:sz w:val="16"/>
                <w:szCs w:val="16"/>
                <w:color w:val="auto"/>
              </w:rPr>
            </w:pPr>
          </w:p>
        </w:tc>
        <w:tc>
          <w:tcPr>
            <w:tcW w:w="5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Furnished herewith</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pursuant to 18 U.S.C. Section 1350, as adopted pursuant to Section 906 of</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Sarbanes-Oxley Act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101.INS</w:t>
            </w:r>
          </w:p>
        </w:tc>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9"/>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hanging="332"/>
        <w:spacing w:after="0" w:line="26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certifications furnished in Exhibit 32.1 hereto are deemed to accompany this </w:t>
      </w:r>
      <w:r>
        <w:rPr>
          <w:rFonts w:ascii="Times New Roman" w:cs="Times New Roman" w:eastAsia="Times New Roman" w:hAnsi="Times New Roman"/>
          <w:sz w:val="18"/>
          <w:szCs w:val="18"/>
          <w:color w:val="231F20"/>
        </w:rPr>
        <w:t>Quarterly Report on Form 10-Q</w:t>
      </w:r>
      <w:r>
        <w:rPr>
          <w:rFonts w:ascii="Times New Roman" w:cs="Times New Roman" w:eastAsia="Times New Roman" w:hAnsi="Times New Roman"/>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Section 13 or 15(d) of the Securities Exchange Act of 1934, as amended, the Registrant has duly caused this Quarterly Report on Form 10-Q to be signed on its behalf by the undersigned, thereunto duly authorized.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9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2026</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Morken</w:t>
            </w:r>
          </w:p>
        </w:tc>
      </w:tr>
      <w:tr>
        <w:trPr>
          <w:trHeight w:val="218"/>
        </w:trPr>
        <w:tc>
          <w:tcPr>
            <w:tcW w:w="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Morken</w:t>
            </w:r>
          </w:p>
        </w:tc>
      </w:tr>
      <w:tr>
        <w:trPr>
          <w:trHeight w:val="229"/>
        </w:trPr>
        <w:tc>
          <w:tcPr>
            <w:tcW w:w="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2026</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Daryl E. Raiford</w:t>
            </w:r>
          </w:p>
        </w:tc>
      </w:tr>
      <w:tr>
        <w:trPr>
          <w:trHeight w:val="218"/>
        </w:trPr>
        <w:tc>
          <w:tcPr>
            <w:tcW w:w="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r>
      <w:tr>
        <w:trPr>
          <w:trHeight w:val="229"/>
        </w:trPr>
        <w:tc>
          <w:tcPr>
            <w:tcW w:w="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2026</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M. Krupka</w:t>
            </w:r>
          </w:p>
        </w:tc>
      </w:tr>
      <w:tr>
        <w:trPr>
          <w:trHeight w:val="218"/>
        </w:trPr>
        <w:tc>
          <w:tcPr>
            <w:tcW w:w="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M. Krupka</w:t>
            </w:r>
          </w:p>
        </w:tc>
      </w:tr>
      <w:tr>
        <w:trPr>
          <w:trHeight w:val="229"/>
        </w:trPr>
        <w:tc>
          <w:tcPr>
            <w:tcW w:w="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Controller</w:t>
            </w:r>
          </w:p>
        </w:tc>
      </w:tr>
      <w:tr>
        <w:trPr>
          <w:trHeight w:val="234"/>
        </w:trPr>
        <w:tc>
          <w:tcPr>
            <w:tcW w:w="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RULE 13a-14(a) OR 15d-14(a)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 Morken, certify that:</w:t>
      </w:r>
    </w:p>
    <w:p>
      <w:pPr>
        <w:spacing w:after="0" w:line="12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Bandwidth Inc.;</w:t>
      </w:r>
    </w:p>
    <w:p>
      <w:pPr>
        <w:spacing w:after="0" w:line="94"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28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2026</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540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David A. Morken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93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RULE 13a-14(a) OR 15d-14(a)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Daryl E. Raiford certify that:</w:t>
      </w:r>
    </w:p>
    <w:p>
      <w:pPr>
        <w:spacing w:after="0" w:line="10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Bandwidth Inc.;</w:t>
      </w:r>
    </w:p>
    <w:p>
      <w:pPr>
        <w:spacing w:after="0" w:line="10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2026</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Daryl E.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540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Daryl E. Raiford</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ectPr>
          <w:pgSz w:w="11900" w:h="16838" w:orient="portrait"/>
          <w:cols w:equalWidth="0" w:num="1">
            <w:col w:w="11240"/>
          </w:cols>
          <w:pgMar w:left="320" w:top="93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AND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Daryl E. Raiford, Chief Financial Officer of the Company, each hereby certifies that, to the best of his knowledge:</w:t>
      </w:r>
    </w:p>
    <w:p>
      <w:pPr>
        <w:spacing w:after="0" w:line="51" w:lineRule="exact"/>
        <w:rPr>
          <w:sz w:val="20"/>
          <w:szCs w:val="20"/>
          <w:color w:val="auto"/>
        </w:rPr>
      </w:pPr>
    </w:p>
    <w:p>
      <w:pPr>
        <w:jc w:val="both"/>
        <w:ind w:left="660" w:hanging="328"/>
        <w:spacing w:after="0" w:line="261"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Quarterly Report on Form 10-Q for the quarterly period ended March 31, 2026, to which this Certification is attached as Exhibit 32.1 (the “Periodic Report”), fully complies with the requirements of Section 13(a) or Section 15(d) of the Exchange Act; and</w:t>
      </w:r>
    </w:p>
    <w:p>
      <w:pPr>
        <w:spacing w:after="0" w:line="46"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Periodic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2026</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2486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David A. Morken</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Daryl E. Raiford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3248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Daryl E. Raiford</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8"/>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9"/>
    </w:lvl>
  </w:abstractNum>
  <w:abstractNum w:abstractNumId="10">
    <w:nsid w:val="2CA88611"/>
    <w:multiLevelType w:val="hybridMultilevel"/>
    <w:lvl w:ilvl="0">
      <w:lvlJc w:val="left"/>
      <w:lvlText w:val="%1."/>
      <w:numFmt w:val="decimal"/>
      <w:start w:val="10"/>
    </w:lvl>
  </w:abstractNum>
  <w:abstractNum w:abstractNumId="11">
    <w:nsid w:val="836C40E"/>
    <w:multiLevelType w:val="hybridMultilevel"/>
    <w:lvl w:ilvl="0">
      <w:lvlJc w:val="left"/>
      <w:lvlText w:val="%1."/>
      <w:numFmt w:val="decimal"/>
      <w:start w:val="1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Roman"/>
      <w:start w:val="2"/>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0" Type="http://schemas.openxmlformats.org/officeDocument/2006/relationships/hyperlink" Target="https://www.sec.gov/Archives/edgar/data/1514416/000151441617000006/a10qq32017exhibit31.htm" TargetMode="External"/><Relationship Id="rId101" Type="http://schemas.openxmlformats.org/officeDocument/2006/relationships/hyperlink" Target="https://www.sec.gov/Archives/edgar/data/1514416/000151441623000149/q32023exh31third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2026-04-30T09:33:23Z</dcterms:created>
  <dcterms:modified xsi:type="dcterms:W3CDTF">2026-04-30T09:33:23Z</dcterms:modified>
</cp:coreProperties>
</file>