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11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-95250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-95250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20" w:type="dxa"/>
            <w:vAlign w:val="bottom"/>
            <w:gridSpan w:val="3"/>
          </w:tcPr>
          <w:p>
            <w:pPr>
              <w:ind w:left="380"/>
              <w:spacing w:after="0"/>
              <w:rPr>
                <w:sz w:val="20"/>
                <w:szCs w:val="20"/>
                <w:color w:val="auto"/>
              </w:rPr>
            </w:pPr>
            <w:r>
              <w:rPr>
                <w:rFonts w:ascii="Arial" w:cs="Arial" w:eastAsia="Arial" w:hAnsi="Arial"/>
                <w:sz w:val="16"/>
                <w:szCs w:val="16"/>
                <w:color w:val="auto"/>
                <w:w w:val="98"/>
              </w:rPr>
              <w:t>For the transition period from</w:t>
            </w:r>
          </w:p>
        </w:tc>
        <w:tc>
          <w:tcPr>
            <w:tcW w:w="3920" w:type="dxa"/>
            <w:vAlign w:val="bottom"/>
            <w:gridSpan w:val="2"/>
          </w:tcPr>
          <w:p>
            <w:pPr>
              <w:ind w:left="80"/>
              <w:spacing w:after="0"/>
              <w:rPr>
                <w:sz w:val="20"/>
                <w:szCs w:val="20"/>
                <w:color w:val="auto"/>
              </w:rPr>
            </w:pPr>
            <w:r>
              <w:rPr>
                <w:rFonts w:ascii="Arial" w:cs="Arial" w:eastAsia="Arial" w:hAnsi="Arial"/>
                <w:sz w:val="16"/>
                <w:szCs w:val="16"/>
                <w:color w:val="auto"/>
              </w:rPr>
              <w:t>to</w:t>
            </w:r>
          </w:p>
        </w:tc>
      </w:tr>
      <w:tr>
        <w:trPr>
          <w:trHeight w:val="297"/>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40" w:type="dxa"/>
            <w:vAlign w:val="bottom"/>
            <w:gridSpan w:val="5"/>
          </w:tcPr>
          <w:p>
            <w:pPr>
              <w:jc w:val="center"/>
              <w:ind w:right="3299"/>
              <w:spacing w:after="0"/>
              <w:rPr>
                <w:sz w:val="20"/>
                <w:szCs w:val="20"/>
                <w:color w:val="auto"/>
              </w:rPr>
            </w:pPr>
            <w:r>
              <w:rPr>
                <w:rFonts w:ascii="Arial" w:cs="Arial" w:eastAsia="Arial" w:hAnsi="Arial"/>
                <w:sz w:val="16"/>
                <w:szCs w:val="16"/>
                <w:b w:val="1"/>
                <w:bCs w:val="1"/>
                <w:color w:val="auto"/>
                <w:w w:val="91"/>
              </w:rPr>
              <w:t>Commission File Number: 001-38285</w:t>
            </w:r>
          </w:p>
        </w:tc>
      </w:tr>
      <w:tr>
        <w:trPr>
          <w:trHeight w:val="428"/>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40" w:type="dxa"/>
            <w:vAlign w:val="bottom"/>
            <w:gridSpan w:val="5"/>
          </w:tcPr>
          <w:p>
            <w:pPr>
              <w:jc w:val="center"/>
              <w:ind w:right="3259"/>
              <w:spacing w:after="0"/>
              <w:rPr>
                <w:sz w:val="20"/>
                <w:szCs w:val="20"/>
                <w:color w:val="auto"/>
              </w:rPr>
            </w:pPr>
            <w:r>
              <w:rPr>
                <w:rFonts w:ascii="Arial" w:cs="Arial" w:eastAsia="Arial" w:hAnsi="Arial"/>
                <w:sz w:val="29"/>
                <w:szCs w:val="29"/>
                <w:b w:val="1"/>
                <w:bCs w:val="1"/>
                <w:color w:val="auto"/>
              </w:rPr>
              <w:t>BANDWIDTH INC.</w:t>
            </w:r>
          </w:p>
        </w:tc>
      </w:t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gridSpan w:val="6"/>
          </w:tcPr>
          <w:p>
            <w:pPr>
              <w:jc w:val="center"/>
              <w:ind w:right="201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97"/>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1"/>
              </w:rPr>
              <w:t>__________________________________</w:t>
            </w:r>
          </w:p>
        </w:tc>
        <w:tc>
          <w:tcPr>
            <w:tcW w:w="3020" w:type="dxa"/>
            <w:vAlign w:val="bottom"/>
          </w:tcPr>
          <w:p>
            <w:pPr>
              <w:spacing w:after="0"/>
              <w:rPr>
                <w:sz w:val="24"/>
                <w:szCs w:val="24"/>
                <w:color w:val="auto"/>
              </w:rPr>
            </w:pPr>
          </w:p>
        </w:tc>
      </w:tr>
      <w:tr>
        <w:trPr>
          <w:trHeight w:val="432"/>
        </w:trPr>
        <w:tc>
          <w:tcPr>
            <w:tcW w:w="1680" w:type="dxa"/>
            <w:vAlign w:val="bottom"/>
          </w:tcPr>
          <w:p>
            <w:pPr>
              <w:spacing w:after="0"/>
              <w:rPr>
                <w:sz w:val="24"/>
                <w:szCs w:val="24"/>
                <w:color w:val="auto"/>
              </w:rPr>
            </w:pPr>
          </w:p>
        </w:tc>
        <w:tc>
          <w:tcPr>
            <w:tcW w:w="24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3"/>
              </w:rPr>
              <w:t>Delaware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56-2242657</w:t>
            </w:r>
          </w:p>
        </w:tc>
      </w:tr>
      <w:tr>
        <w:trPr>
          <w:trHeight w:val="199"/>
        </w:trPr>
        <w:tc>
          <w:tcPr>
            <w:tcW w:w="1680" w:type="dxa"/>
            <w:vAlign w:val="bottom"/>
          </w:tcPr>
          <w:p>
            <w:pPr>
              <w:spacing w:after="0"/>
              <w:rPr>
                <w:sz w:val="17"/>
                <w:szCs w:val="17"/>
                <w:color w:val="auto"/>
              </w:rPr>
            </w:pPr>
          </w:p>
        </w:tc>
        <w:tc>
          <w:tcPr>
            <w:tcW w:w="2440" w:type="dxa"/>
            <w:vAlign w:val="bottom"/>
            <w:gridSpan w:val="2"/>
          </w:tcPr>
          <w:p>
            <w:pPr>
              <w:jc w:val="center"/>
              <w:ind w:right="279"/>
              <w:spacing w:after="0"/>
              <w:rPr>
                <w:sz w:val="20"/>
                <w:szCs w:val="20"/>
                <w:color w:val="auto"/>
              </w:rPr>
            </w:pPr>
            <w:r>
              <w:rPr>
                <w:rFonts w:ascii="Arial" w:cs="Arial" w:eastAsia="Arial" w:hAnsi="Arial"/>
                <w:sz w:val="16"/>
                <w:szCs w:val="16"/>
                <w:color w:val="auto"/>
                <w:w w:val="93"/>
              </w:rPr>
              <w:t>(State or other jurisdiction of</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Pr>
          <w:p>
            <w:pPr>
              <w:jc w:val="center"/>
              <w:ind w:right="779"/>
              <w:spacing w:after="0"/>
              <w:rPr>
                <w:sz w:val="20"/>
                <w:szCs w:val="20"/>
                <w:color w:val="auto"/>
              </w:rPr>
            </w:pPr>
            <w:r>
              <w:rPr>
                <w:rFonts w:ascii="Arial" w:cs="Arial" w:eastAsia="Arial" w:hAnsi="Arial"/>
                <w:sz w:val="16"/>
                <w:szCs w:val="16"/>
                <w:color w:val="auto"/>
                <w:w w:val="95"/>
              </w:rPr>
              <w:t>(I.R.S. Employer</w:t>
            </w:r>
          </w:p>
        </w:tc>
      </w:tr>
      <w:tr>
        <w:trPr>
          <w:trHeight w:val="206"/>
        </w:trPr>
        <w:tc>
          <w:tcPr>
            <w:tcW w:w="1680" w:type="dxa"/>
            <w:vAlign w:val="bottom"/>
          </w:tcPr>
          <w:p>
            <w:pPr>
              <w:spacing w:after="0"/>
              <w:rPr>
                <w:sz w:val="17"/>
                <w:szCs w:val="17"/>
                <w:color w:val="auto"/>
              </w:rPr>
            </w:pPr>
          </w:p>
        </w:tc>
        <w:tc>
          <w:tcPr>
            <w:tcW w:w="2440" w:type="dxa"/>
            <w:vAlign w:val="bottom"/>
            <w:gridSpan w:val="2"/>
          </w:tcPr>
          <w:p>
            <w:pPr>
              <w:jc w:val="center"/>
              <w:ind w:right="259"/>
              <w:spacing w:after="0"/>
              <w:rPr>
                <w:sz w:val="20"/>
                <w:szCs w:val="20"/>
                <w:color w:val="auto"/>
              </w:rPr>
            </w:pPr>
            <w:r>
              <w:rPr>
                <w:rFonts w:ascii="Arial" w:cs="Arial" w:eastAsia="Arial" w:hAnsi="Arial"/>
                <w:sz w:val="16"/>
                <w:szCs w:val="16"/>
                <w:color w:val="auto"/>
                <w:w w:val="93"/>
              </w:rPr>
              <w:t>incorporation or organization)</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Pr>
          <w:p>
            <w:pPr>
              <w:jc w:val="center"/>
              <w:ind w:right="779"/>
              <w:spacing w:after="0"/>
              <w:rPr>
                <w:sz w:val="20"/>
                <w:szCs w:val="20"/>
                <w:color w:val="auto"/>
              </w:rPr>
            </w:pPr>
            <w:r>
              <w:rPr>
                <w:rFonts w:ascii="Arial" w:cs="Arial" w:eastAsia="Arial" w:hAnsi="Arial"/>
                <w:sz w:val="16"/>
                <w:szCs w:val="16"/>
                <w:color w:val="auto"/>
                <w:w w:val="94"/>
              </w:rPr>
              <w:t>Identification Number)</w:t>
            </w:r>
          </w:p>
        </w:tc>
      </w:tr>
      <w:tr>
        <w:trPr>
          <w:trHeight w:val="289"/>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gridSpan w:val="3"/>
          </w:tcPr>
          <w:p>
            <w:pPr>
              <w:jc w:val="center"/>
              <w:ind w:left="511"/>
              <w:spacing w:after="0"/>
              <w:rPr>
                <w:sz w:val="20"/>
                <w:szCs w:val="20"/>
                <w:color w:val="auto"/>
              </w:rPr>
            </w:pPr>
            <w:r>
              <w:rPr>
                <w:rFonts w:ascii="Arial" w:cs="Arial" w:eastAsia="Arial" w:hAnsi="Arial"/>
                <w:sz w:val="16"/>
                <w:szCs w:val="16"/>
                <w:b w:val="1"/>
                <w:bCs w:val="1"/>
                <w:color w:val="auto"/>
                <w:w w:val="94"/>
              </w:rPr>
              <w:t>900 Main Campus Drive</w:t>
            </w: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93"/>
        </w:trPr>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2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92"/>
              </w:rPr>
              <w:t>Raleigh, NC 27606</w:t>
            </w:r>
          </w:p>
        </w:tc>
        <w:tc>
          <w:tcPr>
            <w:tcW w:w="9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gridSpan w:val="6"/>
          </w:tcPr>
          <w:p>
            <w:pPr>
              <w:jc w:val="center"/>
              <w:ind w:right="207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280"/>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gridSpan w:val="2"/>
          </w:tcPr>
          <w:p>
            <w:pPr>
              <w:jc w:val="center"/>
              <w:ind w:left="791"/>
              <w:spacing w:after="0"/>
              <w:rPr>
                <w:sz w:val="20"/>
                <w:szCs w:val="20"/>
                <w:color w:val="auto"/>
              </w:rPr>
            </w:pPr>
            <w:r>
              <w:rPr>
                <w:rFonts w:ascii="Arial" w:cs="Arial" w:eastAsia="Arial" w:hAnsi="Arial"/>
                <w:sz w:val="16"/>
                <w:szCs w:val="16"/>
                <w:b w:val="1"/>
                <w:bCs w:val="1"/>
                <w:color w:val="auto"/>
                <w:w w:val="93"/>
              </w:rPr>
              <w:t>(800) 808-5150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gridSpan w:val="6"/>
          </w:tcPr>
          <w:p>
            <w:pPr>
              <w:jc w:val="center"/>
              <w:ind w:right="203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1"/>
              </w:rPr>
              <w:t>__________________________________</w:t>
            </w:r>
          </w:p>
        </w:tc>
        <w:tc>
          <w:tcPr>
            <w:tcW w:w="3020" w:type="dxa"/>
            <w:vAlign w:val="bottom"/>
          </w:tcPr>
          <w:p>
            <w:pPr>
              <w:spacing w:after="0"/>
              <w:rPr>
                <w:sz w:val="24"/>
                <w:szCs w:val="24"/>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17"/>
        </w:trPr>
        <w:tc>
          <w:tcPr>
            <w:tcW w:w="1680" w:type="dxa"/>
            <w:vAlign w:val="bottom"/>
          </w:tcPr>
          <w:p>
            <w:pPr>
              <w:spacing w:after="0"/>
              <w:rPr>
                <w:sz w:val="24"/>
                <w:szCs w:val="24"/>
                <w:color w:val="auto"/>
              </w:rPr>
            </w:pPr>
          </w:p>
        </w:tc>
        <w:tc>
          <w:tcPr>
            <w:tcW w:w="244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auto"/>
                <w:w w:val="88"/>
              </w:rPr>
              <w:t>Title of each class</w:t>
            </w:r>
          </w:p>
        </w:tc>
        <w:tc>
          <w:tcPr>
            <w:tcW w:w="8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Trading Symbol(s)</w:t>
            </w:r>
          </w:p>
        </w:tc>
        <w:tc>
          <w:tcPr>
            <w:tcW w:w="9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4120" w:type="dxa"/>
            <w:vAlign w:val="bottom"/>
            <w:gridSpan w:val="3"/>
          </w:tcPr>
          <w:p>
            <w:pPr>
              <w:jc w:val="center"/>
              <w:ind w:left="399"/>
              <w:spacing w:after="0"/>
              <w:rPr>
                <w:sz w:val="20"/>
                <w:szCs w:val="20"/>
                <w:color w:val="auto"/>
              </w:rPr>
            </w:pPr>
            <w:r>
              <w:rPr>
                <w:rFonts w:ascii="Arial" w:cs="Arial" w:eastAsia="Arial" w:hAnsi="Arial"/>
                <w:sz w:val="16"/>
                <w:szCs w:val="16"/>
                <w:color w:val="auto"/>
                <w:w w:val="91"/>
              </w:rPr>
              <w:t>Class A Common Stock, par value $0.001 per share</w:t>
            </w:r>
          </w:p>
        </w:tc>
        <w:tc>
          <w:tcPr>
            <w:tcW w:w="86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BAND</w:t>
            </w:r>
          </w:p>
        </w:tc>
        <w:tc>
          <w:tcPr>
            <w:tcW w:w="9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66" w:lineRule="exact"/>
        <w:rPr>
          <w:sz w:val="24"/>
          <w:szCs w:val="24"/>
          <w:color w:val="auto"/>
        </w:rPr>
      </w:pPr>
    </w:p>
    <w:p>
      <w:pPr>
        <w:spacing w:after="0" w:line="266"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24" w:lineRule="exact"/>
        <w:rPr>
          <w:sz w:val="24"/>
          <w:szCs w:val="24"/>
          <w:color w:val="auto"/>
        </w:rPr>
      </w:pPr>
    </w:p>
    <w:p>
      <w:pPr>
        <w:jc w:val="both"/>
        <w:ind w:right="140"/>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to its corporate web site, if any, every Interactive Data File required to be submitted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80"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-460375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-460375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-297180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-297180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-134620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2"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color w:val="auto"/>
        </w:rPr>
        <w:t>As of July 24, 2020, 20,669,553 shares of the registrant’s Class A common stock and 3,499,554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06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20"/>
          <w:szCs w:val="20"/>
          <w:b w:val="1"/>
          <w:bCs w:val="1"/>
          <w:color w:val="auto"/>
        </w:rPr>
        <w:t>BANDWIDTH INC.</w:t>
      </w:r>
    </w:p>
    <w:p>
      <w:pPr>
        <w:spacing w:after="0" w:line="108" w:lineRule="exact"/>
        <w:rPr>
          <w:sz w:val="20"/>
          <w:szCs w:val="20"/>
          <w:color w:val="auto"/>
        </w:rPr>
      </w:pPr>
    </w:p>
    <w:p>
      <w:pPr>
        <w:jc w:val="center"/>
        <w:ind w:right="-619"/>
        <w:spacing w:after="0"/>
        <w:rPr>
          <w:sz w:val="20"/>
          <w:szCs w:val="20"/>
          <w:color w:val="auto"/>
        </w:rPr>
      </w:pPr>
      <w:r>
        <w:rPr>
          <w:rFonts w:ascii="Arial" w:cs="Arial" w:eastAsia="Arial" w:hAnsi="Arial"/>
          <w:sz w:val="20"/>
          <w:szCs w:val="20"/>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ind w:left="4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57"/>
        </w:trPr>
        <w:tc>
          <w:tcPr>
            <w:tcW w:w="9820" w:type="dxa"/>
            <w:vAlign w:val="bottom"/>
            <w:gridSpan w:val="9"/>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Forward-Looking Statements</w:t>
              </w:r>
            </w:hyperlink>
          </w:p>
        </w:tc>
        <w:tc>
          <w:tcPr>
            <w:tcW w:w="760" w:type="dxa"/>
            <w:vAlign w:val="bottom"/>
          </w:tcPr>
          <w:p>
            <w:pPr>
              <w:jc w:val="center"/>
              <w:ind w:left="310"/>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2</w:t>
              </w:r>
            </w:hyperlink>
          </w:p>
        </w:tc>
        <w:tc>
          <w:tcPr>
            <w:tcW w:w="0" w:type="dxa"/>
            <w:vAlign w:val="bottom"/>
          </w:tcPr>
          <w:p>
            <w:pPr>
              <w:spacing w:after="0"/>
              <w:rPr>
                <w:sz w:val="1"/>
                <w:szCs w:val="1"/>
                <w:color w:val="auto"/>
              </w:rPr>
            </w:pPr>
          </w:p>
        </w:tc>
      </w:tr>
      <w:tr>
        <w:trPr>
          <w:trHeight w:val="499"/>
        </w:trPr>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6"/>
          </w:tcPr>
          <w:p>
            <w:pPr>
              <w:jc w:val="center"/>
              <w:ind w:right="9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760" w:type="dxa"/>
            <w:vAlign w:val="bottom"/>
          </w:tcPr>
          <w:p>
            <w:pPr>
              <w:jc w:val="center"/>
              <w:ind w:left="31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8640" w:type="dxa"/>
            <w:vAlign w:val="bottom"/>
            <w:gridSpan w:val="8"/>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Condensed Consolidated Balance Sheets as of December 31, 2019 and June 30, 2020</w:t>
              </w:r>
            </w:hyperlink>
          </w:p>
        </w:tc>
        <w:tc>
          <w:tcPr>
            <w:tcW w:w="760" w:type="dxa"/>
            <w:vAlign w:val="bottom"/>
          </w:tcPr>
          <w:p>
            <w:pPr>
              <w:jc w:val="center"/>
              <w:ind w:left="31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8640" w:type="dxa"/>
            <w:vAlign w:val="bottom"/>
            <w:gridSpan w:val="8"/>
          </w:tcPr>
          <w:p>
            <w:pPr>
              <w:spacing w:after="0" w:line="190" w:lineRule="exact"/>
              <w:rPr>
                <w:rFonts w:ascii="Arial" w:cs="Arial" w:eastAsia="Arial" w:hAnsi="Arial"/>
                <w:sz w:val="18"/>
                <w:szCs w:val="18"/>
                <w:color w:val="0000FF"/>
                <w:w w:val="94"/>
              </w:rPr>
            </w:pPr>
            <w:hyperlink w:anchor="page5">
              <w:r>
                <w:rPr>
                  <w:rFonts w:ascii="Arial" w:cs="Arial" w:eastAsia="Arial" w:hAnsi="Arial"/>
                  <w:sz w:val="18"/>
                  <w:szCs w:val="18"/>
                  <w:u w:val="single" w:color="auto"/>
                  <w:color w:val="0000FF"/>
                  <w:w w:val="94"/>
                </w:rPr>
                <w:t>Unaudited Condensed Consolidated Statements of Operations for the Three</w:t>
              </w:r>
              <w:r>
                <w:rPr>
                  <w:rFonts w:ascii="Arial" w:cs="Arial" w:eastAsia="Arial" w:hAnsi="Arial"/>
                  <w:sz w:val="18"/>
                  <w:szCs w:val="18"/>
                  <w:color w:val="0000FF"/>
                  <w:w w:val="94"/>
                </w:rPr>
                <w:t xml:space="preserve"> and Six Months Ended June 30, 2019</w:t>
              </w:r>
            </w:hyperlink>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480" w:type="dxa"/>
            <w:vAlign w:val="bottom"/>
            <w:gridSpan w:val="3"/>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and 2020</w:t>
              </w:r>
            </w:hyperlink>
          </w:p>
        </w:tc>
        <w:tc>
          <w:tcPr>
            <w:tcW w:w="14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center"/>
              <w:ind w:left="310"/>
              <w:spacing w:after="0" w:line="156" w:lineRule="exact"/>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640" w:type="dxa"/>
            <w:vAlign w:val="bottom"/>
            <w:gridSpan w:val="8"/>
          </w:tcPr>
          <w:p>
            <w:pPr>
              <w:spacing w:after="0"/>
              <w:rPr>
                <w:rFonts w:ascii="Arial" w:cs="Arial" w:eastAsia="Arial" w:hAnsi="Arial"/>
                <w:sz w:val="18"/>
                <w:szCs w:val="18"/>
                <w:color w:val="0000FF"/>
                <w:w w:val="96"/>
              </w:rPr>
            </w:pPr>
            <w:hyperlink w:anchor="page6">
              <w:r>
                <w:rPr>
                  <w:rFonts w:ascii="Arial" w:cs="Arial" w:eastAsia="Arial" w:hAnsi="Arial"/>
                  <w:sz w:val="18"/>
                  <w:szCs w:val="18"/>
                  <w:u w:val="single" w:color="auto"/>
                  <w:color w:val="0000FF"/>
                  <w:w w:val="96"/>
                </w:rPr>
                <w:t>Unaudited Condensed Consolidated Statements of Comprehensive Income (Loss) for the Three</w:t>
              </w:r>
              <w:r>
                <w:rPr>
                  <w:rFonts w:ascii="Arial" w:cs="Arial" w:eastAsia="Arial" w:hAnsi="Arial"/>
                  <w:sz w:val="18"/>
                  <w:szCs w:val="18"/>
                  <w:color w:val="0000FF"/>
                  <w:w w:val="96"/>
                </w:rPr>
                <w:t xml:space="preserve"> and Six Months</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6920" w:type="dxa"/>
            <w:vAlign w:val="bottom"/>
            <w:gridSpan w:val="4"/>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Ended </w:t>
              </w:r>
              <w:r>
                <w:rPr>
                  <w:rFonts w:ascii="Arial" w:cs="Arial" w:eastAsia="Arial" w:hAnsi="Arial"/>
                  <w:sz w:val="18"/>
                  <w:szCs w:val="18"/>
                  <w:u w:val="single" w:color="auto"/>
                  <w:color w:val="0000FF"/>
                </w:rPr>
                <w:t>June 30, 2019 and 2020</w:t>
              </w:r>
            </w:hyperlink>
          </w:p>
        </w:tc>
        <w:tc>
          <w:tcPr>
            <w:tcW w:w="1140" w:type="dxa"/>
            <w:vAlign w:val="bottom"/>
            <w:tcBorders>
              <w:top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center"/>
              <w:ind w:left="310"/>
              <w:spacing w:after="0" w:line="156" w:lineRule="exact"/>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80" w:type="dxa"/>
            <w:vAlign w:val="bottom"/>
          </w:tcPr>
          <w:p>
            <w:pPr>
              <w:spacing w:after="0"/>
              <w:rPr>
                <w:sz w:val="21"/>
                <w:szCs w:val="21"/>
                <w:color w:val="auto"/>
              </w:rPr>
            </w:pPr>
          </w:p>
        </w:tc>
        <w:tc>
          <w:tcPr>
            <w:tcW w:w="8640" w:type="dxa"/>
            <w:vAlign w:val="bottom"/>
            <w:gridSpan w:val="8"/>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Condensed Consolidated Statements of Changes in Stockholders’ Equity</w:t>
              </w:r>
            </w:hyperlink>
          </w:p>
        </w:tc>
        <w:tc>
          <w:tcPr>
            <w:tcW w:w="760" w:type="dxa"/>
            <w:vAlign w:val="bottom"/>
          </w:tcPr>
          <w:p>
            <w:pPr>
              <w:jc w:val="center"/>
              <w:ind w:left="31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8640" w:type="dxa"/>
            <w:vAlign w:val="bottom"/>
            <w:gridSpan w:val="8"/>
          </w:tcPr>
          <w:p>
            <w:pPr>
              <w:spacing w:after="0" w:line="190" w:lineRule="exact"/>
              <w:rPr>
                <w:rFonts w:ascii="Arial" w:cs="Arial" w:eastAsia="Arial" w:hAnsi="Arial"/>
                <w:sz w:val="18"/>
                <w:szCs w:val="18"/>
                <w:color w:val="0000FF"/>
                <w:w w:val="93"/>
              </w:rPr>
            </w:pPr>
            <w:hyperlink w:anchor="page9">
              <w:r>
                <w:rPr>
                  <w:rFonts w:ascii="Arial" w:cs="Arial" w:eastAsia="Arial" w:hAnsi="Arial"/>
                  <w:sz w:val="18"/>
                  <w:szCs w:val="18"/>
                  <w:color w:val="0000FF"/>
                  <w:w w:val="93"/>
                </w:rPr>
                <w:t>Unaudited Condensed Consolidated Statements of Cash Flows for the Three and Six Months Ended June 30, 2019</w:t>
              </w:r>
            </w:hyperlink>
          </w:p>
        </w:tc>
        <w:tc>
          <w:tcPr>
            <w:tcW w:w="760" w:type="dxa"/>
            <w:vAlign w:val="bottom"/>
            <w:vMerge w:val="restart"/>
          </w:tcPr>
          <w:p>
            <w:pPr>
              <w:jc w:val="center"/>
              <w:ind w:left="31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9</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2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and 2020</w:t>
              </w:r>
            </w:hyperlink>
          </w:p>
        </w:tc>
        <w:tc>
          <w:tcPr>
            <w:tcW w:w="4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80" w:type="dxa"/>
            <w:vAlign w:val="bottom"/>
          </w:tcPr>
          <w:p>
            <w:pPr>
              <w:spacing w:after="0"/>
              <w:rPr>
                <w:sz w:val="21"/>
                <w:szCs w:val="21"/>
                <w:color w:val="auto"/>
              </w:rPr>
            </w:pPr>
          </w:p>
        </w:tc>
        <w:tc>
          <w:tcPr>
            <w:tcW w:w="8640" w:type="dxa"/>
            <w:vAlign w:val="bottom"/>
            <w:gridSpan w:val="8"/>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Unaudited Condensed Consolidated Financial Statements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29"/>
        </w:trPr>
        <w:tc>
          <w:tcPr>
            <w:tcW w:w="118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3.</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Quantitative and Qualitative Disclosures About Market Risk</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4.</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Controls and Procedures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52</w:t>
              </w:r>
            </w:hyperlink>
          </w:p>
        </w:tc>
        <w:tc>
          <w:tcPr>
            <w:tcW w:w="0" w:type="dxa"/>
            <w:vAlign w:val="bottom"/>
          </w:tcPr>
          <w:p>
            <w:pPr>
              <w:spacing w:after="0"/>
              <w:rPr>
                <w:sz w:val="1"/>
                <w:szCs w:val="1"/>
                <w:color w:val="auto"/>
              </w:rPr>
            </w:pPr>
          </w:p>
        </w:tc>
      </w:tr>
      <w:tr>
        <w:trPr>
          <w:trHeight w:val="499"/>
        </w:trPr>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6"/>
          </w:tcPr>
          <w:p>
            <w:pPr>
              <w:jc w:val="center"/>
              <w:ind w:right="920"/>
              <w:spacing w:after="0"/>
              <w:rPr>
                <w:rFonts w:ascii="Arial" w:cs="Arial" w:eastAsia="Arial" w:hAnsi="Arial"/>
                <w:sz w:val="18"/>
                <w:szCs w:val="18"/>
                <w:b w:val="1"/>
                <w:bCs w:val="1"/>
                <w:u w:val="single" w:color="auto"/>
                <w:color w:val="0000FF"/>
              </w:rPr>
            </w:pPr>
            <w:hyperlink w:anchor="page53">
              <w:r>
                <w:rPr>
                  <w:rFonts w:ascii="Arial" w:cs="Arial" w:eastAsia="Arial" w:hAnsi="Arial"/>
                  <w:sz w:val="18"/>
                  <w:szCs w:val="18"/>
                  <w:b w:val="1"/>
                  <w:bCs w:val="1"/>
                  <w:u w:val="single" w:color="auto"/>
                  <w:color w:val="0000FF"/>
                </w:rPr>
                <w:t>PART II - OTHER INFORMATION</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1.</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Legal Proceedings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1A.</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Risk Factors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2.</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Unregistered Sales of Equity Securities and Use of Proceeds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6.</w:t>
              </w:r>
            </w:hyperlink>
          </w:p>
        </w:tc>
        <w:tc>
          <w:tcPr>
            <w:tcW w:w="8640" w:type="dxa"/>
            <w:vAlign w:val="bottom"/>
            <w:gridSpan w:val="8"/>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Exhibits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640" w:type="dxa"/>
            <w:vAlign w:val="bottom"/>
            <w:gridSpan w:val="8"/>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Signatures</w:t>
              </w:r>
            </w:hyperlink>
          </w:p>
        </w:tc>
        <w:tc>
          <w:tcPr>
            <w:tcW w:w="760" w:type="dxa"/>
            <w:vAlign w:val="bottom"/>
          </w:tcPr>
          <w:p>
            <w:pPr>
              <w:jc w:val="center"/>
              <w:ind w:left="29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40" w:top="1332" w:right="9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identifying, attracting and keeping new and existing customers, as well as our expectations regarding customer turnover;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161" w:lineRule="exact"/>
        <w:rPr>
          <w:rFonts w:ascii="Arial" w:cs="Arial" w:eastAsia="Arial" w:hAnsi="Arial"/>
          <w:sz w:val="20"/>
          <w:szCs w:val="20"/>
          <w:color w:val="auto"/>
        </w:rPr>
      </w:pPr>
    </w:p>
    <w:p>
      <w:pPr>
        <w:ind w:firstLine="656"/>
        <w:spacing w:after="0" w:line="287" w:lineRule="auto"/>
        <w:tabs>
          <w:tab w:leader="none" w:pos="1284"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growth of our business and how that impacts our liquidity and capital resources requirements;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plans to further invest in and grow our business, including international offerings, and our ability to effectively manage our growth and associated investments;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use of Non-GAAP financial measures;</w:t>
      </w:r>
    </w:p>
    <w:p>
      <w:pPr>
        <w:spacing w:after="0" w:line="161" w:lineRule="exact"/>
        <w:rPr>
          <w:rFonts w:ascii="Arial" w:cs="Arial" w:eastAsia="Arial" w:hAnsi="Arial"/>
          <w:sz w:val="20"/>
          <w:szCs w:val="20"/>
          <w:color w:val="auto"/>
        </w:rPr>
      </w:pPr>
    </w:p>
    <w:p>
      <w:pPr>
        <w:jc w:val="both"/>
        <w:ind w:firstLine="656"/>
        <w:spacing w:after="0" w:line="244" w:lineRule="auto"/>
        <w:tabs>
          <w:tab w:leader="none" w:pos="1284"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(“STIR”) and Signature-based Handling of Asserted Information Using toKENs (“SHAKEN”) (together, “STIR/SHAKEN”) and other robocalling prevention and anti-spam standards and increased costs associated with such compliance;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customers’ violation of our policies or other misuse of our platform;</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the interest on our Convertible Notes (as defined herein) and repay such Convertible Notes, to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extent required;</w:t>
      </w:r>
    </w:p>
    <w:p>
      <w:pPr>
        <w:spacing w:after="0" w:line="145" w:lineRule="exact"/>
        <w:rPr>
          <w:rFonts w:ascii="Arial" w:cs="Arial" w:eastAsia="Arial" w:hAnsi="Arial"/>
          <w:sz w:val="18"/>
          <w:szCs w:val="18"/>
          <w:color w:val="auto"/>
        </w:rPr>
      </w:pPr>
    </w:p>
    <w:p>
      <w:pPr>
        <w:ind w:firstLine="656"/>
        <w:spacing w:after="0" w:line="260" w:lineRule="auto"/>
        <w:tabs>
          <w:tab w:leader="none" w:pos="1284"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about the impact of public health epidemics, such as COVID-19, or natural disasters on our business, results of operations and financial condition;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successfully integrate and benefit from any future strategic acquisitions or investments.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Q.</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290,979</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230,780</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30,187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41,779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577,331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41,654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43,770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right-of-use asset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18,699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tax asset, net</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34,861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341,416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657,957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Advanced billings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48,705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19,868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17,065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tcPr>
          <w:p>
            <w:pPr>
              <w:spacing w:after="0"/>
              <w:rPr>
                <w:sz w:val="21"/>
                <w:szCs w:val="21"/>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272,901</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345,023</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275,553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340,215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(27,227)</w:t>
            </w:r>
          </w:p>
        </w:tc>
        <w:tc>
          <w:tcPr>
            <w:tcW w:w="0" w:type="dxa"/>
            <w:vAlign w:val="bottom"/>
          </w:tcPr>
          <w:p>
            <w:pPr>
              <w:spacing w:after="0"/>
              <w:rPr>
                <w:sz w:val="1"/>
                <w:szCs w:val="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270,090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312,934</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341,416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657,957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4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56,779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76,790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110,100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145,308</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30,110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58,876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78,368</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26,669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34,781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51,224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66,940</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15,373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19,084</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18,072</w:t>
            </w:r>
          </w:p>
        </w:tc>
      </w:tr>
      <w:tr>
        <w:trPr>
          <w:trHeight w:val="243"/>
        </w:trPr>
        <w:tc>
          <w:tcPr>
            <w:tcW w:w="4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14,282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28,615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32,936</w:t>
            </w:r>
          </w:p>
        </w:tc>
      </w:tr>
      <w:tr>
        <w:trPr>
          <w:trHeight w:val="27"/>
        </w:trPr>
        <w:tc>
          <w:tcPr>
            <w:tcW w:w="4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60,851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70,092</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(3,152)</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(4,774)</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(7,926)</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(13,773)</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(20,641)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5,464</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(21,699)</w:t>
            </w:r>
          </w:p>
        </w:tc>
      </w:tr>
      <w:tr>
        <w:trPr>
          <w:trHeight w:val="46"/>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4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r>
      <w:tr>
        <w:trPr>
          <w:trHeight w:val="243"/>
        </w:trPr>
        <w:tc>
          <w:tcPr>
            <w:tcW w:w="4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(0.91)</w:t>
            </w: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23,102,553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23,973,663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21,807,523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23,768,616</w:t>
            </w:r>
          </w:p>
        </w:tc>
      </w:tr>
      <w:tr>
        <w:trPr>
          <w:trHeight w:val="243"/>
        </w:trPr>
        <w:tc>
          <w:tcPr>
            <w:tcW w:w="4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24,447,417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23,973,663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23,262,496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23,768,616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580" w:type="dxa"/>
            <w:vAlign w:val="bottom"/>
            <w:gridSpan w:val="6"/>
          </w:tcPr>
          <w:p>
            <w:pPr>
              <w:ind w:left="6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4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 net of</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340"/>
              <w:spacing w:after="0"/>
              <w:rPr>
                <w:sz w:val="20"/>
                <w:szCs w:val="20"/>
                <w:color w:val="auto"/>
              </w:rPr>
            </w:pPr>
            <w:r>
              <w:rPr>
                <w:rFonts w:ascii="Arial" w:cs="Arial" w:eastAsia="Arial" w:hAnsi="Arial"/>
                <w:sz w:val="18"/>
                <w:szCs w:val="18"/>
                <w:color w:val="auto"/>
                <w:w w:val="98"/>
              </w:rPr>
              <w:t>Foreign currency translation, net of income taxes</w:t>
            </w: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4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3,497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(20,664)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5,497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(21,818)</w:t>
            </w:r>
          </w:p>
        </w:tc>
      </w:tr>
      <w:tr>
        <w:trPr>
          <w:trHeight w:val="27"/>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 xml:space="preserve">Table of Contents </w:t>
        </w:r>
      </w:hyperlink>
      <w:r>
        <w:rPr>
          <w:rFonts w:ascii="Arial" w:cs="Arial" w:eastAsia="Arial" w:hAnsi="Arial"/>
          <w:sz w:val="18"/>
          <w:szCs w:val="18"/>
          <w:b w:val="1"/>
          <w:bCs w:val="1"/>
          <w:u w:val="single" w:color="auto"/>
          <w:color w:val="0000FF"/>
        </w:rPr>
        <w:t>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3"/>
              </w:rPr>
              <w:t>Class A voting</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color w:val="auto"/>
              </w:rPr>
              <w:t>Class B voting</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93"/>
              </w:rPr>
              <w:t>common stock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7"/>
              </w:rPr>
              <w:t>other</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3"/>
            <w:vMerge w:val="restart"/>
          </w:tcPr>
          <w:p>
            <w:pPr>
              <w:jc w:val="center"/>
              <w:ind w:right="80"/>
              <w:spacing w:after="0" w:line="116" w:lineRule="exact"/>
              <w:rPr>
                <w:sz w:val="20"/>
                <w:szCs w:val="20"/>
                <w:color w:val="auto"/>
              </w:rPr>
            </w:pPr>
            <w:r>
              <w:rPr>
                <w:rFonts w:ascii="Arial" w:cs="Arial" w:eastAsia="Arial" w:hAnsi="Arial"/>
                <w:sz w:val="13"/>
                <w:szCs w:val="13"/>
                <w:color w:val="auto"/>
              </w:rPr>
              <w:t>Additional paid-</w:t>
            </w:r>
          </w:p>
        </w:tc>
        <w:tc>
          <w:tcPr>
            <w:tcW w:w="960" w:type="dxa"/>
            <w:vAlign w:val="bottom"/>
            <w:gridSpan w:val="3"/>
            <w:vMerge w:val="restart"/>
          </w:tcPr>
          <w:p>
            <w:pPr>
              <w:jc w:val="center"/>
              <w:ind w:right="60"/>
              <w:spacing w:after="0" w:line="116" w:lineRule="exact"/>
              <w:rPr>
                <w:sz w:val="20"/>
                <w:szCs w:val="20"/>
                <w:color w:val="auto"/>
              </w:rPr>
            </w:pPr>
            <w:r>
              <w:rPr>
                <w:rFonts w:ascii="Arial" w:cs="Arial" w:eastAsia="Arial" w:hAnsi="Arial"/>
                <w:sz w:val="13"/>
                <w:szCs w:val="13"/>
                <w:color w:val="auto"/>
                <w:w w:val="97"/>
              </w:rPr>
              <w:t>comprehensive</w:t>
            </w:r>
          </w:p>
        </w:tc>
        <w:tc>
          <w:tcPr>
            <w:tcW w:w="860" w:type="dxa"/>
            <w:vAlign w:val="bottom"/>
            <w:gridSpan w:val="2"/>
            <w:vMerge w:val="restart"/>
          </w:tcPr>
          <w:p>
            <w:pPr>
              <w:jc w:val="center"/>
              <w:ind w:right="40"/>
              <w:spacing w:after="0" w:line="116" w:lineRule="exact"/>
              <w:rPr>
                <w:sz w:val="20"/>
                <w:szCs w:val="20"/>
                <w:color w:val="auto"/>
              </w:rPr>
            </w:pPr>
            <w:r>
              <w:rPr>
                <w:rFonts w:ascii="Arial" w:cs="Arial" w:eastAsia="Arial" w:hAnsi="Arial"/>
                <w:sz w:val="13"/>
                <w:szCs w:val="13"/>
                <w:color w:val="auto"/>
              </w:rPr>
              <w:t>Accumulated</w:t>
            </w:r>
          </w:p>
        </w:tc>
        <w:tc>
          <w:tcPr>
            <w:tcW w:w="820" w:type="dxa"/>
            <w:vAlign w:val="bottom"/>
            <w:vMerge w:val="restart"/>
          </w:tcPr>
          <w:p>
            <w:pPr>
              <w:jc w:val="center"/>
              <w:spacing w:after="0" w:line="116"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42"/>
        </w:trPr>
        <w:tc>
          <w:tcPr>
            <w:tcW w:w="4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Shares</w:t>
            </w:r>
          </w:p>
        </w:tc>
        <w:tc>
          <w:tcPr>
            <w:tcW w:w="840" w:type="dxa"/>
            <w:vAlign w:val="bottom"/>
            <w:gridSpan w:val="3"/>
          </w:tcPr>
          <w:p>
            <w:pPr>
              <w:ind w:left="160"/>
              <w:spacing w:after="0"/>
              <w:rPr>
                <w:sz w:val="20"/>
                <w:szCs w:val="20"/>
                <w:color w:val="auto"/>
              </w:rPr>
            </w:pPr>
            <w:r>
              <w:rPr>
                <w:rFonts w:ascii="Arial" w:cs="Arial" w:eastAsia="Arial" w:hAnsi="Arial"/>
                <w:sz w:val="14"/>
                <w:szCs w:val="14"/>
                <w:color w:val="auto"/>
              </w:rPr>
              <w:t>Amount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740" w:type="dxa"/>
            <w:vAlign w:val="bottom"/>
            <w:gridSpan w:val="3"/>
          </w:tcPr>
          <w:p>
            <w:pPr>
              <w:ind w:left="12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 capital</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income (loss)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deficit</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12,912,747</w:t>
            </w:r>
          </w:p>
        </w:tc>
        <w:tc>
          <w:tcPr>
            <w:tcW w:w="4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6,510,732</w:t>
            </w:r>
          </w:p>
        </w:tc>
        <w:tc>
          <w:tcPr>
            <w:tcW w:w="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116,600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(7,848)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9"/>
              </w:rPr>
              <w:t>$  108,770</w:t>
            </w:r>
          </w:p>
        </w:tc>
        <w:tc>
          <w:tcPr>
            <w:tcW w:w="0" w:type="dxa"/>
            <w:vAlign w:val="bottom"/>
          </w:tcPr>
          <w:p>
            <w:pPr>
              <w:spacing w:after="0"/>
              <w:rPr>
                <w:sz w:val="1"/>
                <w:szCs w:val="1"/>
                <w:color w:val="auto"/>
              </w:rPr>
            </w:pPr>
          </w:p>
        </w:tc>
      </w:tr>
      <w:tr>
        <w:trPr>
          <w:trHeight w:val="137"/>
        </w:trPr>
        <w:tc>
          <w:tcPr>
            <w:tcW w:w="4480" w:type="dxa"/>
            <w:vAlign w:val="bottom"/>
          </w:tcPr>
          <w:p>
            <w:pPr>
              <w:ind w:left="20"/>
              <w:spacing w:after="0" w:line="137" w:lineRule="exact"/>
              <w:rPr>
                <w:sz w:val="20"/>
                <w:szCs w:val="20"/>
                <w:color w:val="auto"/>
              </w:rPr>
            </w:pPr>
            <w:r>
              <w:rPr>
                <w:rFonts w:ascii="Arial" w:cs="Arial" w:eastAsia="Arial" w:hAnsi="Arial"/>
                <w:sz w:val="14"/>
                <w:szCs w:val="14"/>
                <w:color w:val="auto"/>
                <w:w w:val="96"/>
              </w:rPr>
              <w:t>Issuance of common stock in connection with follow on public offering, net</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color w:val="auto"/>
              </w:rPr>
              <w:t>of underwriting discounts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2,875,000</w:t>
            </w:r>
          </w:p>
        </w:tc>
        <w:tc>
          <w:tcPr>
            <w:tcW w:w="440" w:type="dxa"/>
            <w:vAlign w:val="bottom"/>
          </w:tcPr>
          <w:p>
            <w:pPr>
              <w:spacing w:after="0"/>
              <w:rPr>
                <w:sz w:val="16"/>
                <w:szCs w:val="16"/>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147,388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147,391</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 connection with public offering</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589,510</w:t>
            </w:r>
          </w:p>
        </w:tc>
        <w:tc>
          <w:tcPr>
            <w:tcW w:w="440" w:type="dxa"/>
            <w:vAlign w:val="bottom"/>
          </w:tcPr>
          <w:p>
            <w:pPr>
              <w:spacing w:after="0"/>
              <w:rPr>
                <w:sz w:val="17"/>
                <w:szCs w:val="17"/>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3,934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105,367</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(16,585)</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57,230</w:t>
            </w:r>
          </w:p>
        </w:tc>
        <w:tc>
          <w:tcPr>
            <w:tcW w:w="4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(57,230)</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color w:val="auto"/>
              </w:rPr>
              <w:t>Adjustment to opening retained earnings due to adoption of ASC 606</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1,676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March 31, 2019</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16,523,269</w:t>
            </w:r>
          </w:p>
        </w:tc>
        <w:tc>
          <w:tcPr>
            <w:tcW w:w="4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6,453,502</w:t>
            </w: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267,875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(6,030)</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261,875</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 connection with public offering</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366,405</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2,446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2,446</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20,003</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(3,665)</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826,441</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(826,441)</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1,630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June 30, 2019</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17,732,453</w:t>
            </w:r>
          </w:p>
        </w:tc>
        <w:tc>
          <w:tcPr>
            <w:tcW w:w="4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5,627,061</w:t>
            </w: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271,628</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(2,558)</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269,125</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108,361</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19,064</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57"/>
        </w:trPr>
        <w:tc>
          <w:tcPr>
            <w:tcW w:w="4480" w:type="dxa"/>
            <w:vAlign w:val="bottom"/>
          </w:tcPr>
          <w:p>
            <w:pPr>
              <w:ind w:left="20"/>
              <w:spacing w:after="0" w:line="157" w:lineRule="exact"/>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color w:val="auto"/>
              </w:rPr>
              <w:t>stock</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449,660</w:t>
            </w:r>
          </w:p>
        </w:tc>
        <w:tc>
          <w:tcPr>
            <w:tcW w:w="44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(449,660)</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18,306,776</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5,177,401</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273,970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270,386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 xml:space="preserve">Table of Contents </w:t>
        </w:r>
      </w:hyperlink>
      <w:r>
        <w:rPr>
          <w:rFonts w:ascii="Arial" w:cs="Arial" w:eastAsia="Arial" w:hAnsi="Arial"/>
          <w:sz w:val="18"/>
          <w:szCs w:val="18"/>
          <w:b w:val="1"/>
          <w:bCs w:val="1"/>
          <w:u w:val="single" w:color="auto"/>
          <w:color w:val="0000FF"/>
        </w:rPr>
        <w:t>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360680</wp:posOffset>
            </wp:positionV>
            <wp:extent cx="4260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11,206</w:t>
            </w:r>
          </w:p>
        </w:tc>
        <w:tc>
          <w:tcPr>
            <w:tcW w:w="3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108</w:t>
            </w: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(3,014)</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(191)</w:t>
            </w: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1,666</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2019</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18,584,478</w:t>
            </w:r>
          </w:p>
        </w:tc>
        <w:tc>
          <w:tcPr>
            <w:tcW w:w="3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4,927,401</w:t>
            </w: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275,553</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(5,528)</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270,090</w:t>
            </w:r>
          </w:p>
        </w:tc>
      </w:tr>
      <w:tr>
        <w:trPr>
          <w:trHeight w:val="20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debt conversion option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104,553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104,553</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Debt conversion option issuance costs, net of tax</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(3,731)</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Capped call option purchase price</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(43,320)</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32,059</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244</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103,824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(14,411)</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(1,021)</w:t>
            </w: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500,250</w:t>
            </w:r>
          </w:p>
        </w:tc>
        <w:tc>
          <w:tcPr>
            <w:tcW w:w="3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(500,250)</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2,499</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(1,058)</w:t>
            </w:r>
          </w:p>
        </w:tc>
        <w:tc>
          <w:tcPr>
            <w:tcW w:w="8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(1,058)</w:t>
            </w:r>
          </w:p>
        </w:tc>
      </w:tr>
      <w:tr>
        <w:trPr>
          <w:trHeight w:val="19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19,206,200</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4,427,151</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334,777</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(6,586)</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328,159</w:t>
            </w: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Debt conversion option issuance costs, net of tax</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502,182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3,297</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21,871</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r>
      <w:tr>
        <w:trPr>
          <w:trHeight w:val="157"/>
        </w:trPr>
        <w:tc>
          <w:tcPr>
            <w:tcW w:w="4540" w:type="dxa"/>
            <w:vAlign w:val="bottom"/>
          </w:tcPr>
          <w:p>
            <w:pPr>
              <w:ind w:left="20"/>
              <w:spacing w:after="0" w:line="157" w:lineRule="exact"/>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4540" w:type="dxa"/>
            <w:vAlign w:val="bottom"/>
          </w:tcPr>
          <w:p>
            <w:pPr>
              <w:ind w:left="20"/>
              <w:spacing w:after="0"/>
              <w:rPr>
                <w:sz w:val="20"/>
                <w:szCs w:val="20"/>
                <w:color w:val="auto"/>
              </w:rPr>
            </w:pPr>
            <w:r>
              <w:rPr>
                <w:rFonts w:ascii="Arial" w:cs="Arial" w:eastAsia="Arial" w:hAnsi="Arial"/>
                <w:sz w:val="14"/>
                <w:szCs w:val="14"/>
                <w:color w:val="auto"/>
              </w:rPr>
              <w:t>stock</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827,597</w:t>
            </w:r>
          </w:p>
        </w:tc>
        <w:tc>
          <w:tcPr>
            <w:tcW w:w="3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(827,597)</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2,425</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(20,641)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(20,641)</w:t>
            </w: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20,555,717</w:t>
            </w:r>
          </w:p>
        </w:tc>
        <w:tc>
          <w:tcPr>
            <w:tcW w:w="3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3,599,554</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340,215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(27,227)</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6"/>
              </w:rPr>
              <w:t>$  312,934</w:t>
            </w:r>
          </w:p>
        </w:tc>
      </w:tr>
      <w:tr>
        <w:trPr>
          <w:trHeight w:val="20"/>
        </w:trPr>
        <w:tc>
          <w:tcPr>
            <w:tcW w:w="4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4"/>
          </w:tcPr>
          <w:p>
            <w:pPr>
              <w:jc w:val="right"/>
              <w:ind w:right="599"/>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8"/>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8"/>
                <w:szCs w:val="18"/>
                <w:b w:val="1"/>
                <w:bCs w:val="1"/>
                <w:color w:val="auto"/>
              </w:rPr>
              <w:t>2020</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5,464</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(21,699)</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4,321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6,640</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Right-of-use asset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2,332</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Accretion of bond discount</w:t>
            </w:r>
          </w:p>
        </w:tc>
        <w:tc>
          <w:tcPr>
            <w:tcW w:w="36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debt discount and issuance costs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6,314</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3,306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4,924</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(14,263)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14,254</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260</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Accounts receivable, net of allowances</w:t>
            </w:r>
          </w:p>
        </w:tc>
        <w:tc>
          <w:tcPr>
            <w:tcW w:w="36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(2,683)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(11,609)</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(3,586)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Deferred costs</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(584)</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2,417</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revenue and advanced billings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1,047</w:t>
            </w: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Operating right-of-use liability</w:t>
            </w:r>
          </w:p>
        </w:tc>
        <w:tc>
          <w:tcPr>
            <w:tcW w:w="36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(2,612)</w:t>
            </w:r>
          </w:p>
        </w:tc>
      </w:tr>
      <w:tr>
        <w:trPr>
          <w:trHeight w:val="33"/>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(7,844)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(7,550)</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Capitalized software development costs</w:t>
            </w:r>
          </w:p>
        </w:tc>
        <w:tc>
          <w:tcPr>
            <w:tcW w:w="36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(1,498)</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marketable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(55,933)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sales and maturities of marketable securities</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other 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(230,780)</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(47,452)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(239,828)</w:t>
            </w:r>
          </w:p>
        </w:tc>
      </w:tr>
      <w:tr>
        <w:trPr>
          <w:trHeight w:val="33"/>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the follow-on public offering, net of underwriting discounts</w:t>
            </w:r>
          </w:p>
        </w:tc>
        <w:tc>
          <w:tcPr>
            <w:tcW w:w="36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6"/>
                <w:szCs w:val="16"/>
                <w:color w:val="auto"/>
              </w:rPr>
              <w:t>147,391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costs related to the follow-on public offering</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issuance of convertible senior notes</w:t>
            </w:r>
          </w:p>
        </w:tc>
        <w:tc>
          <w:tcPr>
            <w:tcW w:w="3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400,000</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(11,965)</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Purchase of capped call</w:t>
            </w:r>
          </w:p>
        </w:tc>
        <w:tc>
          <w:tcPr>
            <w:tcW w:w="3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(43,320)</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6,381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3,540</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Value of equity awards withheld for tax liabilities</w:t>
            </w:r>
          </w:p>
        </w:tc>
        <w:tc>
          <w:tcPr>
            <w:tcW w:w="36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(1,198)</w:t>
            </w:r>
          </w:p>
        </w:tc>
      </w:tr>
      <w:tr>
        <w:trPr>
          <w:trHeight w:val="33"/>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151,947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347,057</w:t>
            </w:r>
          </w:p>
        </w:tc>
      </w:tr>
      <w:tr>
        <w:trPr>
          <w:trHeight w:val="20"/>
        </w:trPr>
        <w:tc>
          <w:tcPr>
            <w:tcW w:w="7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78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99,082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106,905</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5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41,501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185,004</w:t>
            </w:r>
          </w:p>
        </w:tc>
      </w:tr>
      <w:tr>
        <w:trPr>
          <w:trHeight w:val="33"/>
        </w:trPr>
        <w:tc>
          <w:tcPr>
            <w:tcW w:w="78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140,583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291,909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w:t>
            </w:r>
          </w:p>
        </w:tc>
      </w:tr>
      <w:tr>
        <w:trPr>
          <w:trHeight w:val="33"/>
        </w:trPr>
        <w:tc>
          <w:tcPr>
            <w:tcW w:w="78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(refunded) for taxes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20"/>
        </w:trPr>
        <w:tc>
          <w:tcPr>
            <w:tcW w:w="7860" w:type="dxa"/>
            <w:vAlign w:val="bottom"/>
          </w:tcPr>
          <w:p>
            <w:pPr>
              <w:ind w:left="20"/>
              <w:spacing w:after="0"/>
              <w:rPr>
                <w:sz w:val="20"/>
                <w:szCs w:val="20"/>
                <w:color w:val="auto"/>
              </w:rPr>
            </w:pPr>
            <w:r>
              <w:rPr>
                <w:rFonts w:ascii="Arial" w:cs="Arial" w:eastAsia="Arial" w:hAnsi="Arial"/>
                <w:sz w:val="16"/>
                <w:szCs w:val="16"/>
                <w:color w:val="auto"/>
              </w:rPr>
              <w:t>Purchase of property and equipment, accrued but not paid</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1,082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awards withheld for tax liabilities, accrued but not paid</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messaging communications services across any mobile application or connected device.</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377" w:lineRule="exact"/>
        <w:rPr>
          <w:sz w:val="20"/>
          <w:szCs w:val="20"/>
          <w:color w:val="auto"/>
        </w:rPr>
      </w:pPr>
    </w:p>
    <w:p>
      <w:pPr>
        <w:ind w:left="500" w:right="7320" w:hanging="492"/>
        <w:spacing w:after="0" w:line="411" w:lineRule="auto"/>
        <w:tabs>
          <w:tab w:leader="none" w:pos="212"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21, 2020.</w:t>
      </w:r>
    </w:p>
    <w:p>
      <w:pPr>
        <w:spacing w:after="0" w:line="124"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condensed consolidated balance sheet as of December 31, 2019, included herein, was derived from the audited financial statements as of that date, but does not include all disclosures, including certain notes required by GAAP on an annual reporting basis.</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(loss) and cash flows for the interim periods, but are not necessarily indicative of the results of operations to be anticipated for the full year 2020 or any future period.</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Reclassification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condensed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Use of Estimates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doubtful accounts, reserve for expected credit losses, reserve for sales credits, recoverability of long lived and intangible assets, discount rates used in the valuation of right-of-use assets and lease liabilities, the fair value of the liability and equity components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Effective January 1, 2020, due to the continued growth in customers and low churn rates, the Company updated its calculation of the estimated period of benefit for nonrefundable upfront fees from 3 years to 4 years. For the three and six months ended June 30, 2020, the Company reduced total revenue by approximately $437 and $876, respectively, and reduced cost of revenue by approximately $247 and $566, respectively, related to the change in the estimated period of benefit.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The Company classifies all highly liquid investments with stated maturities of three months or less from the date of purchase as cash equivalents and all highly liquid investments with stated maturities of greater than three months from the date of purchase as current marketable securities, with the exception of time deposits which are classified as other investments.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cash consists primarily of customer deposits, employee withholding tax liability and employee benefits contributions not yet remitted. The Company has classified this asset as a short-term asset in order to match the expected period of restriction. See Note 8, “Debt” to these condensed consolidated financial statements, for further information.</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Accounts Receivable and Current Expected Credit Losses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risks characteristics include customer size and historical loss patterns. Management has evaluated the expected credit losses related to trade accounts receivable and determined that allowances of approximately $769 and $597 for uncollectible accounts and customer balances that are disputed were required as of December 31, 2019 and June 30, 2020, respectively. Refer to Note 4, “Financial Statement Components” to these condensed consolidated financial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statements, for a rollforward of the components of the allowances as of December 31, 2019 and June 30, 2020. Refer to the Recently Adopted Accounting Standard section for the adoption of </w:t>
      </w:r>
      <w:r>
        <w:rPr>
          <w:rFonts w:ascii="Arial" w:cs="Arial" w:eastAsia="Arial" w:hAnsi="Arial"/>
          <w:sz w:val="19"/>
          <w:szCs w:val="19"/>
          <w:color w:val="231F20"/>
        </w:rPr>
        <w:t>ASU 2019-11,</w:t>
      </w:r>
      <w:r>
        <w:rPr>
          <w:rFonts w:ascii="Arial" w:cs="Arial" w:eastAsia="Arial" w:hAnsi="Arial"/>
          <w:sz w:val="19"/>
          <w:szCs w:val="19"/>
          <w:color w:val="auto"/>
        </w:rPr>
        <w:t xml:space="preserve"> </w:t>
      </w:r>
      <w:r>
        <w:rPr>
          <w:rFonts w:ascii="Arial" w:cs="Arial" w:eastAsia="Arial" w:hAnsi="Arial"/>
          <w:sz w:val="19"/>
          <w:szCs w:val="19"/>
          <w:i w:val="1"/>
          <w:iCs w:val="1"/>
          <w:color w:val="231F20"/>
        </w:rPr>
        <w:t>Codification Improvements to Topic 326, Financial Instruments—</w:t>
      </w:r>
      <w:r>
        <w:rPr>
          <w:rFonts w:ascii="Arial" w:cs="Arial" w:eastAsia="Arial" w:hAnsi="Arial"/>
          <w:sz w:val="19"/>
          <w:szCs w:val="19"/>
          <w:color w:val="auto"/>
        </w:rPr>
        <w:t xml:space="preserve"> </w:t>
      </w:r>
      <w:r>
        <w:rPr>
          <w:rFonts w:ascii="Arial" w:cs="Arial" w:eastAsia="Arial" w:hAnsi="Arial"/>
          <w:sz w:val="19"/>
          <w:szCs w:val="19"/>
          <w:i w:val="1"/>
          <w:iCs w:val="1"/>
          <w:color w:val="231F20"/>
        </w:rPr>
        <w:t xml:space="preserve">Credit Losses </w:t>
      </w:r>
      <w:r>
        <w:rPr>
          <w:rFonts w:ascii="Arial" w:cs="Arial" w:eastAsia="Arial" w:hAnsi="Arial"/>
          <w:sz w:val="19"/>
          <w:szCs w:val="19"/>
          <w:color w:val="231F20"/>
        </w:rPr>
        <w:t>for discussion of financial assets measured at amortized cost, including trade receivables.</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2019 and June 30, 2020, unbilled receivables were $16,200 and $22,658,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Financial instruments that are exposed to concentration of credit risk consist primarily of cash and cash equivalents, marketable securities, other investments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2019, no individual customer represented more than 10% of the Company’s accounts receivable, net of allowance for doubtful accounts. As of June 30, 2020, one individual customer represented approximately 11% of the Company’s accounts receivable, net of allowance for doubtful accounts.</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and six months ended June 30, 2019, no individual customer represented more than 10% of the Company’s total revenue. For both the three and six months ended June 30, 2020, one individual customer represented approximately 10% of the Company's total revenue.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Deferred Revenue and Customer Deposits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Deferred revenue is recorded when cash payments are received in advance of future usage on contracts. Revenue is typically recognized in the following month as services are rendered or, in the case of nonrefundable upfront fees, over the estimated period of benefit from the date the fee is incurred by the customer.</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Customer refundable payments are recorded as advanced billings. During the three and six months ended June 30, 2020, the Company recognized revenue of $846 and $1,932 related to its contract liabilities as of December 31, 2019. The Company expects to recognize $5,236 in revenue over the next twelve months related to its contract liabilities as of June 30, 2020.</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231F20"/>
        </w:rPr>
        <w:t xml:space="preserve">In August 2018, the </w:t>
      </w:r>
      <w:r>
        <w:rPr>
          <w:rFonts w:ascii="Arial" w:cs="Arial" w:eastAsia="Arial" w:hAnsi="Arial"/>
          <w:sz w:val="20"/>
          <w:szCs w:val="20"/>
          <w:color w:val="000000"/>
        </w:rPr>
        <w:t>Financial Accounting Standards Board (“FASB”)</w:t>
      </w:r>
      <w:r>
        <w:rPr>
          <w:rFonts w:ascii="Arial" w:cs="Arial" w:eastAsia="Arial" w:hAnsi="Arial"/>
          <w:sz w:val="20"/>
          <w:szCs w:val="20"/>
          <w:color w:val="231F20"/>
        </w:rPr>
        <w:t xml:space="preserve"> issued Accounting Standards Update (</w:t>
      </w:r>
      <w:r>
        <w:rPr>
          <w:rFonts w:ascii="Arial" w:cs="Arial" w:eastAsia="Arial" w:hAnsi="Arial"/>
          <w:sz w:val="20"/>
          <w:szCs w:val="20"/>
          <w:color w:val="000000"/>
        </w:rPr>
        <w:t>“</w:t>
      </w:r>
      <w:r>
        <w:rPr>
          <w:rFonts w:ascii="Arial" w:cs="Arial" w:eastAsia="Arial" w:hAnsi="Arial"/>
          <w:sz w:val="20"/>
          <w:szCs w:val="20"/>
          <w:color w:val="231F20"/>
        </w:rPr>
        <w:t>ASU</w:t>
      </w:r>
      <w:r>
        <w:rPr>
          <w:rFonts w:ascii="Arial" w:cs="Arial" w:eastAsia="Arial" w:hAnsi="Arial"/>
          <w:sz w:val="20"/>
          <w:szCs w:val="20"/>
          <w:color w:val="000000"/>
        </w:rPr>
        <w:t>”</w:t>
      </w:r>
      <w:r>
        <w:rPr>
          <w:rFonts w:ascii="Arial" w:cs="Arial" w:eastAsia="Arial" w:hAnsi="Arial"/>
          <w:sz w:val="20"/>
          <w:szCs w:val="20"/>
          <w:color w:val="231F20"/>
        </w:rPr>
        <w:t xml:space="preserve">) 2018-15, </w:t>
      </w:r>
      <w:r>
        <w:rPr>
          <w:rFonts w:ascii="Arial" w:cs="Arial" w:eastAsia="Arial" w:hAnsi="Arial"/>
          <w:sz w:val="20"/>
          <w:szCs w:val="20"/>
          <w:i w:val="1"/>
          <w:iCs w:val="1"/>
          <w:color w:val="231F20"/>
        </w:rPr>
        <w:t>Intangibles-Goodwill and Other-Internal-Use Software (Subtopic 350-40): Customer’s Accounting for Implementation Costs Incurred in a Cloud Computing Arrangement That is a Service Contract</w:t>
      </w:r>
      <w:r>
        <w:rPr>
          <w:rFonts w:ascii="Arial" w:cs="Arial" w:eastAsia="Arial" w:hAnsi="Arial"/>
          <w:sz w:val="20"/>
          <w:szCs w:val="20"/>
          <w:color w:val="231F20"/>
        </w:rPr>
        <w:t>. This standard aligns the requirements for capitalizing implementation costs</w:t>
      </w:r>
      <w:r>
        <w:rPr>
          <w:rFonts w:ascii="Arial" w:cs="Arial" w:eastAsia="Arial" w:hAnsi="Arial"/>
          <w:sz w:val="20"/>
          <w:szCs w:val="20"/>
          <w:i w:val="1"/>
          <w:iCs w:val="1"/>
          <w:color w:val="231F20"/>
        </w:rPr>
        <w:t xml:space="preserve"> </w:t>
      </w:r>
      <w:r>
        <w:rPr>
          <w:rFonts w:ascii="Arial" w:cs="Arial" w:eastAsia="Arial" w:hAnsi="Arial"/>
          <w:sz w:val="20"/>
          <w:szCs w:val="20"/>
          <w:color w:val="231F20"/>
        </w:rPr>
        <w:t>incurred in a hosting arrangement that is a service contract with the requirements for capitalizing implementation costs incurred to develop or obtain internal-use software. ASU 2018-15 is effective for interim and annual reporting periods beginning after December 15, 2019. As a result of the Company</w:t>
      </w:r>
      <w:r>
        <w:rPr>
          <w:rFonts w:ascii="Arial" w:cs="Arial" w:eastAsia="Arial" w:hAnsi="Arial"/>
          <w:sz w:val="20"/>
          <w:szCs w:val="20"/>
          <w:color w:val="000000"/>
        </w:rPr>
        <w:t>’</w:t>
      </w:r>
      <w:r>
        <w:rPr>
          <w:rFonts w:ascii="Arial" w:cs="Arial" w:eastAsia="Arial" w:hAnsi="Arial"/>
          <w:sz w:val="20"/>
          <w:szCs w:val="20"/>
          <w:color w:val="231F20"/>
        </w:rPr>
        <w:t xml:space="preserve">s prospective adoption of this standard, the Company capitalized </w:t>
      </w:r>
      <w:r>
        <w:rPr>
          <w:rFonts w:ascii="Arial" w:cs="Arial" w:eastAsia="Arial" w:hAnsi="Arial"/>
          <w:sz w:val="20"/>
          <w:szCs w:val="20"/>
          <w:color w:val="000000"/>
        </w:rPr>
        <w:t>i</w:t>
      </w:r>
      <w:r>
        <w:rPr>
          <w:rFonts w:ascii="Arial" w:cs="Arial" w:eastAsia="Arial" w:hAnsi="Arial"/>
          <w:sz w:val="20"/>
          <w:szCs w:val="20"/>
          <w:color w:val="231F20"/>
        </w:rPr>
        <w:t xml:space="preserve">mplementation costs related to cloud computing arrangements of $432 as of </w:t>
      </w:r>
      <w:r>
        <w:rPr>
          <w:rFonts w:ascii="Arial" w:cs="Arial" w:eastAsia="Arial" w:hAnsi="Arial"/>
          <w:sz w:val="20"/>
          <w:szCs w:val="20"/>
          <w:color w:val="000000"/>
        </w:rPr>
        <w:t>June 30, 2020.</w:t>
      </w:r>
      <w:r>
        <w:rPr>
          <w:rFonts w:ascii="Arial" w:cs="Arial" w:eastAsia="Arial" w:hAnsi="Arial"/>
          <w:sz w:val="20"/>
          <w:szCs w:val="20"/>
          <w:color w:val="231F20"/>
        </w:rPr>
        <w:t xml:space="preserve"> See Note 6, “Property and Equipment” to these condensed consolidated financial statements, for additional details.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p>
    <w:p>
      <w:pPr>
        <w:spacing w:after="0" w:line="5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Disclosure Requirements for Fair Value Measurement, </w:t>
      </w:r>
      <w:r>
        <w:rPr>
          <w:rFonts w:ascii="Arial" w:cs="Arial" w:eastAsia="Arial" w:hAnsi="Arial"/>
          <w:sz w:val="20"/>
          <w:szCs w:val="20"/>
          <w:color w:val="auto"/>
        </w:rPr>
        <w:t>which eliminates certain disclosure requirements for fair value measurements for all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entities, requires public entities to disclose certain new information and modifies some disclosure requirements. ASU 2018-13 is effective for </w:t>
      </w:r>
      <w:r>
        <w:rPr>
          <w:rFonts w:ascii="Arial" w:cs="Arial" w:eastAsia="Arial" w:hAnsi="Arial"/>
          <w:sz w:val="20"/>
          <w:szCs w:val="20"/>
          <w:color w:val="231F20"/>
        </w:rPr>
        <w:t>interim and annual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231F20"/>
        </w:rPr>
        <w:t xml:space="preserve">periods </w:t>
      </w:r>
      <w:r>
        <w:rPr>
          <w:rFonts w:ascii="Arial" w:cs="Arial" w:eastAsia="Arial" w:hAnsi="Arial"/>
          <w:sz w:val="20"/>
          <w:szCs w:val="20"/>
          <w:color w:val="000000"/>
        </w:rPr>
        <w:t>beginning after December 15, 2019 and for interim periods within those fiscal years.</w:t>
      </w:r>
      <w:r>
        <w:rPr>
          <w:rFonts w:ascii="Arial" w:cs="Arial" w:eastAsia="Arial" w:hAnsi="Arial"/>
          <w:sz w:val="20"/>
          <w:szCs w:val="20"/>
          <w:color w:val="231F20"/>
        </w:rPr>
        <w:t xml:space="preserve"> The adoption of this standard did not have a material impact on the Company</w:t>
      </w:r>
      <w:r>
        <w:rPr>
          <w:rFonts w:ascii="Arial" w:cs="Arial" w:eastAsia="Arial" w:hAnsi="Arial"/>
          <w:sz w:val="20"/>
          <w:szCs w:val="20"/>
          <w:color w:val="000000"/>
        </w:rPr>
        <w:t>’</w:t>
      </w:r>
      <w:r>
        <w:rPr>
          <w:rFonts w:ascii="Arial" w:cs="Arial" w:eastAsia="Arial" w:hAnsi="Arial"/>
          <w:sz w:val="20"/>
          <w:szCs w:val="20"/>
          <w:color w:val="231F20"/>
        </w:rPr>
        <w:t>s financial statements.</w:t>
      </w:r>
    </w:p>
    <w:p>
      <w:pPr>
        <w:spacing w:after="0" w:line="10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231F20"/>
        </w:rPr>
        <w:t xml:space="preserve">In January 2017, the FASB issued ASU 2017-04, </w:t>
      </w:r>
      <w:r>
        <w:rPr>
          <w:rFonts w:ascii="Arial" w:cs="Arial" w:eastAsia="Arial" w:hAnsi="Arial"/>
          <w:sz w:val="19"/>
          <w:szCs w:val="19"/>
          <w:i w:val="1"/>
          <w:iCs w:val="1"/>
          <w:color w:val="231F20"/>
        </w:rPr>
        <w:t>Simplifying the Test for Goodwill Impairment</w:t>
      </w:r>
      <w:r>
        <w:rPr>
          <w:rFonts w:ascii="Arial" w:cs="Arial" w:eastAsia="Arial" w:hAnsi="Arial"/>
          <w:sz w:val="19"/>
          <w:szCs w:val="19"/>
          <w:color w:val="231F20"/>
        </w:rPr>
        <w:t xml:space="preserve">, </w:t>
      </w:r>
      <w:r>
        <w:rPr>
          <w:rFonts w:ascii="Arial" w:cs="Arial" w:eastAsia="Arial" w:hAnsi="Arial"/>
          <w:sz w:val="19"/>
          <w:szCs w:val="19"/>
          <w:color w:val="000000"/>
        </w:rPr>
        <w:t>which simplifies the accounting for</w:t>
      </w:r>
      <w:r>
        <w:rPr>
          <w:rFonts w:ascii="Arial" w:cs="Arial" w:eastAsia="Arial" w:hAnsi="Arial"/>
          <w:sz w:val="19"/>
          <w:szCs w:val="19"/>
          <w:color w:val="231F20"/>
        </w:rPr>
        <w:t xml:space="preserve"> </w:t>
      </w:r>
      <w:r>
        <w:rPr>
          <w:rFonts w:ascii="Arial" w:cs="Arial" w:eastAsia="Arial" w:hAnsi="Arial"/>
          <w:sz w:val="19"/>
          <w:szCs w:val="19"/>
          <w:color w:val="000000"/>
        </w:rPr>
        <w:t>goodwill impairment. The ASU removes the second step of the goodwill impairment test that requires a hypothetical purchase price allocation. A goodwill impairment will now be the amount by which a reporting unit’s carrying value exceeds its fair value, not to exceed the carrying amount of goodwill. ASU 2017-04 is effective for interim and annual reporting periods beginning after December 15, 2019. The adoption of this standard did not have a material impact on the Company’s financial statements.</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231F20"/>
        </w:rPr>
        <w:t xml:space="preserve">In June 2016, the FASB issued ASU 2016-13, </w:t>
      </w:r>
      <w:r>
        <w:rPr>
          <w:rFonts w:ascii="Arial" w:cs="Arial" w:eastAsia="Arial" w:hAnsi="Arial"/>
          <w:sz w:val="18"/>
          <w:szCs w:val="18"/>
          <w:i w:val="1"/>
          <w:iCs w:val="1"/>
          <w:color w:val="231F20"/>
        </w:rPr>
        <w:t>Financial Instruments–Credit Losses: Measurement of Credit Losses on Financial</w:t>
      </w:r>
      <w:r>
        <w:rPr>
          <w:rFonts w:ascii="Arial" w:cs="Arial" w:eastAsia="Arial" w:hAnsi="Arial"/>
          <w:sz w:val="18"/>
          <w:szCs w:val="18"/>
          <w:color w:val="231F20"/>
        </w:rPr>
        <w:t xml:space="preserve"> </w:t>
      </w:r>
      <w:r>
        <w:rPr>
          <w:rFonts w:ascii="Arial" w:cs="Arial" w:eastAsia="Arial" w:hAnsi="Arial"/>
          <w:sz w:val="18"/>
          <w:szCs w:val="18"/>
          <w:i w:val="1"/>
          <w:iCs w:val="1"/>
          <w:color w:val="231F20"/>
        </w:rPr>
        <w:t>Instruments</w:t>
      </w:r>
      <w:r>
        <w:rPr>
          <w:rFonts w:ascii="Arial" w:cs="Arial" w:eastAsia="Arial" w:hAnsi="Arial"/>
          <w:sz w:val="18"/>
          <w:szCs w:val="18"/>
          <w:color w:val="231F20"/>
        </w:rPr>
        <w:t>, which changes the impairment model for most financial assets. The new model uses a forward-looking expected loss method,</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which will generally result in earlier recognition of allowances for losses. In November 2018, the FASB issued ASU 2018-19, </w:t>
      </w:r>
      <w:r>
        <w:rPr>
          <w:rFonts w:ascii="Arial" w:cs="Arial" w:eastAsia="Arial" w:hAnsi="Arial"/>
          <w:sz w:val="18"/>
          <w:szCs w:val="18"/>
          <w:i w:val="1"/>
          <w:iCs w:val="1"/>
          <w:color w:val="231F20"/>
        </w:rPr>
        <w:t>Codification</w:t>
      </w:r>
      <w:r>
        <w:rPr>
          <w:rFonts w:ascii="Arial" w:cs="Arial" w:eastAsia="Arial" w:hAnsi="Arial"/>
          <w:sz w:val="18"/>
          <w:szCs w:val="18"/>
          <w:color w:val="231F20"/>
        </w:rPr>
        <w:t xml:space="preserve"> </w:t>
      </w:r>
      <w:r>
        <w:rPr>
          <w:rFonts w:ascii="Arial" w:cs="Arial" w:eastAsia="Arial" w:hAnsi="Arial"/>
          <w:sz w:val="18"/>
          <w:szCs w:val="18"/>
          <w:i w:val="1"/>
          <w:iCs w:val="1"/>
          <w:color w:val="231F20"/>
        </w:rPr>
        <w:t>Improvements to Topic 326, Financial Instruments – Credit Losses</w:t>
      </w:r>
      <w:r>
        <w:rPr>
          <w:rFonts w:ascii="Arial" w:cs="Arial" w:eastAsia="Arial" w:hAnsi="Arial"/>
          <w:sz w:val="18"/>
          <w:szCs w:val="18"/>
          <w:color w:val="231F20"/>
        </w:rPr>
        <w:t>, which clarifies that receivables arising from operating leases are not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within the scope of Topic 326, Financial Instruments – Credit Losses. Instead, impairment of receivables arising from operating leases should be accounted for in accordance with Topic 842, Leases. In April 2019, the FASB issued ASU 2019-04, </w:t>
      </w:r>
      <w:r>
        <w:rPr>
          <w:rFonts w:ascii="Arial" w:cs="Arial" w:eastAsia="Arial" w:hAnsi="Arial"/>
          <w:sz w:val="18"/>
          <w:szCs w:val="18"/>
          <w:i w:val="1"/>
          <w:iCs w:val="1"/>
          <w:color w:val="231F20"/>
        </w:rPr>
        <w:t>Codification Improvements to Topic</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326, Financial Instruments—Credit Losses, Topic 815, Derivatives and Hedging, and Topic 825, Financial Instruments, </w:t>
      </w:r>
      <w:r>
        <w:rPr>
          <w:rFonts w:ascii="Arial" w:cs="Arial" w:eastAsia="Arial" w:hAnsi="Arial"/>
          <w:sz w:val="18"/>
          <w:szCs w:val="18"/>
          <w:color w:val="231F20"/>
        </w:rPr>
        <w:t>which clarifies how</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to apply certain aspects of the new credit losses standard. In November 2019, the FASB issued ASU 2019-10, </w:t>
      </w:r>
      <w:r>
        <w:rPr>
          <w:rFonts w:ascii="Arial" w:cs="Arial" w:eastAsia="Arial" w:hAnsi="Arial"/>
          <w:sz w:val="18"/>
          <w:szCs w:val="18"/>
          <w:i w:val="1"/>
          <w:iCs w:val="1"/>
          <w:color w:val="231F20"/>
        </w:rPr>
        <w:t>Financial Instruments—Credit</w:t>
      </w:r>
      <w:r>
        <w:rPr>
          <w:rFonts w:ascii="Arial" w:cs="Arial" w:eastAsia="Arial" w:hAnsi="Arial"/>
          <w:sz w:val="18"/>
          <w:szCs w:val="18"/>
          <w:color w:val="231F20"/>
        </w:rPr>
        <w:t xml:space="preserve"> </w:t>
      </w:r>
      <w:r>
        <w:rPr>
          <w:rFonts w:ascii="Arial" w:cs="Arial" w:eastAsia="Arial" w:hAnsi="Arial"/>
          <w:sz w:val="18"/>
          <w:szCs w:val="18"/>
          <w:i w:val="1"/>
          <w:iCs w:val="1"/>
          <w:color w:val="231F20"/>
        </w:rPr>
        <w:t>Losses (Topic 326), Derivatives and Hedging (Topic 815), and Leases (Topic 842): Effective Dates</w:t>
      </w:r>
      <w:r>
        <w:rPr>
          <w:rFonts w:ascii="Arial" w:cs="Arial" w:eastAsia="Arial" w:hAnsi="Arial"/>
          <w:sz w:val="18"/>
          <w:szCs w:val="18"/>
          <w:color w:val="231F20"/>
        </w:rPr>
        <w:t>, which amends certain effective dates for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the new standard. In November 2019, the FASB issued ASU 2019-11, </w:t>
      </w:r>
      <w:r>
        <w:rPr>
          <w:rFonts w:ascii="Arial" w:cs="Arial" w:eastAsia="Arial" w:hAnsi="Arial"/>
          <w:sz w:val="18"/>
          <w:szCs w:val="18"/>
          <w:i w:val="1"/>
          <w:iCs w:val="1"/>
          <w:color w:val="231F20"/>
        </w:rPr>
        <w:t>Codification Improvements to Topic 326, Financial Instruments—</w:t>
      </w:r>
      <w:r>
        <w:rPr>
          <w:rFonts w:ascii="Arial" w:cs="Arial" w:eastAsia="Arial" w:hAnsi="Arial"/>
          <w:sz w:val="18"/>
          <w:szCs w:val="18"/>
          <w:color w:val="231F20"/>
        </w:rPr>
        <w:t xml:space="preserve"> </w:t>
      </w:r>
      <w:r>
        <w:rPr>
          <w:rFonts w:ascii="Arial" w:cs="Arial" w:eastAsia="Arial" w:hAnsi="Arial"/>
          <w:sz w:val="18"/>
          <w:szCs w:val="18"/>
          <w:i w:val="1"/>
          <w:iCs w:val="1"/>
          <w:color w:val="231F20"/>
        </w:rPr>
        <w:t>Credit Losses</w:t>
      </w:r>
      <w:r>
        <w:rPr>
          <w:rFonts w:ascii="Arial" w:cs="Arial" w:eastAsia="Arial" w:hAnsi="Arial"/>
          <w:sz w:val="18"/>
          <w:szCs w:val="18"/>
          <w:color w:val="231F20"/>
        </w:rPr>
        <w:t>, which clarifies how to apply certain aspects of the new credit losses standard. The accounting standard is effective for annual</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and interim periods beginning after December 15, 2019. The Company adopted this standard for financial assets measured at amortized cost, including trade receivables. Results for the reporting periods beginning after January 1, 2020 are presented under ASC 326, while prior period amounts continue to be reported in accordance with previously applicable GAAP. </w:t>
      </w:r>
      <w:r>
        <w:rPr>
          <w:rFonts w:ascii="Arial" w:cs="Arial" w:eastAsia="Arial" w:hAnsi="Arial"/>
          <w:sz w:val="18"/>
          <w:szCs w:val="18"/>
          <w:color w:val="000000"/>
        </w:rPr>
        <w:t>The adoption of this standard did not have a</w:t>
      </w:r>
      <w:r>
        <w:rPr>
          <w:rFonts w:ascii="Arial" w:cs="Arial" w:eastAsia="Arial" w:hAnsi="Arial"/>
          <w:sz w:val="18"/>
          <w:szCs w:val="18"/>
          <w:color w:val="231F20"/>
        </w:rPr>
        <w:t xml:space="preserve"> </w:t>
      </w:r>
      <w:r>
        <w:rPr>
          <w:rFonts w:ascii="Arial" w:cs="Arial" w:eastAsia="Arial" w:hAnsi="Arial"/>
          <w:sz w:val="18"/>
          <w:szCs w:val="18"/>
          <w:color w:val="000000"/>
        </w:rPr>
        <w:t>material impact on the Company’s financial statements.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fiscal years, and interim periods within those fiscal years, beginning after December 15, 2020. Early adoption is permitted, including adoption in an interim period. The Company is evaluating the effect of adopting this new accounting guidance, but does not expect adoption will have a material impact on its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168"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carrying amounts of cash and cash equivalents, other investments, accounts receivable, accounts payable and accrued expenses approximate fair value as of December 31, 2019 and June 30, 2020 because of the relatively short duration of these instruments.</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assets measured at fair value as of December 31, 2019 and June 30,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89"/>
              </w:rPr>
              <w:t>Fair value measurements on a recurring basis</w:t>
            </w:r>
          </w:p>
        </w:tc>
      </w:t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Money market account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75,250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75,250</w:t>
            </w:r>
          </w:p>
        </w:tc>
      </w:tr>
      <w:tr>
        <w:trPr>
          <w:trHeight w:val="27"/>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100,250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100,250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10"/>
          </w:tcPr>
          <w:p>
            <w:pPr>
              <w:jc w:val="right"/>
              <w:ind w:right="570"/>
              <w:spacing w:after="0"/>
              <w:rPr>
                <w:sz w:val="20"/>
                <w:szCs w:val="20"/>
                <w:color w:val="auto"/>
              </w:rPr>
            </w:pPr>
            <w:r>
              <w:rPr>
                <w:rFonts w:ascii="Arial" w:cs="Arial" w:eastAsia="Arial" w:hAnsi="Arial"/>
                <w:sz w:val="18"/>
                <w:szCs w:val="18"/>
                <w:b w:val="1"/>
                <w:bCs w:val="1"/>
                <w:color w:val="auto"/>
              </w:rPr>
              <w:t>Fair value measurements on a recurring basis</w:t>
            </w:r>
          </w:p>
        </w:tc>
      </w:t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ind w:left="46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Money market account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233,333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233,333</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25,195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25,195</w:t>
            </w:r>
          </w:p>
        </w:tc>
      </w:tr>
      <w:tr>
        <w:trPr>
          <w:trHeight w:val="27"/>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included in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258,528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258,528</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230,780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230,780</w:t>
            </w: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489,308</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489,308</w:t>
            </w:r>
          </w:p>
        </w:tc>
      </w:tr>
      <w:tr>
        <w:trPr>
          <w:trHeight w:val="27"/>
        </w:trPr>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June 30, 2020, the fair value of the Convertible Notes, as further described in Note 8, “Debt”, was approximately $598,500. The fair value was determined based on the closing price for the Convertible Notes on the last trading day of the reporting period and is considered as Level 2 in the fair value hierarchy.</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money market account is included in cash and cash equivalents in the condensed consolidated balance sheets as of December 31, 2019 and June 30, 2020.</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three and six months ended June 30, 2019, there were $9,000 and $18,000 in maturities of marketable securities, respectively.</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Interest earned on marketable securities was $3 and $6 for the three and six months ended June 30, 2019, respectively, and $0 for the three and six months ended June 30, 2020, and is recorded within other income (expense), net, in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168" w:lineRule="exact"/>
        <w:rPr>
          <w:sz w:val="20"/>
          <w:szCs w:val="20"/>
          <w:color w:val="auto"/>
        </w:rPr>
      </w:pPr>
    </w:p>
    <w:p>
      <w:pPr>
        <w:jc w:val="right"/>
        <w:ind w:right="740"/>
        <w:spacing w:after="0"/>
        <w:rPr>
          <w:sz w:val="20"/>
          <w:szCs w:val="20"/>
          <w:color w:val="auto"/>
        </w:rPr>
      </w:pPr>
      <w:r>
        <w:rPr>
          <w:rFonts w:ascii="Arial" w:cs="Arial" w:eastAsia="Arial" w:hAnsi="Arial"/>
          <w:sz w:val="20"/>
          <w:szCs w:val="20"/>
          <w:color w:val="auto"/>
        </w:rPr>
        <w:t>Accounts receivable, net of allowances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accounts receivable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Unbilled accounts receivable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 for doubtful accounts and reserve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180" w:type="dxa"/>
            <w:vAlign w:val="bottom"/>
          </w:tcPr>
          <w:p>
            <w:pPr>
              <w:spacing w:after="0"/>
              <w:rPr>
                <w:sz w:val="23"/>
                <w:szCs w:val="23"/>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14,692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19,122</w:t>
            </w:r>
          </w:p>
        </w:tc>
      </w:tr>
      <w:tr>
        <w:trPr>
          <w:trHeight w:val="270"/>
        </w:trPr>
        <w:tc>
          <w:tcPr>
            <w:tcW w:w="180" w:type="dxa"/>
            <w:vAlign w:val="bottom"/>
          </w:tcPr>
          <w:p>
            <w:pPr>
              <w:spacing w:after="0"/>
              <w:rPr>
                <w:sz w:val="23"/>
                <w:szCs w:val="23"/>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22,658</w:t>
            </w:r>
          </w:p>
        </w:tc>
      </w:tr>
      <w:tr>
        <w:trPr>
          <w:trHeight w:val="270"/>
        </w:trPr>
        <w:tc>
          <w:tcPr>
            <w:tcW w:w="18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0"/>
        </w:trPr>
        <w:tc>
          <w:tcPr>
            <w:tcW w:w="180" w:type="dxa"/>
            <w:vAlign w:val="bottom"/>
          </w:tcPr>
          <w:p>
            <w:pPr>
              <w:spacing w:after="0"/>
              <w:rPr>
                <w:sz w:val="23"/>
                <w:szCs w:val="23"/>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596</w:t>
            </w:r>
          </w:p>
        </w:tc>
      </w:tr>
      <w:tr>
        <w:trPr>
          <w:trHeight w:val="27"/>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30,187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41,779</w:t>
            </w:r>
          </w:p>
        </w:tc>
      </w:tr>
      <w:tr>
        <w:trPr>
          <w:trHeight w:val="27"/>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ectPr>
          <w:pgSz w:w="11900" w:h="16838" w:orient="portrait"/>
          <w:cols w:equalWidth="0" w:num="2">
            <w:col w:w="6460" w:space="720"/>
            <w:col w:w="4060"/>
          </w:cols>
          <w:pgMar w:left="320" w:top="121" w:right="339" w:bottom="1440" w:gutter="0" w:footer="0" w:header="0"/>
          <w:type w:val="continuous"/>
        </w:sectPr>
      </w:pPr>
    </w:p>
    <w:p>
      <w:pPr>
        <w:ind w:left="660"/>
        <w:spacing w:after="0"/>
        <w:rPr>
          <w:sz w:val="20"/>
          <w:szCs w:val="20"/>
          <w:color w:val="auto"/>
        </w:rPr>
      </w:pPr>
      <w:r>
        <w:rPr>
          <w:rFonts w:ascii="Arial" w:cs="Arial" w:eastAsia="Arial" w:hAnsi="Arial"/>
          <w:sz w:val="20"/>
          <w:szCs w:val="20"/>
          <w:color w:val="auto"/>
        </w:rPr>
        <w:t>Components of allowance for doubtful accounts and reserve for expected credit losses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5"/>
              </w:rPr>
              <w:t>(769)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Charged to bad debt expense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center"/>
              <w:ind w:left="490"/>
              <w:spacing w:after="0"/>
              <w:rPr>
                <w:sz w:val="20"/>
                <w:szCs w:val="20"/>
                <w:color w:val="auto"/>
              </w:rPr>
            </w:pPr>
            <w:r>
              <w:rPr>
                <w:rFonts w:ascii="Arial" w:cs="Arial" w:eastAsia="Arial" w:hAnsi="Arial"/>
                <w:sz w:val="18"/>
                <w:szCs w:val="18"/>
                <w:color w:val="auto"/>
                <w:w w:val="95"/>
              </w:rPr>
              <w:t>(180)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(1)</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6"/>
              </w:rPr>
              <w:t>352</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5"/>
              </w:rPr>
              <w:t>(597)</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4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60" w:type="dxa"/>
            <w:vAlign w:val="bottom"/>
            <w:gridSpan w:val="5"/>
          </w:tcPr>
          <w:p>
            <w:pPr>
              <w:ind w:left="660"/>
              <w:spacing w:after="0"/>
              <w:rPr>
                <w:sz w:val="20"/>
                <w:szCs w:val="20"/>
                <w:color w:val="auto"/>
              </w:rPr>
            </w:pPr>
            <w:r>
              <w:rPr>
                <w:rFonts w:ascii="Arial" w:cs="Arial" w:eastAsia="Arial" w:hAnsi="Arial"/>
                <w:sz w:val="18"/>
                <w:szCs w:val="18"/>
                <w:color w:val="auto"/>
                <w:w w:val="92"/>
              </w:rPr>
              <w:t>(1) Write off of uncollectible accounts after all collection efforts have been exhausted.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7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15,578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7,789</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5,633</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405</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29,405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Right-of-Use Asset and Lease Liabilities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Under the new standard, lessees are required to recognize in the balance sheet the right-of-use (“ROU”) assets and lease liabilities that arise from operating leases. As a result of the Company no longer qualifying as an “emerging growth company” based on its public float as of the end of the fiscal quarter ended June 30, 2019, the ASU was adopted as of December 31, 2019 with an effective date as of the beginning of the Company’s fiscal year, January 1, 2019. The standard was applied to the operating leases that existed on that date using the optional alternative method on a prospective basis. Prior year comparative financial information was recast under the new standard to be presented under ASC 842.</w:t>
      </w:r>
    </w:p>
    <w:p>
      <w:pPr>
        <w:spacing w:after="0" w:line="1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the lease. The Company determines if an arrangement is a lease at inception. Operating lease ROU assets and liabilities are recognized at commencement date based on the present value of lease payments over the lease term. The Company did not have any finance leases as of June 30, 2020. The Company presents the operating leases in long-term assets and current and long-term liabilities in the accompanying condensed consolidated balance sheet as of June 30, 2020.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sub-leases approximately 17,073 square feet of office space to a related party, Republic Wireless, Inc. (“Republic”).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Future minimum sub-lease receipts required under the non-cancellable lease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70"/>
        </w:trPr>
        <w:tc>
          <w:tcPr>
            <w:tcW w:w="9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9260" w:type="dxa"/>
            <w:vAlign w:val="bottom"/>
            <w:vMerge w:val="restart"/>
          </w:tcPr>
          <w:p>
            <w:pPr>
              <w:ind w:left="20"/>
              <w:spacing w:after="0"/>
              <w:rPr>
                <w:sz w:val="20"/>
                <w:szCs w:val="20"/>
                <w:color w:val="auto"/>
              </w:rPr>
            </w:pPr>
            <w:r>
              <w:rPr>
                <w:rFonts w:ascii="Arial" w:cs="Arial" w:eastAsia="Arial" w:hAnsi="Arial"/>
                <w:sz w:val="18"/>
                <w:szCs w:val="18"/>
                <w:color w:val="auto"/>
              </w:rPr>
              <w:t>2020 (remaining)</w:t>
            </w: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0"/>
          <w:szCs w:val="20"/>
          <w:color w:val="auto"/>
        </w:rPr>
        <w:t>As of June 30, 2020, the Company had six leased properties, with remaining lease terms of 2.08 years to 5.17 years, some of which include options to extend the leases for up to 5 years. None of the options to extend the leases are recognized in operating lease ROU assets or lease liabilities. None of the leases include options to terminate the lease.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lease expense recorded in the condensed consolidated statement of operations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Sublease income (1)</w:t>
            </w:r>
          </w:p>
        </w:tc>
        <w:tc>
          <w:tcPr>
            <w:tcW w:w="9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lease cost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1,234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jc w:val="right"/>
              <w:ind w:right="2395"/>
              <w:spacing w:after="0"/>
              <w:rPr>
                <w:sz w:val="20"/>
                <w:szCs w:val="20"/>
                <w:color w:val="auto"/>
              </w:rPr>
            </w:pPr>
            <w:r>
              <w:rPr>
                <w:rFonts w:ascii="Arial" w:cs="Arial" w:eastAsia="Arial" w:hAnsi="Arial"/>
                <w:sz w:val="14"/>
                <w:szCs w:val="14"/>
                <w:b w:val="1"/>
                <w:bCs w:val="1"/>
                <w:color w:val="auto"/>
              </w:rPr>
              <w:t>________________________</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86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(1) See Note 15, “Related Parties” to these condensed consolidated financial statements, for additional details on sublease income.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December 31,</w:t>
            </w:r>
          </w:p>
        </w:tc>
        <w:tc>
          <w:tcPr>
            <w:tcW w:w="320" w:type="dxa"/>
            <w:vAlign w:val="bottom"/>
          </w:tcPr>
          <w:p>
            <w:pPr>
              <w:spacing w:after="0"/>
              <w:rPr>
                <w:sz w:val="20"/>
                <w:szCs w:val="20"/>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Leases</w:t>
            </w:r>
          </w:p>
        </w:tc>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3"/>
                <w:szCs w:val="23"/>
                <w:color w:val="auto"/>
              </w:rPr>
            </w:pPr>
          </w:p>
        </w:tc>
        <w:tc>
          <w:tcPr>
            <w:tcW w:w="19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19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120"/>
              <w:spacing w:after="0"/>
              <w:rPr>
                <w:sz w:val="20"/>
                <w:szCs w:val="20"/>
                <w:color w:val="auto"/>
              </w:rPr>
            </w:pPr>
            <w:r>
              <w:rPr>
                <w:rFonts w:ascii="Arial" w:cs="Arial" w:eastAsia="Arial" w:hAnsi="Arial"/>
                <w:sz w:val="18"/>
                <w:szCs w:val="18"/>
                <w:color w:val="auto"/>
                <w:w w:val="99"/>
              </w:rPr>
              <w:t>Operating lease assets</w:t>
            </w:r>
          </w:p>
        </w:tc>
        <w:tc>
          <w:tcPr>
            <w:tcW w:w="4800" w:type="dxa"/>
            <w:vAlign w:val="bottom"/>
          </w:tcPr>
          <w:p>
            <w:pPr>
              <w:ind w:left="200"/>
              <w:spacing w:after="0"/>
              <w:rPr>
                <w:sz w:val="20"/>
                <w:szCs w:val="20"/>
                <w:color w:val="auto"/>
              </w:rPr>
            </w:pPr>
            <w:r>
              <w:rPr>
                <w:rFonts w:ascii="Arial" w:cs="Arial" w:eastAsia="Arial" w:hAnsi="Arial"/>
                <w:sz w:val="18"/>
                <w:szCs w:val="18"/>
                <w:color w:val="auto"/>
                <w:w w:val="98"/>
              </w:rPr>
              <w:t>Operating ROU asset, net of accumulated amortization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18,699</w:t>
            </w:r>
          </w:p>
        </w:tc>
      </w:tr>
      <w:tr>
        <w:trPr>
          <w:trHeight w:val="27"/>
        </w:trPr>
        <w:tc>
          <w:tcPr>
            <w:tcW w:w="19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9"/>
        </w:trPr>
        <w:tc>
          <w:tcPr>
            <w:tcW w:w="1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leased assets</w:t>
            </w:r>
          </w:p>
        </w:tc>
        <w:tc>
          <w:tcPr>
            <w:tcW w:w="4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21,031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18,699</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9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Current</w:t>
            </w:r>
          </w:p>
        </w:tc>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liability, current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5,067</w:t>
            </w: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17,065</w:t>
            </w:r>
          </w:p>
        </w:tc>
      </w:tr>
      <w:tr>
        <w:trPr>
          <w:trHeight w:val="236"/>
        </w:trPr>
        <w:tc>
          <w:tcPr>
            <w:tcW w:w="1980" w:type="dxa"/>
            <w:vAlign w:val="bottom"/>
          </w:tcPr>
          <w:p>
            <w:pPr>
              <w:ind w:left="220"/>
              <w:spacing w:after="0"/>
              <w:rPr>
                <w:sz w:val="20"/>
                <w:szCs w:val="20"/>
                <w:color w:val="auto"/>
              </w:rPr>
            </w:pPr>
            <w:r>
              <w:rPr>
                <w:rFonts w:ascii="Arial" w:cs="Arial" w:eastAsia="Arial" w:hAnsi="Arial"/>
                <w:sz w:val="18"/>
                <w:szCs w:val="18"/>
                <w:b w:val="1"/>
                <w:bCs w:val="1"/>
                <w:color w:val="auto"/>
                <w:w w:val="99"/>
              </w:rPr>
              <w:t>Total lease liabilities</w:t>
            </w:r>
          </w:p>
        </w:tc>
        <w:tc>
          <w:tcPr>
            <w:tcW w:w="48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24,744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-95885</wp:posOffset>
            </wp:positionV>
            <wp:extent cx="2837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lease assets are recorded net of accumulated amortization of $4,269 and $6,601 as of December 31, 2019 and June 30, 2020,</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cash flow and other information related to leases was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8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76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14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6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operating lease discount rate</w:t>
            </w: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6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Maturities of operating lease liabilities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9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2,705</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6,587</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6,302</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5,926</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1,987</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949</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24,456</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(2,304)</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accrued lease incentive</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9060" w:type="dxa"/>
            <w:vAlign w:val="bottom"/>
          </w:tcPr>
          <w:p>
            <w:pPr>
              <w:ind w:left="120"/>
              <w:spacing w:after="0"/>
              <w:rPr>
                <w:sz w:val="20"/>
                <w:szCs w:val="20"/>
                <w:color w:val="auto"/>
              </w:rPr>
            </w:pPr>
            <w:r>
              <w:rPr>
                <w:rFonts w:ascii="Arial" w:cs="Arial" w:eastAsia="Arial" w:hAnsi="Arial"/>
                <w:sz w:val="18"/>
                <w:szCs w:val="18"/>
                <w:color w:val="auto"/>
              </w:rPr>
              <w:t>Total lease obligations</w:t>
            </w:r>
          </w:p>
        </w:tc>
        <w:tc>
          <w:tcPr>
            <w:tcW w:w="3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22,132</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64"/>
        </w:trPr>
        <w:tc>
          <w:tcPr>
            <w:tcW w:w="906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17,065</w:t>
            </w:r>
          </w:p>
        </w:tc>
      </w:tr>
      <w:tr>
        <w:trPr>
          <w:trHeight w:val="20"/>
        </w:trPr>
        <w:tc>
          <w:tcPr>
            <w:tcW w:w="9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Property and Equipment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Property and equipment, net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December 31,</w:t>
            </w:r>
          </w:p>
        </w:tc>
        <w:tc>
          <w:tcPr>
            <w:tcW w:w="320" w:type="dxa"/>
            <w:vAlign w:val="bottom"/>
          </w:tcPr>
          <w:p>
            <w:pPr>
              <w:spacing w:after="0"/>
              <w:rPr>
                <w:sz w:val="20"/>
                <w:szCs w:val="20"/>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6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2,388</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2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4,764</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Telecommunications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50,431</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5,846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2,427</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Internal-use software development</w:t>
            </w:r>
          </w:p>
        </w:tc>
        <w:tc>
          <w:tcPr>
            <w:tcW w:w="2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17,952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19,183</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Automobile</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6"/>
        </w:trPr>
        <w:tc>
          <w:tcPr>
            <w:tcW w:w="676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76,567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85,049</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(41,279)</w:t>
            </w:r>
          </w:p>
        </w:tc>
      </w:tr>
      <w:tr>
        <w:trPr>
          <w:trHeight w:val="236"/>
        </w:trPr>
        <w:tc>
          <w:tcPr>
            <w:tcW w:w="676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41,654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43,770</w:t>
            </w: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capitalized $1,080 and $1,675 of software development costs in the three and six months ended June 30, 2019, respectively, and $708 and $1,498 in the three and six months ended June 30,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Amortization expense related to capitalized software development costs were $384 and $1,173 for the three and six months ended June 30, 2019, respectively, and $588 and $1,170 for the three and six months ended June 30, 2020, respectively. As of June 30, 2020, unamortized implementation costs related to cloud computing arrangements are $432, of which $104 are included in prepaid expenses and other current assets and $328 are included in other long-term assets.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4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4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4,674</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244</w:t>
            </w:r>
          </w:p>
        </w:tc>
      </w:tr>
      <w:tr>
        <w:trPr>
          <w:trHeight w:val="27"/>
        </w:trPr>
        <w:tc>
          <w:tcPr>
            <w:tcW w:w="4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1,402</w:t>
            </w:r>
          </w:p>
        </w:tc>
      </w:tr>
      <w:tr>
        <w:trPr>
          <w:trHeight w:val="27"/>
        </w:trPr>
        <w:tc>
          <w:tcPr>
            <w:tcW w:w="4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1,982</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3,212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6,380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consisted of the following as of December 31,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5,805</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Other, definite lived</w:t>
            </w:r>
          </w:p>
        </w:tc>
        <w:tc>
          <w:tcPr>
            <w:tcW w:w="28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rPr>
              <w:t>2 - 7</w:t>
            </w: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4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Intangible assets, net consisted of the following as of June 30,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5,545</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Other, definite lived</w:t>
            </w:r>
          </w:p>
        </w:tc>
        <w:tc>
          <w:tcPr>
            <w:tcW w:w="28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rPr>
              <w:t>2 - 7</w:t>
            </w: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64"/>
        </w:trPr>
        <w:tc>
          <w:tcPr>
            <w:tcW w:w="48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Amortization expense for definite lived intangible assets was $130 and $260 for the three and six months ended June 30, 2019, respectively, and $130 and $260 for the three and six months ended June 30, 2020, respectively. The remaining amortization period for definite lived intangible assets is 11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estimated amortization expense for definite lived intangible assets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9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520</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520</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3,205</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5,545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Revolving Loan</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On February 25, 2020, the Company entered into a waiver agreement with respect to its revolving loan (the “Credit Facility”) with KeyBank National Association and Pacific Western Bank (the “Lenders”), which provides for consent to accommodate the issuance of the Convertible Notes and entry into the Capped Calls (as defined below). The waiver agreement (“Cash Collateral Requirement”) requires the Company to covenant with the Lenders to deposit an amount of funds into a controlled account, which will restrict the ability to use such funds until the Credit Facility is paid in full or terminated. If the Company fails to comply with these covenants or to make payments under its indebtedness when due, the Company would be in default under that indebtedness, which could, in turn, result in that indebtedness becoming immediately payable in full. On April 27, 2020, the First Amendment Agreement to the Credit Security Agreement was executed in which the Lenders consented to remove the cash collateral requirement and to terminate the controlled account.</w:t>
      </w:r>
    </w:p>
    <w:p>
      <w:pPr>
        <w:spacing w:after="0" w:line="1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As of December 31, 2019, unamortized debt issuance costs were $125, of which $70 were in included in prepaid expenses and other current assets and $55 were included in other long-term assets. As of June 30, 2020, the outstanding debt issuance costs are $96, of which $62 are included in prepaid expenses and other current assets and $34 are included in other long-term assets.</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2019 and June 30, 2020, the Company had $0 outstanding on the Credit Facility and was in compliance with all financial and non-financial covenants for all periods presented. The available borrowing capacity under the Credit Facility was $25,000 as of June 30, 2020.</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Convertible Senior Notes and Capped Call Transactions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February 28, 2020, the Company issued $400,000 aggregate principal amount of 0.25% Convertible Notes due March 1, 2026 in a private placement to qualified institutional buyers pursuant to Rule 144A under the Securities Act (the “Convertible Notes”). The interest on the Convertible Notes is payable semi-annually in arrears on March 1 and September 1 of each year, beginning on September 1, 2020.</w:t>
      </w:r>
    </w:p>
    <w:p>
      <w:pPr>
        <w:spacing w:after="0" w:line="9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Convertible Notes may bear special interest under specified circumstances relating to the Company's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the Company, or converted pursuant to their terms. The total net proceeds from the Convertible Notes, after deducting initial purchaser discounts, costs related to the Capped Calls, and debt issuance costs, paid by the Company, were approximately $344,757.</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$1 principal amount of the Convertible Notes is initially convertible into 10.9857 shares of the Company's Class A common stock, par value $0.001 per share, which is equivalent to an initial conversion price of approximately $91.03 per share. The conversion rate is subject to adjustment upon the occurrence of certain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specified events but will not be adjusted for any accrued and unpaid special interest. In addition,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Convertible Notes will be redeemable in whole or in part at the Company's option on or after March 6, 2023, but before the 40th scheduled trading day before the maturity date, at a cash redemption price equal to 100% of the principal amount of the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Prior to the close of business on the business day immediately preceding September 1, 2025, the Convertible Notes may be convertible at the option of the holders only under the following circumstances:</w:t>
      </w:r>
    </w:p>
    <w:p>
      <w:pPr>
        <w:spacing w:after="0" w:line="123" w:lineRule="exact"/>
        <w:rPr>
          <w:sz w:val="20"/>
          <w:szCs w:val="20"/>
          <w:color w:val="auto"/>
        </w:rPr>
      </w:pPr>
    </w:p>
    <w:p>
      <w:pPr>
        <w:jc w:val="both"/>
        <w:ind w:left="660" w:firstLine="644"/>
        <w:spacing w:after="0" w:line="246" w:lineRule="auto"/>
        <w:tabs>
          <w:tab w:leader="none" w:pos="1944"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any calendar quarter commencing after the calendar quarter ending on June 30, 2020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37" w:lineRule="exact"/>
        <w:rPr>
          <w:rFonts w:ascii="Arial" w:cs="Arial" w:eastAsia="Arial" w:hAnsi="Arial"/>
          <w:sz w:val="20"/>
          <w:szCs w:val="20"/>
          <w:color w:val="auto"/>
        </w:rPr>
      </w:pPr>
    </w:p>
    <w:p>
      <w:pPr>
        <w:jc w:val="both"/>
        <w:ind w:left="660" w:firstLine="644"/>
        <w:spacing w:after="0" w:line="263"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the five consecutive business days immediately after any 10 consecutive trading day period (such 10 consecutive trading day period, the “measurement period”) in which the trading price per $1 principal amount of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22" w:lineRule="exact"/>
        <w:rPr>
          <w:rFonts w:ascii="Arial" w:cs="Arial" w:eastAsia="Arial" w:hAnsi="Arial"/>
          <w:sz w:val="19"/>
          <w:szCs w:val="19"/>
          <w:color w:val="auto"/>
        </w:rPr>
      </w:pPr>
    </w:p>
    <w:p>
      <w:pPr>
        <w:ind w:left="1940" w:hanging="636"/>
        <w:spacing w:after="0"/>
        <w:tabs>
          <w:tab w:leader="none" w:pos="1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upon the occurrence of certain corporate events or distributions on its Class A common stock; and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if the Company calls such Convertible Notes for redemption.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or after September 1, 2025, until the close of business on the second scheduled trading day immediately preceding the maturity date, holders of the Convertible Notes may, at their option, convert all or a portion of their Convertible Notes regardless of the foregoing conditions.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Convertible Notes with cash.</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June 30, 2020, the conditions allowing holders of the Convertible Notes to convert were not met.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sinking fund is provided for the Convertible Notes. Upon the occurrence of a fundamental change (as defined in the indenture) prior to the maturity date, holders may require the Company to repurchase all or a portion of the Convertible Notes for cash at a price equal to the principal amount of the Convertible Notes to be repurchased, plus any accrued and unpaid interest to, but excluding, the fundamental change repurchase date.</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Convertible Notes are the senior, unsecured obligations of the Company and are equal in right of payment with the Company’s existing and future senior unsecured indebtedness, senior in right of payment to the Company’s existing and future indebtedness that is expressly subordinated to the Convertible Notes and effectively subordinated to the Company’s existing and future senior secured indebtedness (including the Company’s $25,000 Credit Facility), to the extent of the value of the collateral securing that indebtedness. The Convertible Notes will be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structurally subordinated to all existing and future indebtedness and other liabilities, including trade payables, and preferred equity, if any, of the Company’s subsidiaries.</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accounting for the issuance of the Convertible Notes, the Company separated the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$125,160 and was determined by deducting the fair value of the liability component from the par value of the Convertible Notes. The difference represents the debt discount that is amortized to interest expense at an effective interest rate of 6.763% over the term of the Convertible Notes. The carrying amount of the equity component was $57,491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6.805% over the contractual terms of the Convertible Notes.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accounting for the transaction costs related to the Convertible Notes, the Company allocated the total amount incurred to the liability and equity components of the Convertible Notes based on the proportion of the proceeds allocated to the debt and equity components. Issuance costs attributable to the liability component were approximately $8,217, were recorded as an additional debt discount and are amortized to interest expense using the effective interest method over the contractual terms of the Convertible Notes. Issuance costs attributable to the equity component of $3,742 were netted with the equity component in stockholders’ equity.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carrying amount of the liability component of the Convertible Notes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9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(119,269)</w:t>
            </w: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272,901</w:t>
            </w:r>
          </w:p>
        </w:tc>
      </w:tr>
      <w:tr>
        <w:trPr>
          <w:trHeight w:val="27"/>
        </w:trPr>
        <w:tc>
          <w:tcPr>
            <w:tcW w:w="9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
        </w:trPr>
        <w:tc>
          <w:tcPr>
            <w:tcW w:w="9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carrying amount of the equity component of the Convertible Notes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9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allocated to the conversion options (debt discount)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125,160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(3,742)</w:t>
            </w:r>
          </w:p>
        </w:tc>
      </w:tr>
      <w:tr>
        <w:trPr>
          <w:trHeight w:val="27"/>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121,418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the interest expense recognized related to the Convertible Notes:</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48895</wp:posOffset>
            </wp:positionV>
            <wp:extent cx="1834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80"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42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56515</wp:posOffset>
            </wp:positionV>
            <wp:extent cx="1834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2020</w:t>
      </w:r>
    </w:p>
    <w:p>
      <w:pPr>
        <w:spacing w:after="0" w:line="34"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220" w:type="dxa"/>
            <w:vAlign w:val="bottom"/>
            <w:tcBorders>
              <w:top w:val="single" w:sz="8" w:color="auto"/>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5,891</w:t>
            </w:r>
          </w:p>
        </w:tc>
      </w:tr>
      <w:tr>
        <w:trPr>
          <w:trHeight w:val="27"/>
        </w:trPr>
        <w:tc>
          <w:tcPr>
            <w:tcW w:w="5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w:t>
            </w:r>
          </w:p>
        </w:tc>
      </w:tr>
      <w:tr>
        <w:trPr>
          <w:trHeight w:val="236"/>
        </w:trPr>
        <w:tc>
          <w:tcPr>
            <w:tcW w:w="5360" w:type="dxa"/>
            <w:vAlign w:val="bottom"/>
          </w:tcPr>
          <w:p>
            <w:pPr>
              <w:ind w:left="20"/>
              <w:spacing w:after="0"/>
              <w:rPr>
                <w:sz w:val="20"/>
                <w:szCs w:val="20"/>
                <w:color w:val="auto"/>
              </w:rPr>
            </w:pPr>
            <w:r>
              <w:rPr>
                <w:rFonts w:ascii="Arial" w:cs="Arial" w:eastAsia="Arial" w:hAnsi="Arial"/>
                <w:sz w:val="18"/>
                <w:szCs w:val="18"/>
                <w:color w:val="auto"/>
              </w:rPr>
              <w:t>Total interest expense related to the Convertible Notes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6,622</w:t>
            </w:r>
          </w:p>
        </w:tc>
      </w:tr>
      <w:tr>
        <w:trPr>
          <w:trHeight w:val="27"/>
        </w:trPr>
        <w:tc>
          <w:tcPr>
            <w:tcW w:w="53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connection with the offering of the Convertible Notes, the Company entered into privately negotiated capped call transactions with certain counterparties (the “Capped Calls”). The Capped Calls each have an initial</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strike price of approximately $91.03 per share, subject to certain adjustments, which corresponds to the initial conversion price of the Convertible Notes. The Capped Calls have initial cap prices of $137.40 per share, subject to certain adjustments. The Capped Calls cover, subject to anti-dilution adjustments, approximately 4,394,276 shares of Class A common stock. The Capped Calls are generally intended to reduce or offset the potential dilution to the Class A common stock upon any conversion of the Convertible Notes with such reduction or offset, as the case may be, subject to a cap based on the cap price. The Capped Calls expire on the earlier of (i) the last day on which any convertible securities remain outstanding and (ii) March 1, 2026,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$43,320 incurred to purchase the Capped Calls was recorded as a reduction to additional paid-in capital in the accompanying condensed consolidated balance sheets.</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Segment and Geographic Information</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80" w:type="dxa"/>
            <w:vAlign w:val="bottom"/>
            <w:gridSpan w:val="6"/>
          </w:tcPr>
          <w:p>
            <w:pPr>
              <w:ind w:left="60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4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47,989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67,076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93,002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126,197</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26,473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69,121</w:t>
            </w:r>
          </w:p>
        </w:tc>
      </w:tr>
      <w:tr>
        <w:trPr>
          <w:trHeight w:val="236"/>
        </w:trPr>
        <w:tc>
          <w:tcPr>
            <w:tcW w:w="416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21,516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29,847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41,229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57,076</w:t>
            </w: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416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9,714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17,098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19,111</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9,247</w:t>
            </w:r>
          </w:p>
        </w:tc>
      </w:tr>
      <w:tr>
        <w:trPr>
          <w:trHeight w:val="237"/>
        </w:trPr>
        <w:tc>
          <w:tcPr>
            <w:tcW w:w="416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9,864</w:t>
            </w: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416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56,779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76,790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110,100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145,308</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30,110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58,876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78,368</w:t>
            </w:r>
          </w:p>
        </w:tc>
      </w:tr>
      <w:tr>
        <w:trPr>
          <w:trHeight w:val="237"/>
        </w:trPr>
        <w:tc>
          <w:tcPr>
            <w:tcW w:w="416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26,669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34,781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51,224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66,940</w:t>
            </w: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Company's long-lived assets were primarily held in the United States as of December 31, 2019 and June 30, 2020. As of December 31, 2019 and June 30, 2020, long-lived assets held outside of the United States were $2,924 and $2,321,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 area is detailed in the table below (which is determined based on the customer billing address):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600" w:type="dxa"/>
            <w:vAlign w:val="bottom"/>
            <w:gridSpan w:val="6"/>
          </w:tcPr>
          <w:p>
            <w:pPr>
              <w:ind w:left="6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4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10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47,907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65,207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92,851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122,605</w:t>
            </w: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3,592</w:t>
            </w:r>
          </w:p>
        </w:tc>
      </w:tr>
      <w:tr>
        <w:trPr>
          <w:trHeight w:val="237"/>
        </w:trPr>
        <w:tc>
          <w:tcPr>
            <w:tcW w:w="4160" w:type="dxa"/>
            <w:vAlign w:val="bottom"/>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47,989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67,076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93,002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126,197</w:t>
            </w:r>
          </w:p>
        </w:tc>
      </w:tr>
      <w:tr>
        <w:trPr>
          <w:trHeight w:val="27"/>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18,543</w:t>
            </w: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568</w:t>
            </w:r>
          </w:p>
        </w:tc>
      </w:tr>
      <w:tr>
        <w:trPr>
          <w:trHeight w:val="27"/>
        </w:trPr>
        <w:tc>
          <w:tcPr>
            <w:tcW w:w="4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8,790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9,714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17,098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19,111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9140" w:hanging="492"/>
        <w:spacing w:after="0" w:line="514" w:lineRule="auto"/>
        <w:tabs>
          <w:tab w:leader="none" w:pos="31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2019 and June 30, 2020, the Company had authorized 10,000,000 shares of undesignated preferred stock, par value $0.001, of which no shares were issued and outstanding.</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of December 31, 2019 and June 30, 2020, the Company had authorized 100,000,000 shares of Class A common stock, par value $0.001 per share, with one vote per share and 20,000,000 shares of Class B common stock, par value $0.001 per share, with ten votes per share. As of December 31, 2019, 18,584,478 and 4,927,401 shares of Class A common stock and Class B common stock, respectively, were issued and outstanding. As of June 30, 2020, 20,555,717 and 3,599,554 shares of Class A common stock and Class B common stock, respectively, were issued and outstanding.</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Reserved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had reserved shares of Class A common stock for issuance under stock-based award agreements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 December 31,</w:t>
            </w: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As of June 30,</w:t>
            </w:r>
          </w:p>
        </w:tc>
      </w:tr>
      <w:tr>
        <w:trPr>
          <w:trHeight w:val="270"/>
        </w:trPr>
        <w:tc>
          <w:tcPr>
            <w:tcW w:w="7200" w:type="dxa"/>
            <w:vAlign w:val="bottom"/>
          </w:tcPr>
          <w:p>
            <w:pPr>
              <w:spacing w:after="0"/>
              <w:rPr>
                <w:sz w:val="23"/>
                <w:szCs w:val="23"/>
                <w:color w:val="auto"/>
              </w:rPr>
            </w:pPr>
          </w:p>
        </w:tc>
        <w:tc>
          <w:tcPr>
            <w:tcW w:w="19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9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853,399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313,956</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Nonvested restricted stock units issued and outstanding</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392,351</w:t>
            </w:r>
          </w:p>
        </w:tc>
        <w:tc>
          <w:tcPr>
            <w:tcW w:w="10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468,797</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awards available for grant under the 2017 Plan</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1,310,354</w:t>
            </w:r>
          </w:p>
        </w:tc>
        <w:tc>
          <w:tcPr>
            <w:tcW w:w="1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2,037,531</w:t>
            </w:r>
          </w:p>
        </w:tc>
      </w:tr>
      <w:tr>
        <w:trPr>
          <w:trHeight w:val="236"/>
        </w:trPr>
        <w:tc>
          <w:tcPr>
            <w:tcW w:w="7200" w:type="dxa"/>
            <w:vAlign w:val="bottom"/>
          </w:tcPr>
          <w:p>
            <w:pPr>
              <w:spacing w:after="0"/>
              <w:rPr>
                <w:sz w:val="20"/>
                <w:szCs w:val="20"/>
                <w:color w:val="auto"/>
              </w:rPr>
            </w:pP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2,556,104</w:t>
            </w:r>
          </w:p>
        </w:tc>
        <w:tc>
          <w:tcPr>
            <w:tcW w:w="100" w:type="dxa"/>
            <w:vAlign w:val="bottom"/>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2,820,284</w:t>
            </w: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8640" w:hanging="492"/>
        <w:spacing w:after="0" w:line="605" w:lineRule="auto"/>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b w:val="1"/>
          <w:bCs w:val="1"/>
          <w:i w:val="1"/>
          <w:iCs w:val="1"/>
          <w:color w:val="auto"/>
        </w:rPr>
        <w:t>2010 Stock Option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As of July 26, 2010, the Company adopted the 2010 Equity Compensation Plan (the “2010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2020, the shares available for grant under the 2017 Plan were automatically increased by 929,224 shares.</w:t>
      </w:r>
    </w:p>
    <w:p>
      <w:pPr>
        <w:spacing w:after="0" w:line="13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Restricted stock units (“RSUs”) granted under the 2017 Plan are subject to a time-based vesting condition. The compensation expense related to these awards is based on the grant date fair value of the RSUs and is recognized on a ratable basis over the applicable service period. The Company granted RSUs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stock option activity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8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 price</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contract life</w:t>
            </w:r>
          </w:p>
        </w:tc>
        <w:tc>
          <w:tcPr>
            <w:tcW w:w="16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intrinsic value</w:t>
            </w:r>
          </w:p>
        </w:tc>
      </w:tr>
      <w:tr>
        <w:trPr>
          <w:trHeight w:val="210"/>
        </w:trPr>
        <w:tc>
          <w:tcPr>
            <w:tcW w:w="48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160" w:type="dxa"/>
            <w:vAlign w:val="bottom"/>
          </w:tcPr>
          <w:p>
            <w:pPr>
              <w:spacing w:after="0"/>
              <w:rPr>
                <w:sz w:val="18"/>
                <w:szCs w:val="18"/>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853,399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47,770</w:t>
            </w: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45,248</w:t>
            </w: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2020</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313,956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36,577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03"/>
        </w:trPr>
        <w:tc>
          <w:tcPr>
            <w:tcW w:w="4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8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June 30, 2020</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240,354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28,372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 June 30, 2020</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313,458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36,521</w:t>
            </w:r>
          </w:p>
        </w:tc>
      </w:tr>
      <w:tr>
        <w:trPr>
          <w:trHeight w:val="20"/>
        </w:trPr>
        <w:tc>
          <w:tcPr>
            <w:tcW w:w="4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Aggregate intrinsic value is computed based on the difference between the option exercise price and the fair value of the Company’s common stock as of June 30, 2020, based on the Company’s Class A common stock price as reported on the NASDAQ Global Select Market.</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options were granted for the three and six months ended June 30, 2019 and 2020.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$223 and $280 for the three and six months ended June 30, 2019, respectively, and $83 and $129 for the three and six months ended June 30, 2020, respectively.</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June 30, 2020, total unrecognized compensation cost related to all non-vested stock options was $305, which will be amortized over a weighted-average period of 1.06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RSU activity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80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8060" w:type="dxa"/>
            <w:vAlign w:val="bottom"/>
          </w:tcPr>
          <w:p>
            <w:pPr>
              <w:spacing w:after="0"/>
              <w:rPr>
                <w:sz w:val="20"/>
                <w:szCs w:val="20"/>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2019</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392,351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35.22</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211,260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64.55</w:t>
            </w:r>
          </w:p>
        </w:tc>
      </w:tr>
      <w:tr>
        <w:trPr>
          <w:trHeight w:val="27"/>
        </w:trPr>
        <w:tc>
          <w:tcPr>
            <w:tcW w:w="8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39.20</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46.55</w:t>
            </w:r>
          </w:p>
        </w:tc>
      </w:tr>
      <w:tr>
        <w:trPr>
          <w:trHeight w:val="27"/>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June 30, 2020</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468,797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June 30, 2020, total unrecognized compensation cost related to non-vested RSUs was $19,758, which will be amortized over a weighted-average period of 2.92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6"/>
        </w:trPr>
        <w:tc>
          <w:tcPr>
            <w:tcW w:w="4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1,073</w:t>
            </w:r>
          </w:p>
        </w:tc>
      </w:tr>
      <w:tr>
        <w:trPr>
          <w:trHeight w:val="27"/>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771</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1,489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1,858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2,965</w:t>
            </w:r>
          </w:p>
        </w:tc>
      </w:tr>
      <w:tr>
        <w:trPr>
          <w:trHeight w:val="27"/>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1,630</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2,425</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3,306</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4,924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Commitments and Contingencies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Operating Leases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leases office space under operating lease agreements that expire over the next 5.17 years. See Note 5, “Right-of-Use Asset and Lease Liabilities” to the condensed consolidated financial statements, for additional details on the Company's operating lease commitments.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Contractual Obligations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June 30, 2020, the Company has $9,983 in other non-cancellable purchase obligations, consisting of primarily network equipment maintenance and software license contracts, of which $5,516 will be fulfilled within one year.</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May 16, 2020, the Company entered into an indemnity agreement with a development company (the “developer”) relating to predevelopment work for approximately 40 acres of vacant land in Raleigh, North Carolina, currently owned by the State of North Carolina (the “State”), upon which the Company intends to construct its office headquarters. The indemnity agreement requires the Company to reimburse the developer fifty percent of the predevelopment work expenses, to a maximum of $318, if certain conditions are not satisfied. As of June 30, 2020, the Company expects all of the required conditions to be satisfied.</w:t>
      </w:r>
    </w:p>
    <w:p>
      <w:pPr>
        <w:spacing w:after="0" w:line="12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June 15, 2020, the Company signed a Purchase and Sale Agreement (the “Purchase and Sale Agreement”) with the State regarding the proposed sale to Bandwidth of the approximately 40 acres of vacant land located at the southwest quadrant of Reedy Creek Road and Edwards Mill Road in Raleigh, North Carolina (the “Land”). The consideration for the proposed sale of the Land to Bandwidth is $30,000. The Purchase and Sale Agreement is subject to due diligence, approvals and other customary closing conditions.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Legal Matters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the Company has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4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Employee Benefit Plan</w:t>
      </w:r>
    </w:p>
    <w:p>
      <w:pPr>
        <w:spacing w:after="0" w:line="16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sponsors a defined contribution 401(k) plan, which allows eligible employees to defer a portion of their compensation. The Company, at its discretion, may make matching contributions. The Company made matching contributions of $373 and $886 for the three and six months ended June 30, 2019, respectively, and $475 and $1,109 for the three and six months ended June 30, 2020,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Income Taxes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the permanent impacts of differences in book and tax accounting.</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effective tax rate was 213.7% and 162.8% for the three and six months ended June 30, 2019, respectively, and (399.1)% and (173.8)% for the three and six months ended June 30, 2020, respectively.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change in tax rate is primarily due to the change in judgment related to the realizability of certain deferred tax assets and the resulting valuation allowance.</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During the three months ended June 30, 2020, management reviewed all available evidence and determined it was not more likely than not that the U.S. deferred tax assets would be realized. The evidence considered in this assessment included, but was not limited to, negative cumulative earnings over multiple periods, the increase in net deferred tax assets as a result of stock compensation deductions, as well as decreased future forecasted income associated with intentional investment in the business. Accordingly, income tax expense for the three months ended June 30, 2020 included a $14,173 charge to increase the valuation allowance on the U.S. deferred tax assets which was treated as a discrete item for the three months ended June 30, 2020.</w:t>
      </w:r>
    </w:p>
    <w:p>
      <w:pPr>
        <w:spacing w:after="0" w:line="111" w:lineRule="exact"/>
        <w:rPr>
          <w:sz w:val="20"/>
          <w:szCs w:val="20"/>
          <w:color w:val="auto"/>
        </w:rPr>
      </w:pPr>
    </w:p>
    <w:p>
      <w:pPr>
        <w:ind w:right="300" w:firstLine="648"/>
        <w:spacing w:after="0" w:line="227" w:lineRule="auto"/>
        <w:rPr>
          <w:sz w:val="20"/>
          <w:szCs w:val="20"/>
          <w:color w:val="auto"/>
        </w:rPr>
      </w:pPr>
      <w:r>
        <w:rPr>
          <w:rFonts w:ascii="Arial" w:cs="Arial" w:eastAsia="Arial" w:hAnsi="Arial"/>
          <w:sz w:val="20"/>
          <w:szCs w:val="20"/>
          <w:color w:val="auto"/>
        </w:rPr>
        <w:t>The Company’s effective tax rate for the three and six months ended June 30, 2020, is lower than the U.S. federal statutory rate of 21.0% primarily due to the change in judgment related to the realizability of certain deferred tax assets and the corresponding valuation allowance.</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March 27, 2020, the Coronavirus Aid, Relief, and Economic Security (CARES) Act (the “Act”) was enacted. This Act included multiple income tax provisions that impact the Company’s tax expense, such as relaxing limitations on the deductibility of interest and the use of net operating losses arising in taxable years beginning after December 31, 2017. The Company has accounted for the estimated impact of the Act.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Related Parties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(“VIE”). Because investors in Republic have disproportionate voting rights, the Company concluded that Republic is a VIE, but Bandwidth is not a primary beneficiary. The Company’s maximum exposure to loss relating to this VIE is limited to amounts due under the service agreements between the Company and Republic.</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a reduction of rent expense under the Facilities Sharing Agreement of $200 and $451 for the three and six months ended June 30, 2019, respectively, and $96 and $192 for the three and six months ended June 30, 2020, respectively, which is included in general and administrative expenses in the condensed consolidated statements of operations. No amounts were due to the Company under the Facilities Sharing Agreement as of December 31, 2019 and June 30, 2020.</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2019 and June 30,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Master Services Agreement specifies certain wholesale telecommunications services to be provided by the Company. The agreement is cancellable at any time by either party. The Company provided telecommunication services to Republic of $677 and $1,569 for the three and six months ended June 30, 2019, respectively, and $583 and $1,116 for the three and six months ended June 30, 2020, respectively. The Company recognized such amounts as revenue in the accompanying condensed consolidated statements of operations. As of December 31, 2019 and June 30, 2020, the Company had a receivable of $161 and $192, respectively, under the Master Services Agreement.</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Subsequent to the expiration of the 180-day IPO blackout window on May 9, 2018, Republic employees that held Bandwidth stock options began exercising their options. Upon exercise, Bandwidth withholds the employee tax amounts due from the proceeds. Bandwidth had collected on behalf of, and remitted withholding tax to, Republic of $714 and $1,327 for the three and six months ended June 30, 2019, respectively, and $241 and $549 for the three and six months ended June 30, 2020, respectively. There were no amounts outstanding or payable as of December 31, 2019 and June 30, 2020.</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 Company received net compensation under this agreement of $16 and $47 for the three and six months ended June 30, 2020, respectively, which is included in general and administrative expenses in the condensed consolidated statements of operations. As of December 31, 2019 and June 30, 2020, the Company had a receivable of $10 and $5 under this agreement, respectively.</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Basic and Diluted Income (Loss) per Common Share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Basic net income (loss) per share is computed by dividing net income by the weighted-average number of shares of common stock outstanding during the period. Diluted net income (loss) per share is computed by giving effect to all potential shares of common stock, including stock options and stock related to unvested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income (loss) per share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0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income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(0.91)</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Number of Common Shares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23,102,553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23,973,663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21,807,523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23,768,616</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Dilutive effect of stock options and restricted stock</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1,344,864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1,454,973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24,447,417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23,973,663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23,262,496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23,768,616</w:t>
            </w: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There were no common share equivalents with anti-dilutive effects for the three and six months ended June 30, 2019. The common share equivalents with anti-dilutive effects excluded from the weighted average shares used to calculate net loss per common share for the three and six months ended June 30, 2020 were 313,956 stock options and 468,797 nonvested RSUs outstanding,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The following discussion and analysis of our financial condition and results of operations should be read in conjunction with our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three months ended June 30, 2019 and 2020, total revenue was $56.8 million and $76.8 million, respectively. CPaaS revenue for the three months ended June 30, 2019 and 2020 was $48.0 million and $67.1 million, respectively, representing an increase of 40% in 2020. Net income for the three months ended June 30, 2019 was $3.5 million and net loss for the three months ended June 30, 2020 was $20.6 million. For the three months ended June 30, 2019 and 2020, the number of active CPaaS customer accounts was 1,467 and 1,900, respectively, representing a year over year increase of 30% in 2020.</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Update</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3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circumstances caused by COVID-19 resulted in increased use of our services during the three and six months ended June 30, 2020 because of more reliance on our offerings to connect people during a time of physical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distancing and work from home environments. Increased usage was mostly driven by large enterprise customers that offer unified communications as a service (“UCaaS”) and meeting solutions. We anticipate significant usage of these services and solutions to continue until the effects of COVID-19 abate. We believe that usage of many of these services and solutions will continue after the effects of COVID-19 abate as employees and enterprises utilize work from home arrangements more prevalently. The broader implications of COVID-19 on our results of operations and overall financial performance remain uncertain. As a result of the COVID-19 pandemic, nearly all of our employees in the United States and Europe worked from home during the calendar quarter ending on June 30, 2020 and we implemented certain travel restrictions, neither of which disrupted our operations. The COVID-19 pandemic and its adverse effects have become more prevalent in the locations where we, our customers, suppliers and third-party business partners conduct business and, as a result, we may experience disruptions in our operations. We may experience curtailed customer demand that could materially adversely impact our business, results of operations and overall financial performance in future periods. Specifically, we may experience impact from enterprises reducing usage of our services, delaying decisions to implement our services, and reducing marketing spend. The effect of the COVID-19 pandemic will not be fully reflected in our results of operations and overall financial performance until future periods. See “Item 1A. Risk Factors” for further discussion of the possible impact of the COVID-19 pandemic on our business.</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6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Three months ended June 30,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Six months ended June 30,</w:t>
            </w:r>
          </w:p>
        </w:tc>
        <w:tc>
          <w:tcPr>
            <w:tcW w:w="1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7"/>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6"/>
          </w:tcPr>
          <w:p>
            <w:pPr>
              <w:ind w:left="36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active CPaaS customers (as of period end)</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Dollar-based net retention rate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(4,062)</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2,671</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(14,931)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(9,364)</w:t>
            </w:r>
          </w:p>
        </w:tc>
        <w:tc>
          <w:tcPr>
            <w:tcW w:w="180" w:type="dxa"/>
            <w:vAlign w:val="bottom"/>
          </w:tcPr>
          <w:p>
            <w:pPr>
              <w:spacing w:after="0"/>
              <w:rPr>
                <w:sz w:val="21"/>
                <w:szCs w:val="21"/>
                <w:color w:val="auto"/>
              </w:rPr>
            </w:pPr>
          </w:p>
        </w:tc>
      </w:tr>
    </w:tbl>
    <w:p>
      <w:pPr>
        <w:spacing w:after="0" w:line="17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For the three and six months ended June 30, 2019 and 2020, </w:t>
      </w:r>
      <w:r>
        <w:rPr>
          <w:rFonts w:ascii="Arial" w:cs="Arial" w:eastAsia="Arial" w:hAnsi="Arial"/>
          <w:sz w:val="20"/>
          <w:szCs w:val="20"/>
          <w:color w:val="231F20"/>
        </w:rPr>
        <w:t>revenue from active CPaaS customer accounts represented</w:t>
      </w:r>
      <w:r>
        <w:rPr>
          <w:rFonts w:ascii="Arial" w:cs="Arial" w:eastAsia="Arial" w:hAnsi="Arial"/>
          <w:sz w:val="20"/>
          <w:szCs w:val="20"/>
          <w:color w:val="auto"/>
        </w:rPr>
        <w:t xml:space="preserve"> </w:t>
      </w:r>
      <w:r>
        <w:rPr>
          <w:rFonts w:ascii="Arial" w:cs="Arial" w:eastAsia="Arial" w:hAnsi="Arial"/>
          <w:sz w:val="20"/>
          <w:szCs w:val="20"/>
          <w:color w:val="231F20"/>
        </w:rPr>
        <w:t>approximately 99% of total CPaaS revenue.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 months ended June 30, 2019 and 2020, we generated 66% and 74% of our CPaaS revenue, respectively, from usage-based fees. We also earn monthly fees from services such as phone number services and 911 access service. For the three months ended June 30, 2019 and 2020, we generated 32% and 24% of our CPaaS revenue, respectively, in each period from monthly per unit fees. The remaining 2% of our CPaaS revenue is generated from other miscellaneous services.</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six months ended June 30, 2019 and 2020, we generated 65% and 73% of our CPaaS revenue, respectively, from usage-based fees. We also earn monthly fees from services such as phone number services and 911 access service. For the six months ended June 30, 2019 and 2020, we generated 32% and 25% of our CPaaS revenue, respectively, in each period from monthly per unit fees. The remaining 3% and 2% of our CPaaS revenue is generated from other miscellaneous services.</w:t>
      </w:r>
    </w:p>
    <w:p>
      <w:pPr>
        <w:spacing w:after="0" w:line="1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56% and 54% of outstanding accounts receivable, net of allowance for doubtful accounts as of June 30,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231F20"/>
        </w:rPr>
        <w:t>Research and development (</w:t>
      </w:r>
      <w:r>
        <w:rPr>
          <w:rFonts w:ascii="Arial" w:cs="Arial" w:eastAsia="Arial" w:hAnsi="Arial"/>
          <w:sz w:val="18"/>
          <w:szCs w:val="18"/>
          <w:color w:val="000000"/>
        </w:rPr>
        <w:t>“</w:t>
      </w:r>
      <w:r>
        <w:rPr>
          <w:rFonts w:ascii="Arial" w:cs="Arial" w:eastAsia="Arial" w:hAnsi="Arial"/>
          <w:sz w:val="18"/>
          <w:szCs w:val="18"/>
          <w:color w:val="231F20"/>
        </w:rPr>
        <w:t>R&amp;D</w:t>
      </w:r>
      <w:r>
        <w:rPr>
          <w:rFonts w:ascii="Arial" w:cs="Arial" w:eastAsia="Arial" w:hAnsi="Arial"/>
          <w:sz w:val="18"/>
          <w:szCs w:val="18"/>
          <w:color w:val="000000"/>
        </w:rPr>
        <w:t>”</w:t>
      </w:r>
      <w:r>
        <w:rPr>
          <w:rFonts w:ascii="Arial" w:cs="Arial" w:eastAsia="Arial" w:hAnsi="Arial"/>
          <w:sz w:val="18"/>
          <w:szCs w:val="18"/>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June 30, 2019 and 2020, our effective tax rate was 213.7% and (399.1)%, respectively. The decrease in our effective tax rate is primarily due to the change in judgment related to the realizability of certain deferred tax assets and the resulting valuation allowance.</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six months ended June 30, 2019 and 2020, our effective tax rate was 162.8% and (173.8)%, respectively. The decrease in our effective tax rate is primarily due to the change in judgment related to the realizability of certain deferred tax assets and the resulting valuation allowance.</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w:t>
      </w:r>
    </w:p>
    <w:p>
      <w:pPr>
        <w:spacing w:after="0" w:line="1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During the three months ended June 30, 2020, management reviewed all available evidence and determined it was not more likely than not that the U.S. deferred tax assets would be realized. The evidence considered in this assessment included, but was not limited to, negative cumulative earnings, the increase in net deferred tax assets as a result of stock compensation deductions, as well as decreased future forecasted income associated with intentional investment in the business. Accordingly, income tax expense for the three months ended June 30, 2020 included a $14.2 million dollar charge to increase the valuation allowance on the U.S. deferred tax assets which was treated as a discrete item for the three months ended June 30, 2020.</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March 27, 2020, the Coronavirus Aid, Relief, and Economic Security (CARES) Act (the “Act”) was enacted. The Act includes multiple income tax provisions that impact our tax expense, such as relaxing limitations on the deductibility of interest and the use of net operating losses arising in taxable years beginning after December 31, 2017. We have accounted for the estimated impact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We use Non-GAAP gross profit, Non-GAAP gross margin, Adjusted EBITDA, Non-GAAP net (loss) income and free cash flow for financial and operational decision making and to evaluate period-to-period differences in our performance. Non-GAAP gross profit, Non-GAAP gross margin, Adjusted EBITDA, Non-GAAP net (loss)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32"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depreciation and amortization;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Pr>
          <w:p>
            <w:pPr>
              <w:spacing w:after="0"/>
              <w:rPr>
                <w:sz w:val="20"/>
                <w:szCs w:val="20"/>
                <w:color w:val="auto"/>
              </w:rPr>
            </w:pPr>
          </w:p>
        </w:tc>
        <w:tc>
          <w:tcPr>
            <w:tcW w:w="29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4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7"/>
        </w:trPr>
        <w:tc>
          <w:tcPr>
            <w:tcW w:w="4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34,781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51,224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66,940</w:t>
            </w: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4,674</w:t>
            </w: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w:t>
            </w: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28,249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37,061</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54,153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71,729</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r>
      <w:tr>
        <w:trPr>
          <w:trHeight w:val="27"/>
        </w:trPr>
        <w:tc>
          <w:tcPr>
            <w:tcW w:w="4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By Segment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CPaaS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0"/>
                <w:szCs w:val="20"/>
                <w:color w:val="auto"/>
              </w:rPr>
            </w:pPr>
          </w:p>
        </w:tc>
        <w:tc>
          <w:tcPr>
            <w:tcW w:w="29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3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7"/>
        </w:trPr>
        <w:tc>
          <w:tcPr>
            <w:tcW w:w="3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 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21,516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29,847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57,076</w:t>
            </w:r>
          </w:p>
        </w:tc>
      </w:tr>
      <w:tr>
        <w:trPr>
          <w:trHeight w:val="243"/>
        </w:trPr>
        <w:tc>
          <w:tcPr>
            <w:tcW w:w="39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4,674</w:t>
            </w: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w:t>
            </w:r>
          </w:p>
        </w:tc>
      </w:tr>
      <w:tr>
        <w:trPr>
          <w:trHeight w:val="26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Non-GAAP CPaas Gross Profit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23,096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32,127</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44,158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61,865</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CPaaS Gross Margin %</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r>
      <w:tr>
        <w:trPr>
          <w:trHeight w:val="27"/>
        </w:trPr>
        <w:tc>
          <w:tcPr>
            <w:tcW w:w="3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We define Adjusted EBITDA as net income or losses from continuing operations, adjusted to reflect the addition or elimination of certain income statement items including, but not limited to:</w:t>
      </w:r>
    </w:p>
    <w:p>
      <w:pPr>
        <w:spacing w:after="0" w:line="123" w:lineRule="exact"/>
        <w:rPr>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231F20"/>
        </w:rPr>
        <w:t>interest expense (income), net;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231F20"/>
        </w:rPr>
        <w:t>depreciation and amortization expense;</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231F20"/>
        </w:rPr>
        <w:t>stock-based compensation expense;</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231F20"/>
        </w:rPr>
        <w:t>impairment of intangible assets, if any; and</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231F20"/>
        </w:rPr>
        <w:t>loss (gain) on disposal of property and equipment, if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31F20"/>
        </w:rPr>
        <w:t>Adjusted EBITDA is a key measure u</w:t>
      </w:r>
      <w:r>
        <w:rPr>
          <w:rFonts w:ascii="Arial" w:cs="Arial" w:eastAsia="Arial" w:hAnsi="Arial"/>
          <w:sz w:val="18"/>
          <w:szCs w:val="18"/>
          <w:color w:val="000000"/>
        </w:rPr>
        <w:t>sed by management to understand and evaluate our core operating performance and trends, to</w:t>
      </w:r>
      <w:r>
        <w:rPr>
          <w:rFonts w:ascii="Arial" w:cs="Arial" w:eastAsia="Arial" w:hAnsi="Arial"/>
          <w:sz w:val="18"/>
          <w:szCs w:val="18"/>
          <w:color w:val="231F20"/>
        </w:rPr>
        <w:t xml:space="preserve"> </w:t>
      </w:r>
      <w:r>
        <w:rPr>
          <w:rFonts w:ascii="Arial" w:cs="Arial" w:eastAsia="Arial" w:hAnsi="Arial"/>
          <w:sz w:val="18"/>
          <w:szCs w:val="18"/>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600" w:type="dxa"/>
            <w:vAlign w:val="bottom"/>
            <w:gridSpan w:val="6"/>
          </w:tcPr>
          <w:p>
            <w:pPr>
              <w:ind w:left="62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9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8"/>
                <w:szCs w:val="18"/>
                <w:color w:val="auto"/>
              </w:rPr>
              <w:t>Income tax (benefit) provision (1) (2)</w:t>
            </w: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1"/>
              </w:rPr>
              <w:t>(6,526)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16,505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acquired intangibles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6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5,522</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8,621</w:t>
            </w: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firstLine="494"/>
        <w:spacing w:after="0" w:line="288" w:lineRule="auto"/>
        <w:tabs>
          <w:tab w:leader="none" w:pos="7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Includes excess tax benefits (reversals) associated with the exercise of stock options and vesting of restricted stock units of $5,717 and $11,739 in the </w:t>
      </w:r>
      <w:r>
        <w:rPr>
          <w:rFonts w:ascii="Arial" w:cs="Arial" w:eastAsia="Arial" w:hAnsi="Arial"/>
          <w:sz w:val="15"/>
          <w:szCs w:val="15"/>
          <w:color w:val="auto"/>
        </w:rPr>
        <w:t>three and six months ended June 30, 2019</w:t>
      </w:r>
      <w:r>
        <w:rPr>
          <w:rFonts w:ascii="Arial" w:cs="Arial" w:eastAsia="Arial" w:hAnsi="Arial"/>
          <w:sz w:val="17"/>
          <w:szCs w:val="17"/>
          <w:color w:val="auto"/>
        </w:rPr>
        <w:t xml:space="preserve">, respectively, and $(1,292) and $— in the </w:t>
      </w:r>
      <w:r>
        <w:rPr>
          <w:rFonts w:ascii="Arial" w:cs="Arial" w:eastAsia="Arial" w:hAnsi="Arial"/>
          <w:sz w:val="15"/>
          <w:szCs w:val="15"/>
          <w:color w:val="auto"/>
        </w:rPr>
        <w:t>three and six months ended June 30, 2020</w:t>
      </w:r>
      <w:r>
        <w:rPr>
          <w:rFonts w:ascii="Arial" w:cs="Arial" w:eastAsia="Arial" w:hAnsi="Arial"/>
          <w:sz w:val="17"/>
          <w:szCs w:val="17"/>
          <w:color w:val="auto"/>
        </w:rPr>
        <w:t>, respectively.</w:t>
      </w:r>
    </w:p>
    <w:p>
      <w:pPr>
        <w:spacing w:after="0" w:line="1" w:lineRule="exact"/>
        <w:rPr>
          <w:rFonts w:ascii="Arial" w:cs="Arial" w:eastAsia="Arial" w:hAnsi="Arial"/>
          <w:sz w:val="17"/>
          <w:szCs w:val="17"/>
          <w:color w:val="auto"/>
        </w:rPr>
      </w:pPr>
    </w:p>
    <w:p>
      <w:pPr>
        <w:ind w:left="740" w:hanging="246"/>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Includes $14,173 of tax expense to record a valuation allowance on U.S. deferred tax assets in the </w:t>
      </w:r>
      <w:r>
        <w:rPr>
          <w:rFonts w:ascii="Arial" w:cs="Arial" w:eastAsia="Arial" w:hAnsi="Arial"/>
          <w:sz w:val="15"/>
          <w:szCs w:val="15"/>
          <w:color w:val="auto"/>
        </w:rPr>
        <w:t>three and six months ended June 30, 2020</w:t>
      </w:r>
      <w:r>
        <w:rPr>
          <w:rFonts w:ascii="Arial" w:cs="Arial" w:eastAsia="Arial" w:hAnsi="Arial"/>
          <w:sz w:val="17"/>
          <w:szCs w:val="17"/>
          <w:color w:val="auto"/>
        </w:rPr>
        <w: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(Loss)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Non-GAAP net (loss) income as net income or loss adjusted for certain items affecting period-to-period comparability.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Non-GAAP net (loss) income excludes:</w:t>
      </w:r>
    </w:p>
    <w:p>
      <w:pPr>
        <w:spacing w:after="0" w:line="146" w:lineRule="exact"/>
        <w:rPr>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the acquisition of Dash Carrier Services, LLC;</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amortization of debt discount and issuance costs for convertible debt;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loss (gain) on disposal of property and equipment;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161" w:lineRule="exact"/>
        <w:rPr>
          <w:rFonts w:ascii="Arial" w:cs="Arial" w:eastAsia="Arial" w:hAnsi="Arial"/>
          <w:sz w:val="20"/>
          <w:szCs w:val="20"/>
          <w:color w:val="auto"/>
        </w:rPr>
      </w:pPr>
    </w:p>
    <w:p>
      <w:pPr>
        <w:ind w:left="700" w:right="980" w:hanging="332"/>
        <w:spacing w:after="0" w:line="260" w:lineRule="auto"/>
        <w:tabs>
          <w:tab w:leader="none" w:pos="688"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 vesting of restricted stock units and equity compensation; and</w:t>
      </w:r>
    </w:p>
    <w:p>
      <w:pPr>
        <w:spacing w:after="0" w:line="122" w:lineRule="exact"/>
        <w:rPr>
          <w:rFonts w:ascii="Arial" w:cs="Arial" w:eastAsia="Arial" w:hAnsi="Arial"/>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expense resulting from recording the valuation allowance on our deferred tax assets.</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believe Non-GAAP net (loss) income is a meaningful measure because by removing certain non-cash and other expenses we are able to evaluate our operating results in a manner we believe is more indicative of the current period’s performance. We believe the use of Non-GAAP net (loss)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related to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5"/>
              </w:rPr>
              <w:t>Amortization of debt discount and issuance costs for</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convertible debt</w:t>
            </w:r>
          </w:p>
        </w:tc>
        <w:tc>
          <w:tcPr>
            <w:tcW w:w="36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Estimated tax effects of adjustments</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Valuation allowance (1)</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w w:val="92"/>
              </w:rPr>
              <w:t>Income tax (benefit) provision of equity compensation</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(loss)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3,108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4,195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6"/>
              </w:rPr>
              <w:t>Non-GAAP net (loss) income per Non-GAAP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Non-GAAP weighted average number of shares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outstanding</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basic shares</w:t>
            </w:r>
          </w:p>
        </w:tc>
        <w:tc>
          <w:tcPr>
            <w:tcW w:w="3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23,102,553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23,973,663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21,807,523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23,768,616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3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444,739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616,929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288,964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278,746</w:t>
            </w:r>
          </w:p>
        </w:tc>
        <w:tc>
          <w:tcPr>
            <w:tcW w:w="0" w:type="dxa"/>
            <w:vAlign w:val="bottom"/>
          </w:tcPr>
          <w:p>
            <w:pPr>
              <w:spacing w:after="0"/>
              <w:rPr>
                <w:sz w:val="1"/>
                <w:szCs w:val="1"/>
                <w:color w:val="auto"/>
              </w:rPr>
            </w:pPr>
          </w:p>
        </w:tc>
      </w:tr>
      <w:tr>
        <w:trPr>
          <w:trHeight w:val="26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Non-GAAP diluted shares</w:t>
            </w:r>
          </w:p>
        </w:tc>
        <w:tc>
          <w:tcPr>
            <w:tcW w:w="3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23,102,553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24,707,366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21,807,523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24,664,291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firstLine="494"/>
        <w:spacing w:after="0" w:line="259" w:lineRule="auto"/>
        <w:tabs>
          <w:tab w:leader="none" w:pos="7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recognized a tax expense of $14,173 to record a valuation allowance on U.S. deferred tax assets in the three and six months ended June 30, 2020.</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7"/>
        </w:trPr>
        <w:tc>
          <w:tcPr>
            <w:tcW w:w="4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4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3"/>
              </w:rPr>
              <w:t>3,623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8"/>
              </w:rPr>
              <w:t>7,291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Net cash used in investing in capital assets (1)</w:t>
            </w:r>
          </w:p>
        </w:tc>
        <w:tc>
          <w:tcPr>
            <w:tcW w:w="360" w:type="dxa"/>
            <w:vAlign w:val="bottom"/>
          </w:tcPr>
          <w:p>
            <w:pPr>
              <w:spacing w:after="0"/>
              <w:rPr>
                <w:sz w:val="21"/>
                <w:szCs w:val="21"/>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91"/>
              </w:rPr>
              <w:t>(7,685)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center"/>
              <w:ind w:left="470"/>
              <w:spacing w:after="0"/>
              <w:rPr>
                <w:sz w:val="20"/>
                <w:szCs w:val="20"/>
                <w:color w:val="auto"/>
              </w:rPr>
            </w:pPr>
            <w:r>
              <w:rPr>
                <w:rFonts w:ascii="Arial" w:cs="Arial" w:eastAsia="Arial" w:hAnsi="Arial"/>
                <w:sz w:val="18"/>
                <w:szCs w:val="18"/>
                <w:color w:val="auto"/>
                <w:w w:val="94"/>
              </w:rPr>
              <w:t>(4,620)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(9,048)</w:t>
            </w:r>
          </w:p>
        </w:tc>
      </w:tr>
      <w:tr>
        <w:trPr>
          <w:trHeight w:val="27"/>
        </w:trPr>
        <w:tc>
          <w:tcPr>
            <w:tcW w:w="4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1"/>
              </w:rPr>
              <w:t>(4,062)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88"/>
              </w:rPr>
              <w:t>2,671</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(14,931)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(9,364)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Represents the acquisition cost of property, equipment and capitalized development costs for software for internal use.</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580" w:type="dxa"/>
            <w:vAlign w:val="bottom"/>
            <w:gridSpan w:val="6"/>
          </w:tcPr>
          <w:p>
            <w:pPr>
              <w:ind w:left="600"/>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Pr>
          <w:p>
            <w:pPr>
              <w:spacing w:after="0"/>
              <w:rPr>
                <w:sz w:val="20"/>
                <w:szCs w:val="20"/>
                <w:color w:val="auto"/>
              </w:rPr>
            </w:pPr>
          </w:p>
        </w:tc>
        <w:tc>
          <w:tcPr>
            <w:tcW w:w="29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4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7"/>
        </w:trPr>
        <w:tc>
          <w:tcPr>
            <w:tcW w:w="4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CPaaS revenue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47,989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67,076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93,002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126,197</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9,714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19,111</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7"/>
              </w:rPr>
              <w:t>56,779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76,790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110,100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145,308</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CPaaS cost of revenue</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26,473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37,229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51,773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69,121</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9,247</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7"/>
              </w:rPr>
              <w:t>30,110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42,009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58,876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78,368</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CPaaS</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21,516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29,847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41,229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57,076</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9,864</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7"/>
              </w:rPr>
              <w:t>26,669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34,781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51,224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66,940</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7,656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15,373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19,084</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18,072</w:t>
            </w: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14,282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28,615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32,936</w:t>
            </w:r>
          </w:p>
        </w:tc>
      </w:tr>
      <w:tr>
        <w:trPr>
          <w:trHeight w:val="27"/>
        </w:trPr>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30,452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35,049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60,851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70,092</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(3,783)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(3,152)</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(4,723)</w:t>
            </w:r>
          </w:p>
        </w:tc>
      </w:tr>
      <w:tr>
        <w:trPr>
          <w:trHeight w:val="27"/>
        </w:trPr>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(4,774)</w:t>
            </w:r>
          </w:p>
        </w:tc>
      </w:tr>
      <w:tr>
        <w:trPr>
          <w:trHeight w:val="27"/>
        </w:trPr>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(16,505)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(13,773)</w:t>
            </w:r>
          </w:p>
        </w:tc>
      </w:tr>
      <w:tr>
        <w:trPr>
          <w:trHeight w:val="27"/>
        </w:trPr>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120" w:type="dxa"/>
            <w:vAlign w:val="bottom"/>
            <w:gridSpan w:val="2"/>
          </w:tcPr>
          <w:p>
            <w:pPr>
              <w:ind w:left="4680"/>
              <w:spacing w:after="0"/>
              <w:rPr>
                <w:sz w:val="20"/>
                <w:szCs w:val="20"/>
                <w:color w:val="auto"/>
              </w:rPr>
            </w:pPr>
            <w:r>
              <w:rPr>
                <w:rFonts w:ascii="Arial" w:cs="Arial" w:eastAsia="Arial" w:hAnsi="Arial"/>
                <w:sz w:val="18"/>
                <w:szCs w:val="18"/>
                <w:b w:val="1"/>
                <w:bCs w:val="1"/>
                <w:color w:val="auto"/>
              </w:rPr>
              <w:t>2019</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7"/>
        </w:trPr>
        <w:tc>
          <w:tcPr>
            <w:tcW w:w="4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CPaaS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CPaaS cost of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CPaaS</w:t>
            </w:r>
          </w:p>
        </w:tc>
        <w:tc>
          <w:tcPr>
            <w:tcW w:w="58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4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Interest income (expense), net</w:t>
            </w: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84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three months ended June 30, 2019 and 2020</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60" w:type="dxa"/>
            <w:vAlign w:val="bottom"/>
            <w:gridSpan w:val="6"/>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CPaaS 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47,989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67,076</w:t>
            </w:r>
          </w:p>
        </w:tc>
        <w:tc>
          <w:tcPr>
            <w:tcW w:w="12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19,087</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9,714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924</w:t>
            </w:r>
          </w:p>
        </w:tc>
        <w:tc>
          <w:tcPr>
            <w:tcW w:w="9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1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56,779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76,790</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20,011</w:t>
            </w: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three months ended June 30, 2020, total revenue increased by $20.0 million, or 35%, compared to the same period in 2019, and CPaaS revenue increased by $19.1 million, or 40%, compared to the same period in 2019.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our voice and messaging usage, which accounted for </w:t>
      </w:r>
      <w:r>
        <w:rPr>
          <w:rFonts w:ascii="Arial" w:cs="Arial" w:eastAsia="Arial" w:hAnsi="Arial"/>
          <w:sz w:val="18"/>
          <w:szCs w:val="18"/>
          <w:color w:val="000000"/>
        </w:rPr>
        <w:t>$16.2</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the increase in CPaaS revenue and our phone number services and 911-enabled phone number services, which accounted for</w:t>
      </w:r>
      <w:r>
        <w:rPr>
          <w:rFonts w:ascii="Arial" w:cs="Arial" w:eastAsia="Arial" w:hAnsi="Arial"/>
          <w:sz w:val="18"/>
          <w:szCs w:val="18"/>
          <w:color w:val="000000"/>
        </w:rPr>
        <w:t xml:space="preserve"> $2.2 million </w:t>
      </w:r>
      <w:r>
        <w:rPr>
          <w:rFonts w:ascii="Arial" w:cs="Arial" w:eastAsia="Arial" w:hAnsi="Arial"/>
          <w:sz w:val="18"/>
          <w:szCs w:val="18"/>
          <w:color w:val="231F20"/>
        </w:rPr>
        <w:t>of the increase in CPaaS revenue.</w:t>
      </w:r>
      <w:r>
        <w:rPr>
          <w:rFonts w:ascii="Arial" w:cs="Arial" w:eastAsia="Arial" w:hAnsi="Arial"/>
          <w:sz w:val="18"/>
          <w:szCs w:val="18"/>
          <w:color w:val="000000"/>
        </w:rPr>
        <w:t xml:space="preserve"> The economic situation caused by COVID-19 caused increased usage in the quarter because of more reliance on our offerings to connect people during a time of physical distancing and work from home environment. Increased usage was mostly driven by large enterprise customers that offer UCaaS services and meeting solutions. CPaaS revenue also increased by $0.7 million from higher usage pricing due to a shift in product mix to products with a higher rate compared to prior year. </w:t>
      </w:r>
      <w:r>
        <w:rPr>
          <w:rFonts w:ascii="Arial" w:cs="Arial" w:eastAsia="Arial" w:hAnsi="Arial"/>
          <w:sz w:val="18"/>
          <w:szCs w:val="18"/>
          <w:color w:val="231F20"/>
        </w:rPr>
        <w:t>The changes in usage and price</w:t>
      </w:r>
      <w:r>
        <w:rPr>
          <w:rFonts w:ascii="Arial" w:cs="Arial" w:eastAsia="Arial" w:hAnsi="Arial"/>
          <w:sz w:val="18"/>
          <w:szCs w:val="18"/>
          <w:color w:val="000000"/>
        </w:rPr>
        <w:t xml:space="preserve"> </w:t>
      </w:r>
      <w:r>
        <w:rPr>
          <w:rFonts w:ascii="Arial" w:cs="Arial" w:eastAsia="Arial" w:hAnsi="Arial"/>
          <w:sz w:val="18"/>
          <w:szCs w:val="18"/>
          <w:color w:val="231F20"/>
        </w:rPr>
        <w:t xml:space="preserve">in 2020 compared to the same period in 2019 were reflected in our dollar-based net retention rate of 133%. The increase in usage was also attributable to a 30% increase in the number of active CPaaS customer accounts, from 1,467 as of June 30, 2019 to 1,900 as of June 30, 2020. In addition, revenue from new CPaaS customers contributed $3.3 million, or 7%, to CPaaS revenue for 2020 compared to $2.8 million, or 7%, to CPaaS revenue in the same period in 2019. </w:t>
      </w:r>
      <w:r>
        <w:rPr>
          <w:rFonts w:ascii="Arial" w:cs="Arial" w:eastAsia="Arial" w:hAnsi="Arial"/>
          <w:sz w:val="18"/>
          <w:szCs w:val="18"/>
          <w:color w:val="000000"/>
        </w:rPr>
        <w:t>As a percentage of total revenue, CPaaS revenue increased from 85% in 2019 to 87% in</w:t>
      </w:r>
      <w:r>
        <w:rPr>
          <w:rFonts w:ascii="Arial" w:cs="Arial" w:eastAsia="Arial" w:hAnsi="Arial"/>
          <w:sz w:val="18"/>
          <w:szCs w:val="18"/>
          <w:color w:val="231F20"/>
        </w:rPr>
        <w:t xml:space="preserve"> </w:t>
      </w:r>
      <w:r>
        <w:rPr>
          <w:rFonts w:ascii="Arial" w:cs="Arial" w:eastAsia="Arial" w:hAnsi="Arial"/>
          <w:sz w:val="18"/>
          <w:szCs w:val="18"/>
          <w:color w:val="000000"/>
        </w:rPr>
        <w:t xml:space="preserve">the same period in </w:t>
      </w:r>
      <w:r>
        <w:rPr>
          <w:rFonts w:ascii="Arial" w:cs="Arial" w:eastAsia="Arial" w:hAnsi="Arial"/>
          <w:sz w:val="18"/>
          <w:szCs w:val="18"/>
          <w:color w:val="231F20"/>
        </w:rPr>
        <w:t>2020</w:t>
      </w:r>
      <w:r>
        <w:rPr>
          <w:rFonts w:ascii="Arial" w:cs="Arial" w:eastAsia="Arial" w:hAnsi="Arial"/>
          <w:sz w:val="18"/>
          <w:szCs w:val="18"/>
          <w:color w:val="000000"/>
        </w:rPr>
        <w:t>.</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Other revenue increased by $0.9 million, or 11%, in 2020 due to higher indirect revenue, which increased by $1.6 million related to an increase in messaging surcharges, offset by the expected decline of legacy revenue, which decreased by $0.7 million, compared to the same period in </w:t>
      </w:r>
      <w:r>
        <w:rPr>
          <w:rFonts w:ascii="Arial" w:cs="Arial" w:eastAsia="Arial" w:hAnsi="Arial"/>
          <w:sz w:val="20"/>
          <w:szCs w:val="20"/>
          <w:color w:val="000000"/>
        </w:rPr>
        <w:t>2019</w:t>
      </w:r>
      <w:r>
        <w:rPr>
          <w:rFonts w:ascii="Arial" w:cs="Arial" w:eastAsia="Arial" w:hAnsi="Arial"/>
          <w:sz w:val="20"/>
          <w:szCs w:val="20"/>
          <w:color w:val="231F20"/>
        </w:rPr>
        <w:t>.</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26,473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37,229</w:t>
            </w:r>
          </w:p>
        </w:tc>
        <w:tc>
          <w:tcPr>
            <w:tcW w:w="12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10,756</w:t>
            </w:r>
          </w:p>
        </w:tc>
        <w:tc>
          <w:tcPr>
            <w:tcW w:w="8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1,143</w:t>
            </w:r>
          </w:p>
        </w:tc>
        <w:tc>
          <w:tcPr>
            <w:tcW w:w="8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30,110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42,009</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11,899</w:t>
            </w:r>
          </w:p>
        </w:tc>
        <w:tc>
          <w:tcPr>
            <w:tcW w:w="8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26,669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34,781</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8,112</w:t>
            </w: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Gross margin: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1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45 %</w:t>
            </w:r>
          </w:p>
        </w:tc>
        <w:tc>
          <w:tcPr>
            <w:tcW w:w="474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rPr>
              <w:t>44 %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Other</w:t>
            </w:r>
          </w:p>
        </w:tc>
        <w:tc>
          <w:tcPr>
            <w:tcW w:w="3120" w:type="dxa"/>
            <w:vAlign w:val="bottom"/>
          </w:tcPr>
          <w:p>
            <w:pPr>
              <w:jc w:val="right"/>
              <w:ind w:right="630"/>
              <w:spacing w:after="0"/>
              <w:rPr>
                <w:sz w:val="20"/>
                <w:szCs w:val="20"/>
                <w:color w:val="auto"/>
              </w:rPr>
            </w:pPr>
            <w:r>
              <w:rPr>
                <w:rFonts w:ascii="Arial" w:cs="Arial" w:eastAsia="Arial" w:hAnsi="Arial"/>
                <w:sz w:val="18"/>
                <w:szCs w:val="18"/>
                <w:color w:val="auto"/>
              </w:rPr>
              <w:t>59 %</w:t>
            </w:r>
          </w:p>
        </w:tc>
        <w:tc>
          <w:tcPr>
            <w:tcW w:w="4740" w:type="dxa"/>
            <w:vAlign w:val="bottom"/>
          </w:tcPr>
          <w:p>
            <w:pPr>
              <w:jc w:val="right"/>
              <w:ind w:right="3510"/>
              <w:spacing w:after="0"/>
              <w:rPr>
                <w:sz w:val="20"/>
                <w:szCs w:val="20"/>
                <w:color w:val="auto"/>
              </w:rPr>
            </w:pPr>
            <w:r>
              <w:rPr>
                <w:rFonts w:ascii="Arial" w:cs="Arial" w:eastAsia="Arial" w:hAnsi="Arial"/>
                <w:sz w:val="18"/>
                <w:szCs w:val="18"/>
                <w:color w:val="auto"/>
              </w:rPr>
              <w:t>51 %</w:t>
            </w:r>
          </w:p>
        </w:tc>
      </w:tr>
      <w:tr>
        <w:trPr>
          <w:trHeight w:val="27"/>
        </w:trPr>
        <w:tc>
          <w:tcPr>
            <w:tcW w:w="3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1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47 %</w:t>
            </w:r>
          </w:p>
        </w:tc>
        <w:tc>
          <w:tcPr>
            <w:tcW w:w="4740" w:type="dxa"/>
            <w:vAlign w:val="bottom"/>
            <w:tcBorders>
              <w:bottom w:val="single" w:sz="8" w:color="CCEEFF"/>
            </w:tcBorders>
            <w:shd w:val="clear" w:color="auto" w:fill="CCEEFF"/>
          </w:tcPr>
          <w:p>
            <w:pPr>
              <w:jc w:val="right"/>
              <w:ind w:right="3510"/>
              <w:spacing w:after="0"/>
              <w:rPr>
                <w:sz w:val="20"/>
                <w:szCs w:val="20"/>
                <w:color w:val="auto"/>
              </w:rPr>
            </w:pPr>
            <w:r>
              <w:rPr>
                <w:rFonts w:ascii="Arial" w:cs="Arial" w:eastAsia="Arial" w:hAnsi="Arial"/>
                <w:sz w:val="18"/>
                <w:szCs w:val="18"/>
                <w:color w:val="auto"/>
              </w:rPr>
              <w:t>45 %</w:t>
            </w:r>
          </w:p>
        </w:tc>
      </w:tr>
      <w:tr>
        <w:trPr>
          <w:trHeight w:val="810"/>
        </w:trPr>
        <w:tc>
          <w:tcPr>
            <w:tcW w:w="3380" w:type="dxa"/>
            <w:vAlign w:val="bottom"/>
          </w:tcPr>
          <w:p>
            <w:pPr>
              <w:spacing w:after="0"/>
              <w:rPr>
                <w:sz w:val="24"/>
                <w:szCs w:val="24"/>
                <w:color w:val="auto"/>
              </w:rPr>
            </w:pPr>
          </w:p>
        </w:tc>
        <w:tc>
          <w:tcPr>
            <w:tcW w:w="3120" w:type="dxa"/>
            <w:vAlign w:val="bottom"/>
          </w:tcPr>
          <w:p>
            <w:pPr>
              <w:jc w:val="right"/>
              <w:ind w:right="690"/>
              <w:spacing w:after="0"/>
              <w:rPr>
                <w:sz w:val="20"/>
                <w:szCs w:val="20"/>
                <w:color w:val="auto"/>
              </w:rPr>
            </w:pPr>
            <w:r>
              <w:rPr>
                <w:rFonts w:ascii="Arial" w:cs="Arial" w:eastAsia="Arial" w:hAnsi="Arial"/>
                <w:sz w:val="18"/>
                <w:szCs w:val="18"/>
                <w:color w:val="auto"/>
              </w:rPr>
              <w:t>42</w:t>
            </w:r>
          </w:p>
        </w:tc>
        <w:tc>
          <w:tcPr>
            <w:tcW w:w="474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For the three months ended June 30, 2020, </w:t>
      </w:r>
      <w:r>
        <w:rPr>
          <w:rFonts w:ascii="Arial" w:cs="Arial" w:eastAsia="Arial" w:hAnsi="Arial"/>
          <w:sz w:val="16"/>
          <w:szCs w:val="16"/>
          <w:color w:val="231F20"/>
        </w:rPr>
        <w:t>total gross profit increased by $8.1 million, or 30%, compared to the same period in 2019</w:t>
      </w:r>
      <w:r>
        <w:rPr>
          <w:rFonts w:ascii="Arial" w:cs="Arial" w:eastAsia="Arial" w:hAnsi="Arial"/>
          <w:sz w:val="16"/>
          <w:szCs w:val="16"/>
          <w:color w:val="auto"/>
        </w:rPr>
        <w:t xml:space="preserve">. Total gross margin decreased from 47% to 45% during the same period. This decrease in gross margin was primarily caused by an increase in network costs to support increased usage, higher costs due to the geographic mix of usage and an increase in Other costs due to higher messaging surcharges. For the three months ended June 30, 2020, </w:t>
      </w:r>
      <w:r>
        <w:rPr>
          <w:rFonts w:ascii="Arial" w:cs="Arial" w:eastAsia="Arial" w:hAnsi="Arial"/>
          <w:sz w:val="16"/>
          <w:szCs w:val="16"/>
          <w:color w:val="231F20"/>
        </w:rPr>
        <w:t>CPaaS cost of revenue increased by $10.8 million, or 41%, compared to</w:t>
      </w:r>
      <w:r>
        <w:rPr>
          <w:rFonts w:ascii="Arial" w:cs="Arial" w:eastAsia="Arial" w:hAnsi="Arial"/>
          <w:sz w:val="16"/>
          <w:szCs w:val="16"/>
          <w:color w:val="auto"/>
        </w:rPr>
        <w:t xml:space="preserve"> </w:t>
      </w:r>
      <w:r>
        <w:rPr>
          <w:rFonts w:ascii="Arial" w:cs="Arial" w:eastAsia="Arial" w:hAnsi="Arial"/>
          <w:sz w:val="16"/>
          <w:szCs w:val="16"/>
          <w:color w:val="231F20"/>
        </w:rPr>
        <w:t xml:space="preserve">the same period in 2019. CPaaS cost of revenue increased primarily due to an increase in voice usage costs of net $6.1 million due to growth in minutes used by customers. Network costs also increased $3.1 million due to network expansions and depreciation expense. Cost of messaging increased by $1.4 million due to growth in messages used by customers and increased cost per message. Cost of phone numbers increased by $0.2 million. </w:t>
      </w:r>
      <w:r>
        <w:rPr>
          <w:rFonts w:ascii="Arial" w:cs="Arial" w:eastAsia="Arial" w:hAnsi="Arial"/>
          <w:sz w:val="16"/>
          <w:szCs w:val="16"/>
          <w:color w:val="000000"/>
        </w:rPr>
        <w:t>COVID-19 and the increased usage resulting from the work at home environment generated increased voice usage</w:t>
      </w:r>
      <w:r>
        <w:rPr>
          <w:rFonts w:ascii="Arial" w:cs="Arial" w:eastAsia="Arial" w:hAnsi="Arial"/>
          <w:sz w:val="16"/>
          <w:szCs w:val="16"/>
          <w:color w:val="231F20"/>
        </w:rPr>
        <w:t xml:space="preserve"> </w:t>
      </w:r>
      <w:r>
        <w:rPr>
          <w:rFonts w:ascii="Arial" w:cs="Arial" w:eastAsia="Arial" w:hAnsi="Arial"/>
          <w:sz w:val="16"/>
          <w:szCs w:val="16"/>
          <w:color w:val="000000"/>
        </w:rPr>
        <w:t xml:space="preserve">costs, messaging usage costs and network expansions. These increased costs did not have a material impact to cost per minute or message. </w:t>
      </w:r>
      <w:r>
        <w:rPr>
          <w:rFonts w:ascii="Arial" w:cs="Arial" w:eastAsia="Arial" w:hAnsi="Arial"/>
          <w:sz w:val="16"/>
          <w:szCs w:val="16"/>
          <w:color w:val="231F20"/>
        </w:rPr>
        <w:t xml:space="preserve">CPaaS gross margin decreased from 45% for three months ended June 30, 2019 to 44% for the same period in 2020. Excluding depreciation and stock-based compensation of $1.6 million </w:t>
      </w:r>
      <w:r>
        <w:rPr>
          <w:rFonts w:ascii="Arial" w:cs="Arial" w:eastAsia="Arial" w:hAnsi="Arial"/>
          <w:sz w:val="16"/>
          <w:szCs w:val="16"/>
          <w:color w:val="000000"/>
        </w:rPr>
        <w:t>for the three months ended June 30, 2019 and</w:t>
      </w:r>
      <w:r>
        <w:rPr>
          <w:rFonts w:ascii="Arial" w:cs="Arial" w:eastAsia="Arial" w:hAnsi="Arial"/>
          <w:sz w:val="16"/>
          <w:szCs w:val="16"/>
          <w:color w:val="231F20"/>
        </w:rPr>
        <w:t xml:space="preserve"> $2.3 million </w:t>
      </w:r>
      <w:r>
        <w:rPr>
          <w:rFonts w:ascii="Arial" w:cs="Arial" w:eastAsia="Arial" w:hAnsi="Arial"/>
          <w:sz w:val="16"/>
          <w:szCs w:val="16"/>
          <w:color w:val="000000"/>
        </w:rPr>
        <w:t>for the same period in 2020</w:t>
      </w:r>
      <w:r>
        <w:rPr>
          <w:rFonts w:ascii="Arial" w:cs="Arial" w:eastAsia="Arial" w:hAnsi="Arial"/>
          <w:sz w:val="16"/>
          <w:szCs w:val="16"/>
          <w:color w:val="231F20"/>
        </w:rPr>
        <w:t>, CPaaS Non-GAAP gross margin was 48% for both periods, and total Non-GAAP gross margin was 50% and 48%, respectively.</w:t>
      </w:r>
    </w:p>
    <w:p>
      <w:pPr>
        <w:spacing w:after="0" w:line="3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June 30, 2020, o</w:t>
      </w:r>
      <w:r>
        <w:rPr>
          <w:rFonts w:ascii="Arial" w:cs="Arial" w:eastAsia="Arial" w:hAnsi="Arial"/>
          <w:sz w:val="20"/>
          <w:szCs w:val="20"/>
          <w:color w:val="231F20"/>
        </w:rPr>
        <w:t>ther cost of revenue increased by $1.1 million compared to the same period in 2019,</w:t>
      </w:r>
      <w:r>
        <w:rPr>
          <w:rFonts w:ascii="Arial" w:cs="Arial" w:eastAsia="Arial" w:hAnsi="Arial"/>
          <w:sz w:val="20"/>
          <w:szCs w:val="20"/>
          <w:color w:val="auto"/>
        </w:rPr>
        <w:t xml:space="preserve"> </w:t>
      </w:r>
      <w:r>
        <w:rPr>
          <w:rFonts w:ascii="Arial" w:cs="Arial" w:eastAsia="Arial" w:hAnsi="Arial"/>
          <w:sz w:val="20"/>
          <w:szCs w:val="20"/>
          <w:color w:val="231F20"/>
        </w:rPr>
        <w:t>primarily due to a $1.4 million increase in cost of indirect revenue related to messaging surcharges and cost of carrier access revenue offset by a $0.3 million decrease as a result of churn in legacy services.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60" w:type="dxa"/>
            <w:vAlign w:val="bottom"/>
            <w:gridSpan w:val="6"/>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9,554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1,898</w:t>
            </w: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8,514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8,655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14,282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16,840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2,558</w:t>
            </w:r>
          </w:p>
        </w:tc>
        <w:tc>
          <w:tcPr>
            <w:tcW w:w="9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30,452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35,049</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4,597</w:t>
            </w: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June 30, 2020, </w:t>
      </w:r>
      <w:r>
        <w:rPr>
          <w:rFonts w:ascii="Arial" w:cs="Arial" w:eastAsia="Arial" w:hAnsi="Arial"/>
          <w:sz w:val="20"/>
          <w:szCs w:val="20"/>
          <w:color w:val="231F20"/>
        </w:rPr>
        <w:t>R&amp;D expenses related to the expansion of our product offerings increased by $1.9</w:t>
      </w:r>
      <w:r>
        <w:rPr>
          <w:rFonts w:ascii="Arial" w:cs="Arial" w:eastAsia="Arial" w:hAnsi="Arial"/>
          <w:sz w:val="20"/>
          <w:szCs w:val="20"/>
          <w:color w:val="auto"/>
        </w:rPr>
        <w:t xml:space="preserve"> </w:t>
      </w:r>
      <w:r>
        <w:rPr>
          <w:rFonts w:ascii="Arial" w:cs="Arial" w:eastAsia="Arial" w:hAnsi="Arial"/>
          <w:sz w:val="20"/>
          <w:szCs w:val="20"/>
          <w:color w:val="231F20"/>
        </w:rPr>
        <w:t>million, or 25%, compared to the same period in 2019. This increase was primarily due to increased personnel costs of $2.1 million offset by a decrease in non-headcount costs of $0.2 million.</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June 30, 2020, </w:t>
      </w:r>
      <w:r>
        <w:rPr>
          <w:rFonts w:ascii="Arial" w:cs="Arial" w:eastAsia="Arial" w:hAnsi="Arial"/>
          <w:sz w:val="20"/>
          <w:szCs w:val="20"/>
          <w:color w:val="231F20"/>
        </w:rPr>
        <w:t>sales and marketing expenses increased by $0.1 million, or 2%, compared to the same</w:t>
      </w:r>
      <w:r>
        <w:rPr>
          <w:rFonts w:ascii="Arial" w:cs="Arial" w:eastAsia="Arial" w:hAnsi="Arial"/>
          <w:sz w:val="20"/>
          <w:szCs w:val="20"/>
          <w:color w:val="auto"/>
        </w:rPr>
        <w:t xml:space="preserve"> </w:t>
      </w:r>
      <w:r>
        <w:rPr>
          <w:rFonts w:ascii="Arial" w:cs="Arial" w:eastAsia="Arial" w:hAnsi="Arial"/>
          <w:sz w:val="20"/>
          <w:szCs w:val="20"/>
          <w:color w:val="231F20"/>
        </w:rPr>
        <w:t>period in 2019, primarily due to an overall increase in sales personnel costs of $0.9 million offset by a decrease in non-headcount costs of $0.8 million.</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For the three months ended June 30, 2020, g</w:t>
      </w:r>
      <w:r>
        <w:rPr>
          <w:rFonts w:ascii="Arial" w:cs="Arial" w:eastAsia="Arial" w:hAnsi="Arial"/>
          <w:sz w:val="18"/>
          <w:szCs w:val="18"/>
          <w:color w:val="231F20"/>
        </w:rPr>
        <w:t>eneral and administrative expenses increased by $2.6 million</w:t>
      </w:r>
      <w:r>
        <w:rPr>
          <w:rFonts w:ascii="Arial" w:cs="Arial" w:eastAsia="Arial" w:hAnsi="Arial"/>
          <w:sz w:val="18"/>
          <w:szCs w:val="18"/>
          <w:color w:val="auto"/>
        </w:rPr>
        <w:t xml:space="preserve">, </w:t>
      </w:r>
      <w:r>
        <w:rPr>
          <w:rFonts w:ascii="Arial" w:cs="Arial" w:eastAsia="Arial" w:hAnsi="Arial"/>
          <w:sz w:val="18"/>
          <w:szCs w:val="18"/>
          <w:color w:val="231F20"/>
        </w:rPr>
        <w:t>or 18%,</w:t>
      </w:r>
      <w:r>
        <w:rPr>
          <w:rFonts w:ascii="Arial" w:cs="Arial" w:eastAsia="Arial" w:hAnsi="Arial"/>
          <w:sz w:val="18"/>
          <w:szCs w:val="18"/>
          <w:color w:val="auto"/>
        </w:rPr>
        <w:t xml:space="preserve"> compared to the same period in 2019. </w:t>
      </w:r>
      <w:r>
        <w:rPr>
          <w:rFonts w:ascii="Arial" w:cs="Arial" w:eastAsia="Arial" w:hAnsi="Arial"/>
          <w:sz w:val="18"/>
          <w:szCs w:val="18"/>
          <w:color w:val="231F20"/>
        </w:rPr>
        <w:t>This increase was due to higher personnel cost of $2.0 million, depreciation and amortization costs of $0.7 million,</w:t>
      </w:r>
      <w:r>
        <w:rPr>
          <w:rFonts w:ascii="Arial" w:cs="Arial" w:eastAsia="Arial" w:hAnsi="Arial"/>
          <w:sz w:val="18"/>
          <w:szCs w:val="18"/>
          <w:color w:val="auto"/>
        </w:rPr>
        <w:t xml:space="preserve"> </w:t>
      </w:r>
      <w:r>
        <w:rPr>
          <w:rFonts w:ascii="Arial" w:cs="Arial" w:eastAsia="Arial" w:hAnsi="Arial"/>
          <w:sz w:val="18"/>
          <w:szCs w:val="18"/>
          <w:color w:val="231F20"/>
        </w:rPr>
        <w:t>bank charges and license costs of $0.3 million, facilities expense of $0.2 million, offset by lower travel and entertainment expenses of $0.3 million and other non-headcount costs of $0.3 million, which contributed to the overall increase in general and administrative expenses.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Income, Net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 xml:space="preserve">For the three months ended June 30, 2020, interest expense, net increased by $4.6 million compared to the same period in 2019, </w:t>
      </w:r>
      <w:r>
        <w:rPr>
          <w:rFonts w:ascii="Arial" w:cs="Arial" w:eastAsia="Arial" w:hAnsi="Arial"/>
          <w:sz w:val="20"/>
          <w:szCs w:val="20"/>
          <w:color w:val="000000"/>
        </w:rPr>
        <w:t>due</w:t>
      </w:r>
      <w:r>
        <w:rPr>
          <w:rFonts w:ascii="Arial" w:cs="Arial" w:eastAsia="Arial" w:hAnsi="Arial"/>
          <w:sz w:val="20"/>
          <w:szCs w:val="20"/>
          <w:color w:val="231F20"/>
        </w:rPr>
        <w:t xml:space="preserve"> </w:t>
      </w:r>
      <w:r>
        <w:rPr>
          <w:rFonts w:ascii="Arial" w:cs="Arial" w:eastAsia="Arial" w:hAnsi="Arial"/>
          <w:sz w:val="20"/>
          <w:szCs w:val="20"/>
          <w:color w:val="000000"/>
        </w:rPr>
        <w:t>to a $0.1 million decrease in interest income from the investment of follow-on equity offering proceeds offset by $4.7 million increase in interest expense mainly related to the Convertible Notes. See Note 8, “Debt” to the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Benefit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June 30, 2020, </w:t>
      </w:r>
      <w:r>
        <w:rPr>
          <w:rFonts w:ascii="Arial" w:cs="Arial" w:eastAsia="Arial" w:hAnsi="Arial"/>
          <w:sz w:val="20"/>
          <w:szCs w:val="20"/>
          <w:color w:val="231F20"/>
        </w:rPr>
        <w:t>income tax benefit decreased by $23.0 million compared to the same period in 2019. The</w:t>
      </w:r>
      <w:r>
        <w:rPr>
          <w:rFonts w:ascii="Arial" w:cs="Arial" w:eastAsia="Arial" w:hAnsi="Arial"/>
          <w:sz w:val="20"/>
          <w:szCs w:val="20"/>
          <w:color w:val="auto"/>
        </w:rPr>
        <w:t xml:space="preserve"> </w:t>
      </w:r>
      <w:r>
        <w:rPr>
          <w:rFonts w:ascii="Arial" w:cs="Arial" w:eastAsia="Arial" w:hAnsi="Arial"/>
          <w:sz w:val="20"/>
          <w:szCs w:val="20"/>
          <w:color w:val="231F20"/>
        </w:rPr>
        <w:t xml:space="preserve">effective tax rate for the three months ended June 30, 2020 was (399.1)% compared to 213.7% in the same period in 2019. </w:t>
      </w:r>
      <w:r>
        <w:rPr>
          <w:rFonts w:ascii="Arial" w:cs="Arial" w:eastAsia="Arial" w:hAnsi="Arial"/>
          <w:sz w:val="20"/>
          <w:szCs w:val="20"/>
          <w:color w:val="000000"/>
        </w:rPr>
        <w:t>The decrease in</w:t>
      </w:r>
      <w:r>
        <w:rPr>
          <w:rFonts w:ascii="Arial" w:cs="Arial" w:eastAsia="Arial" w:hAnsi="Arial"/>
          <w:sz w:val="20"/>
          <w:szCs w:val="20"/>
          <w:color w:val="231F20"/>
        </w:rPr>
        <w:t xml:space="preserve"> </w:t>
      </w:r>
      <w:r>
        <w:rPr>
          <w:rFonts w:ascii="Arial" w:cs="Arial" w:eastAsia="Arial" w:hAnsi="Arial"/>
          <w:sz w:val="20"/>
          <w:szCs w:val="20"/>
          <w:color w:val="000000"/>
        </w:rPr>
        <w:t>our effective tax rate is primarily due to the change in judgment related to the realizability of certain deferred tax assets and the resulting valuation allowance.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Comparison of the six months ended June 30, 2019 and 2020</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CPaaS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93,002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126,197</w:t>
            </w:r>
          </w:p>
        </w:tc>
        <w:tc>
          <w:tcPr>
            <w:tcW w:w="12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33,195</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19,111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2,013</w:t>
            </w:r>
          </w:p>
        </w:tc>
        <w:tc>
          <w:tcPr>
            <w:tcW w:w="9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110,100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145,308</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35,208</w:t>
            </w: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six months ended June 30, 2020, total revenue increased by $35.2 million, or 32%, compared to the same period in 2019, and CPaaS revenue increased by $33.2 million, or 36%, compared to the same period in 2019.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voice and messaging, which accounted for $26.8 million of the increase in CPaaS revenue, and our phone number services and 911-enabled phone number services, which accounted for </w:t>
      </w:r>
      <w:r>
        <w:rPr>
          <w:rFonts w:ascii="Arial" w:cs="Arial" w:eastAsia="Arial" w:hAnsi="Arial"/>
          <w:sz w:val="18"/>
          <w:szCs w:val="18"/>
          <w:color w:val="000000"/>
        </w:rPr>
        <w:t>$4.3 million</w:t>
      </w:r>
      <w:r>
        <w:rPr>
          <w:rFonts w:ascii="Arial" w:cs="Arial" w:eastAsia="Arial" w:hAnsi="Arial"/>
          <w:sz w:val="18"/>
          <w:szCs w:val="18"/>
          <w:color w:val="231F20"/>
        </w:rPr>
        <w:t xml:space="preserve"> of the increase in CPaaS revenue. </w:t>
      </w:r>
      <w:r>
        <w:rPr>
          <w:rFonts w:ascii="Arial" w:cs="Arial" w:eastAsia="Arial" w:hAnsi="Arial"/>
          <w:sz w:val="18"/>
          <w:szCs w:val="18"/>
          <w:color w:val="000000"/>
        </w:rPr>
        <w:t>The economic situation caused by COVID-19 caused increased usage during the second half of the quarter</w:t>
      </w:r>
      <w:r>
        <w:rPr>
          <w:rFonts w:ascii="Arial" w:cs="Arial" w:eastAsia="Arial" w:hAnsi="Arial"/>
          <w:sz w:val="18"/>
          <w:szCs w:val="18"/>
          <w:color w:val="231F20"/>
        </w:rPr>
        <w:t xml:space="preserve"> </w:t>
      </w:r>
      <w:r>
        <w:rPr>
          <w:rFonts w:ascii="Arial" w:cs="Arial" w:eastAsia="Arial" w:hAnsi="Arial"/>
          <w:sz w:val="18"/>
          <w:szCs w:val="18"/>
          <w:color w:val="000000"/>
        </w:rPr>
        <w:t xml:space="preserve">because of more reliance on our offerings to connect people during a time of physical distancing and work from home environment. Increased usage was mostly driven by large enterprise customers that offer UCaaS services and meeting solutions. CPaaS revenue also increased by $2.0 million from higher usage pricing due to a shift in product mix to products with a higher rate compared to prior year. </w:t>
      </w:r>
      <w:r>
        <w:rPr>
          <w:rFonts w:ascii="Arial" w:cs="Arial" w:eastAsia="Arial" w:hAnsi="Arial"/>
          <w:sz w:val="18"/>
          <w:szCs w:val="18"/>
          <w:color w:val="231F20"/>
        </w:rPr>
        <w:t>The</w:t>
      </w:r>
      <w:r>
        <w:rPr>
          <w:rFonts w:ascii="Arial" w:cs="Arial" w:eastAsia="Arial" w:hAnsi="Arial"/>
          <w:sz w:val="18"/>
          <w:szCs w:val="18"/>
          <w:color w:val="000000"/>
        </w:rPr>
        <w:t xml:space="preserve"> </w:t>
      </w:r>
      <w:r>
        <w:rPr>
          <w:rFonts w:ascii="Arial" w:cs="Arial" w:eastAsia="Arial" w:hAnsi="Arial"/>
          <w:sz w:val="18"/>
          <w:szCs w:val="18"/>
          <w:color w:val="231F20"/>
        </w:rPr>
        <w:t xml:space="preserve">changes in usage and price in 2020 compared to the same period in 2019 were reflected in our dollar-based net retention rate of 130%. The increase in usage was also attributable to a 30% increase in the number of active CPaaS customer accounts, from 1,467 as of June 30, 2019 to 1,900 as of June 30, 2020. In addition, revenue from new CPaaS customers contributed </w:t>
      </w:r>
      <w:r>
        <w:rPr>
          <w:rFonts w:ascii="Arial" w:cs="Arial" w:eastAsia="Arial" w:hAnsi="Arial"/>
          <w:sz w:val="18"/>
          <w:szCs w:val="18"/>
          <w:color w:val="000000"/>
        </w:rPr>
        <w:t>$5.9 million</w:t>
      </w:r>
      <w:r>
        <w:rPr>
          <w:rFonts w:ascii="Arial" w:cs="Arial" w:eastAsia="Arial" w:hAnsi="Arial"/>
          <w:sz w:val="18"/>
          <w:szCs w:val="18"/>
          <w:color w:val="231F20"/>
        </w:rPr>
        <w:t xml:space="preserve">, or 6%, to CPaaS revenue for the six months ended June 30, 2020 compared to </w:t>
      </w:r>
      <w:r>
        <w:rPr>
          <w:rFonts w:ascii="Arial" w:cs="Arial" w:eastAsia="Arial" w:hAnsi="Arial"/>
          <w:sz w:val="18"/>
          <w:szCs w:val="18"/>
          <w:color w:val="000000"/>
        </w:rPr>
        <w:t>$4.8 million</w:t>
      </w:r>
      <w:r>
        <w:rPr>
          <w:rFonts w:ascii="Arial" w:cs="Arial" w:eastAsia="Arial" w:hAnsi="Arial"/>
          <w:sz w:val="18"/>
          <w:szCs w:val="18"/>
          <w:color w:val="231F20"/>
        </w:rPr>
        <w:t xml:space="preserve">, or 6%, to CPaaS revenue in the same period in 2019. </w:t>
      </w:r>
      <w:r>
        <w:rPr>
          <w:rFonts w:ascii="Arial" w:cs="Arial" w:eastAsia="Arial" w:hAnsi="Arial"/>
          <w:sz w:val="18"/>
          <w:szCs w:val="18"/>
          <w:color w:val="000000"/>
        </w:rPr>
        <w:t>As a percentage of total</w:t>
      </w:r>
      <w:r>
        <w:rPr>
          <w:rFonts w:ascii="Arial" w:cs="Arial" w:eastAsia="Arial" w:hAnsi="Arial"/>
          <w:sz w:val="18"/>
          <w:szCs w:val="18"/>
          <w:color w:val="231F20"/>
        </w:rPr>
        <w:t xml:space="preserve"> </w:t>
      </w:r>
      <w:r>
        <w:rPr>
          <w:rFonts w:ascii="Arial" w:cs="Arial" w:eastAsia="Arial" w:hAnsi="Arial"/>
          <w:sz w:val="18"/>
          <w:szCs w:val="18"/>
          <w:color w:val="000000"/>
        </w:rPr>
        <w:t xml:space="preserve">revenue, CPaaS revenue increased from 84% in 2019 to 87% in the same period in </w:t>
      </w:r>
      <w:r>
        <w:rPr>
          <w:rFonts w:ascii="Arial" w:cs="Arial" w:eastAsia="Arial" w:hAnsi="Arial"/>
          <w:sz w:val="18"/>
          <w:szCs w:val="18"/>
          <w:color w:val="231F20"/>
        </w:rPr>
        <w:t>2020</w:t>
      </w:r>
      <w:r>
        <w:rPr>
          <w:rFonts w:ascii="Arial" w:cs="Arial" w:eastAsia="Arial" w:hAnsi="Arial"/>
          <w:sz w:val="18"/>
          <w:szCs w:val="18"/>
          <w:color w:val="000000"/>
        </w:rPr>
        <w:t>.</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Other revenue increased by $2.0 million, or 12%, in 2020 due to higher indirect revenue, which increased by $3.3 million related to an increase in messaging surcharges, offset by the expected decline of legacy revenue, which decreased by $1.3 million, compared to the same period in </w:t>
      </w:r>
      <w:r>
        <w:rPr>
          <w:rFonts w:ascii="Arial" w:cs="Arial" w:eastAsia="Arial" w:hAnsi="Arial"/>
          <w:sz w:val="20"/>
          <w:szCs w:val="20"/>
          <w:color w:val="000000"/>
        </w:rPr>
        <w:t>2019</w:t>
      </w:r>
      <w:r>
        <w:rPr>
          <w:rFonts w:ascii="Arial" w:cs="Arial" w:eastAsia="Arial" w:hAnsi="Arial"/>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0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 June 30,</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51,773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69,121</w:t>
            </w:r>
          </w:p>
        </w:tc>
        <w:tc>
          <w:tcPr>
            <w:tcW w:w="12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17,348</w:t>
            </w:r>
          </w:p>
        </w:tc>
        <w:tc>
          <w:tcPr>
            <w:tcW w:w="8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9,247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2,144</w:t>
            </w:r>
          </w:p>
        </w:tc>
        <w:tc>
          <w:tcPr>
            <w:tcW w:w="8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406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58,876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78,368</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19,492</w:t>
            </w:r>
          </w:p>
        </w:tc>
        <w:tc>
          <w:tcPr>
            <w:tcW w:w="8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51,224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66,940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15,716</w:t>
            </w: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Gross margin: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1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44 %</w:t>
            </w:r>
          </w:p>
        </w:tc>
        <w:tc>
          <w:tcPr>
            <w:tcW w:w="474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rPr>
              <w:t>45 %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Other</w:t>
            </w:r>
          </w:p>
        </w:tc>
        <w:tc>
          <w:tcPr>
            <w:tcW w:w="3120" w:type="dxa"/>
            <w:vAlign w:val="bottom"/>
          </w:tcPr>
          <w:p>
            <w:pPr>
              <w:jc w:val="right"/>
              <w:ind w:right="630"/>
              <w:spacing w:after="0"/>
              <w:rPr>
                <w:sz w:val="20"/>
                <w:szCs w:val="20"/>
                <w:color w:val="auto"/>
              </w:rPr>
            </w:pPr>
            <w:r>
              <w:rPr>
                <w:rFonts w:ascii="Arial" w:cs="Arial" w:eastAsia="Arial" w:hAnsi="Arial"/>
                <w:sz w:val="18"/>
                <w:szCs w:val="18"/>
                <w:color w:val="auto"/>
              </w:rPr>
              <w:t>58 %</w:t>
            </w:r>
          </w:p>
        </w:tc>
        <w:tc>
          <w:tcPr>
            <w:tcW w:w="4740" w:type="dxa"/>
            <w:vAlign w:val="bottom"/>
          </w:tcPr>
          <w:p>
            <w:pPr>
              <w:jc w:val="right"/>
              <w:ind w:right="3510"/>
              <w:spacing w:after="0"/>
              <w:rPr>
                <w:sz w:val="20"/>
                <w:szCs w:val="20"/>
                <w:color w:val="auto"/>
              </w:rPr>
            </w:pPr>
            <w:r>
              <w:rPr>
                <w:rFonts w:ascii="Arial" w:cs="Arial" w:eastAsia="Arial" w:hAnsi="Arial"/>
                <w:sz w:val="18"/>
                <w:szCs w:val="18"/>
                <w:color w:val="auto"/>
              </w:rPr>
              <w:t>52 %</w:t>
            </w:r>
          </w:p>
        </w:tc>
      </w:tr>
      <w:tr>
        <w:trPr>
          <w:trHeight w:val="27"/>
        </w:trPr>
        <w:tc>
          <w:tcPr>
            <w:tcW w:w="3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1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47 %</w:t>
            </w:r>
          </w:p>
        </w:tc>
        <w:tc>
          <w:tcPr>
            <w:tcW w:w="474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rPr>
              <w:t>46 %</w:t>
            </w:r>
          </w:p>
        </w:tc>
      </w:tr>
      <w:tr>
        <w:trPr>
          <w:trHeight w:val="27"/>
        </w:trPr>
        <w:tc>
          <w:tcPr>
            <w:tcW w:w="338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For the six months ended June 30, 2020, </w:t>
      </w:r>
      <w:r>
        <w:rPr>
          <w:rFonts w:ascii="Arial" w:cs="Arial" w:eastAsia="Arial" w:hAnsi="Arial"/>
          <w:sz w:val="18"/>
          <w:szCs w:val="18"/>
          <w:color w:val="231F20"/>
        </w:rPr>
        <w:t>total gross profit increased by $15.7 million, or 31%, compared to the same period in 2019</w:t>
      </w:r>
      <w:r>
        <w:rPr>
          <w:rFonts w:ascii="Arial" w:cs="Arial" w:eastAsia="Arial" w:hAnsi="Arial"/>
          <w:sz w:val="18"/>
          <w:szCs w:val="18"/>
          <w:color w:val="auto"/>
        </w:rPr>
        <w:t xml:space="preserve">. Total gross margin decreased from 47% to 46% during the same period. For the six months ended June 30, 2020, </w:t>
      </w:r>
      <w:r>
        <w:rPr>
          <w:rFonts w:ascii="Arial" w:cs="Arial" w:eastAsia="Arial" w:hAnsi="Arial"/>
          <w:sz w:val="18"/>
          <w:szCs w:val="18"/>
          <w:color w:val="231F20"/>
        </w:rPr>
        <w:t>CPaaS cost of revenue</w:t>
      </w:r>
      <w:r>
        <w:rPr>
          <w:rFonts w:ascii="Arial" w:cs="Arial" w:eastAsia="Arial" w:hAnsi="Arial"/>
          <w:sz w:val="18"/>
          <w:szCs w:val="18"/>
          <w:color w:val="auto"/>
        </w:rPr>
        <w:t xml:space="preserve"> </w:t>
      </w:r>
      <w:r>
        <w:rPr>
          <w:rFonts w:ascii="Arial" w:cs="Arial" w:eastAsia="Arial" w:hAnsi="Arial"/>
          <w:sz w:val="18"/>
          <w:szCs w:val="18"/>
          <w:color w:val="231F20"/>
        </w:rPr>
        <w:t xml:space="preserve">increased by $17.3 million, or 34%, compared to the same period in 2019. CPaaS cost of revenue increased primarily due to a increase in voice usage costs of net $9.2 million due to growth in minutes used by customers, partially offset by a decrease in the cost per minute from vendors. Network costs also increased $5.7 million due to network expansions and personnel costs. Cost of messaging increased by $2.3 million due to growth in messages used by customers and increased cost per message. Cost of phone numbers increased by $0.1 million. </w:t>
      </w:r>
      <w:r>
        <w:rPr>
          <w:rFonts w:ascii="Arial" w:cs="Arial" w:eastAsia="Arial" w:hAnsi="Arial"/>
          <w:sz w:val="18"/>
          <w:szCs w:val="18"/>
          <w:color w:val="000000"/>
        </w:rPr>
        <w:t xml:space="preserve">COVID-19 and the increased usage resulting from the work at home environment generated increased voice usage costs, messaging usage costs and network expansions. These increased costs did not have a material impact to cost per minute or message and did not impact gross margin percentages. </w:t>
      </w:r>
      <w:r>
        <w:rPr>
          <w:rFonts w:ascii="Arial" w:cs="Arial" w:eastAsia="Arial" w:hAnsi="Arial"/>
          <w:sz w:val="18"/>
          <w:szCs w:val="18"/>
          <w:color w:val="231F20"/>
        </w:rPr>
        <w:t>CPaaS gross margin increased from 44% in 2019 to 45% in 2020. Excluding depreciation and stock-based compensation</w:t>
      </w:r>
      <w:r>
        <w:rPr>
          <w:rFonts w:ascii="Arial" w:cs="Arial" w:eastAsia="Arial" w:hAnsi="Arial"/>
          <w:sz w:val="18"/>
          <w:szCs w:val="18"/>
          <w:color w:val="000000"/>
        </w:rPr>
        <w:t xml:space="preserve"> </w:t>
      </w:r>
      <w:r>
        <w:rPr>
          <w:rFonts w:ascii="Arial" w:cs="Arial" w:eastAsia="Arial" w:hAnsi="Arial"/>
          <w:sz w:val="18"/>
          <w:szCs w:val="18"/>
          <w:color w:val="231F20"/>
        </w:rPr>
        <w:t xml:space="preserve">of $2.9 million </w:t>
      </w:r>
      <w:r>
        <w:rPr>
          <w:rFonts w:ascii="Arial" w:cs="Arial" w:eastAsia="Arial" w:hAnsi="Arial"/>
          <w:sz w:val="18"/>
          <w:szCs w:val="18"/>
          <w:color w:val="000000"/>
        </w:rPr>
        <w:t>for the six months ended June 30, 2019 and</w:t>
      </w:r>
      <w:r>
        <w:rPr>
          <w:rFonts w:ascii="Arial" w:cs="Arial" w:eastAsia="Arial" w:hAnsi="Arial"/>
          <w:sz w:val="18"/>
          <w:szCs w:val="18"/>
          <w:color w:val="231F20"/>
        </w:rPr>
        <w:t xml:space="preserve"> $4.8 million </w:t>
      </w:r>
      <w:r>
        <w:rPr>
          <w:rFonts w:ascii="Arial" w:cs="Arial" w:eastAsia="Arial" w:hAnsi="Arial"/>
          <w:sz w:val="18"/>
          <w:szCs w:val="18"/>
          <w:color w:val="000000"/>
        </w:rPr>
        <w:t>for the same period in 2020</w:t>
      </w:r>
      <w:r>
        <w:rPr>
          <w:rFonts w:ascii="Arial" w:cs="Arial" w:eastAsia="Arial" w:hAnsi="Arial"/>
          <w:sz w:val="18"/>
          <w:szCs w:val="18"/>
          <w:color w:val="231F20"/>
        </w:rPr>
        <w:t>, CPaaS Non-GAAP gross margin was 47% and 49% for 2019 and 2020, respectively, and total Non-GAAP gross margin was 49% for both periods.</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six months ended June 30, 2020, o</w:t>
      </w:r>
      <w:r>
        <w:rPr>
          <w:rFonts w:ascii="Arial" w:cs="Arial" w:eastAsia="Arial" w:hAnsi="Arial"/>
          <w:sz w:val="20"/>
          <w:szCs w:val="20"/>
          <w:color w:val="231F20"/>
        </w:rPr>
        <w:t>ther cost of revenue increased by $2.2 million compared to the same period in 2019,</w:t>
      </w:r>
      <w:r>
        <w:rPr>
          <w:rFonts w:ascii="Arial" w:cs="Arial" w:eastAsia="Arial" w:hAnsi="Arial"/>
          <w:sz w:val="20"/>
          <w:szCs w:val="20"/>
          <w:color w:val="auto"/>
        </w:rPr>
        <w:t xml:space="preserve"> </w:t>
      </w:r>
      <w:r>
        <w:rPr>
          <w:rFonts w:ascii="Arial" w:cs="Arial" w:eastAsia="Arial" w:hAnsi="Arial"/>
          <w:sz w:val="20"/>
          <w:szCs w:val="20"/>
          <w:color w:val="231F20"/>
        </w:rPr>
        <w:t>primarily due to a $2.7 million increase in cost of indirect revenue related to messaging surcharges and cost of carrier access revenue offset by a $0.5 million decrease as a result of churn in legacy services.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60" w:type="dxa"/>
            <w:vAlign w:val="bottom"/>
            <w:gridSpan w:val="6"/>
          </w:tcPr>
          <w:p>
            <w:pPr>
              <w:ind w:left="700"/>
              <w:spacing w:after="0"/>
              <w:rPr>
                <w:sz w:val="20"/>
                <w:szCs w:val="20"/>
                <w:color w:val="auto"/>
              </w:rPr>
            </w:pPr>
            <w:r>
              <w:rPr>
                <w:rFonts w:ascii="Arial" w:cs="Arial" w:eastAsia="Arial" w:hAnsi="Arial"/>
                <w:sz w:val="18"/>
                <w:szCs w:val="18"/>
                <w:b w:val="1"/>
                <w:bCs w:val="1"/>
                <w:color w:val="auto"/>
              </w:rPr>
              <w:t>Six months ended June 30,</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4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15,373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19,084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3,711</w:t>
            </w: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16,863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18,072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1,209</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28,615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32,936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4,321</w:t>
            </w:r>
          </w:p>
        </w:tc>
        <w:tc>
          <w:tcPr>
            <w:tcW w:w="9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4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60,851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70,092</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9,241</w:t>
            </w: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six months ended June 30, 2020, </w:t>
      </w:r>
      <w:r>
        <w:rPr>
          <w:rFonts w:ascii="Arial" w:cs="Arial" w:eastAsia="Arial" w:hAnsi="Arial"/>
          <w:sz w:val="20"/>
          <w:szCs w:val="20"/>
          <w:color w:val="231F20"/>
        </w:rPr>
        <w:t>R&amp;D expenses related to the expansion of our product offerings increased by $3.7 million,</w:t>
      </w:r>
      <w:r>
        <w:rPr>
          <w:rFonts w:ascii="Arial" w:cs="Arial" w:eastAsia="Arial" w:hAnsi="Arial"/>
          <w:sz w:val="20"/>
          <w:szCs w:val="20"/>
          <w:color w:val="auto"/>
        </w:rPr>
        <w:t xml:space="preserve"> </w:t>
      </w:r>
      <w:r>
        <w:rPr>
          <w:rFonts w:ascii="Arial" w:cs="Arial" w:eastAsia="Arial" w:hAnsi="Arial"/>
          <w:sz w:val="20"/>
          <w:szCs w:val="20"/>
          <w:color w:val="231F20"/>
        </w:rPr>
        <w:t>or 24%, compared to the same period in 2019. This increase was primarily due to increased personnel costs of $3.8 million offset by a decrease in non-headcount costs of $0.1 million.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six months ended June 30, 2020, </w:t>
      </w:r>
      <w:r>
        <w:rPr>
          <w:rFonts w:ascii="Arial" w:cs="Arial" w:eastAsia="Arial" w:hAnsi="Arial"/>
          <w:sz w:val="20"/>
          <w:szCs w:val="20"/>
          <w:color w:val="231F20"/>
        </w:rPr>
        <w:t>sales and marketing expenses increased by $1.2 million, or 7%, compared to the same</w:t>
      </w:r>
      <w:r>
        <w:rPr>
          <w:rFonts w:ascii="Arial" w:cs="Arial" w:eastAsia="Arial" w:hAnsi="Arial"/>
          <w:sz w:val="20"/>
          <w:szCs w:val="20"/>
          <w:color w:val="auto"/>
        </w:rPr>
        <w:t xml:space="preserve"> </w:t>
      </w:r>
      <w:r>
        <w:rPr>
          <w:rFonts w:ascii="Arial" w:cs="Arial" w:eastAsia="Arial" w:hAnsi="Arial"/>
          <w:sz w:val="20"/>
          <w:szCs w:val="20"/>
          <w:color w:val="231F20"/>
        </w:rPr>
        <w:t>period in 2019 primarily due to an overall increase in sales personnel costs of $2.7 million offset by a decrease in non-headcount costs of $1.5 million.</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For the six months ended June 30, 2020, g</w:t>
      </w:r>
      <w:r>
        <w:rPr>
          <w:rFonts w:ascii="Arial" w:cs="Arial" w:eastAsia="Arial" w:hAnsi="Arial"/>
          <w:sz w:val="18"/>
          <w:szCs w:val="18"/>
          <w:color w:val="231F20"/>
        </w:rPr>
        <w:t>eneral and administrative expenses increased by $4.3 million</w:t>
      </w:r>
      <w:r>
        <w:rPr>
          <w:rFonts w:ascii="Arial" w:cs="Arial" w:eastAsia="Arial" w:hAnsi="Arial"/>
          <w:sz w:val="18"/>
          <w:szCs w:val="18"/>
          <w:color w:val="auto"/>
        </w:rPr>
        <w:t xml:space="preserve">, </w:t>
      </w:r>
      <w:r>
        <w:rPr>
          <w:rFonts w:ascii="Arial" w:cs="Arial" w:eastAsia="Arial" w:hAnsi="Arial"/>
          <w:sz w:val="18"/>
          <w:szCs w:val="18"/>
          <w:color w:val="231F20"/>
        </w:rPr>
        <w:t>or 15%,</w:t>
      </w:r>
      <w:r>
        <w:rPr>
          <w:rFonts w:ascii="Arial" w:cs="Arial" w:eastAsia="Arial" w:hAnsi="Arial"/>
          <w:sz w:val="18"/>
          <w:szCs w:val="18"/>
          <w:color w:val="auto"/>
        </w:rPr>
        <w:t xml:space="preserve"> compared to the same period in 2019. </w:t>
      </w:r>
      <w:r>
        <w:rPr>
          <w:rFonts w:ascii="Arial" w:cs="Arial" w:eastAsia="Arial" w:hAnsi="Arial"/>
          <w:sz w:val="18"/>
          <w:szCs w:val="18"/>
          <w:color w:val="231F20"/>
        </w:rPr>
        <w:t>This increase was due to higher personnel cost of $2.9 million, depreciation and amortization costs of $0.8 million,</w:t>
      </w:r>
      <w:r>
        <w:rPr>
          <w:rFonts w:ascii="Arial" w:cs="Arial" w:eastAsia="Arial" w:hAnsi="Arial"/>
          <w:sz w:val="18"/>
          <w:szCs w:val="18"/>
          <w:color w:val="auto"/>
        </w:rPr>
        <w:t xml:space="preserve"> </w:t>
      </w:r>
      <w:r>
        <w:rPr>
          <w:rFonts w:ascii="Arial" w:cs="Arial" w:eastAsia="Arial" w:hAnsi="Arial"/>
          <w:sz w:val="18"/>
          <w:szCs w:val="18"/>
          <w:color w:val="231F20"/>
        </w:rPr>
        <w:t>facilities expense of $0.7 million, bank charges and license costs of $0.4 million, hosted software costs of $0.3 million, offset by lower travel and entertainment expenses of $0.4 million, other non-headcount costs of $0.2 million, and lower professional expenses of $0.2 million.</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Income, Net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six months ended June 30, 2020, </w:t>
      </w:r>
      <w:r>
        <w:rPr>
          <w:rFonts w:ascii="Arial" w:cs="Arial" w:eastAsia="Arial" w:hAnsi="Arial"/>
          <w:sz w:val="20"/>
          <w:szCs w:val="20"/>
          <w:color w:val="231F20"/>
        </w:rPr>
        <w:t>interest expense, net increased by $5.6 million compared to the same period in 2019,</w:t>
      </w:r>
      <w:r>
        <w:rPr>
          <w:rFonts w:ascii="Arial" w:cs="Arial" w:eastAsia="Arial" w:hAnsi="Arial"/>
          <w:sz w:val="20"/>
          <w:szCs w:val="20"/>
          <w:color w:val="auto"/>
        </w:rPr>
        <w:t xml:space="preserve"> due to a </w:t>
      </w:r>
      <w:r>
        <w:rPr>
          <w:rFonts w:ascii="Arial" w:cs="Arial" w:eastAsia="Arial" w:hAnsi="Arial"/>
          <w:sz w:val="20"/>
          <w:szCs w:val="20"/>
          <w:color w:val="231F20"/>
        </w:rPr>
        <w:t>$0.8 million</w:t>
      </w:r>
      <w:r>
        <w:rPr>
          <w:rFonts w:ascii="Arial" w:cs="Arial" w:eastAsia="Arial" w:hAnsi="Arial"/>
          <w:sz w:val="20"/>
          <w:szCs w:val="20"/>
          <w:color w:val="auto"/>
        </w:rPr>
        <w:t xml:space="preserve"> decrease in interest income from the investment of follow-on equity offering proceeds offset by </w:t>
      </w:r>
      <w:r>
        <w:rPr>
          <w:rFonts w:ascii="Arial" w:cs="Arial" w:eastAsia="Arial" w:hAnsi="Arial"/>
          <w:sz w:val="20"/>
          <w:szCs w:val="20"/>
          <w:color w:val="231F20"/>
        </w:rPr>
        <w:t>$6.5 million</w:t>
      </w:r>
      <w:r>
        <w:rPr>
          <w:rFonts w:ascii="Arial" w:cs="Arial" w:eastAsia="Arial" w:hAnsi="Arial"/>
          <w:sz w:val="20"/>
          <w:szCs w:val="20"/>
          <w:color w:val="auto"/>
        </w:rPr>
        <w:t xml:space="preserve"> increase in interest expense mainly related to the Convertible Notes (see Note 8, “Debt” to the condensed consolidated financial statements included elsewhere in this Quarterly Report on Form 10-Q, for additional details).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Benefit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six months ended June 30, 2020, </w:t>
      </w:r>
      <w:r>
        <w:rPr>
          <w:rFonts w:ascii="Arial" w:cs="Arial" w:eastAsia="Arial" w:hAnsi="Arial"/>
          <w:sz w:val="20"/>
          <w:szCs w:val="20"/>
          <w:color w:val="231F20"/>
        </w:rPr>
        <w:t>income tax benefit decreased by $27.9 million compared to the same period in 2019. The</w:t>
      </w:r>
      <w:r>
        <w:rPr>
          <w:rFonts w:ascii="Arial" w:cs="Arial" w:eastAsia="Arial" w:hAnsi="Arial"/>
          <w:sz w:val="20"/>
          <w:szCs w:val="20"/>
          <w:color w:val="auto"/>
        </w:rPr>
        <w:t xml:space="preserve"> </w:t>
      </w:r>
      <w:r>
        <w:rPr>
          <w:rFonts w:ascii="Arial" w:cs="Arial" w:eastAsia="Arial" w:hAnsi="Arial"/>
          <w:sz w:val="20"/>
          <w:szCs w:val="20"/>
          <w:color w:val="231F20"/>
        </w:rPr>
        <w:t xml:space="preserve">effective tax rate for the six months ended June 30, 2020 was (173.8)% compared to 162.8% in the same period in 2019. </w:t>
      </w:r>
      <w:r>
        <w:rPr>
          <w:rFonts w:ascii="Arial" w:cs="Arial" w:eastAsia="Arial" w:hAnsi="Arial"/>
          <w:sz w:val="20"/>
          <w:szCs w:val="20"/>
          <w:color w:val="000000"/>
        </w:rPr>
        <w:t>The decrease in our</w:t>
      </w:r>
      <w:r>
        <w:rPr>
          <w:rFonts w:ascii="Arial" w:cs="Arial" w:eastAsia="Arial" w:hAnsi="Arial"/>
          <w:sz w:val="20"/>
          <w:szCs w:val="20"/>
          <w:color w:val="231F20"/>
        </w:rPr>
        <w:t xml:space="preserve"> </w:t>
      </w:r>
      <w:r>
        <w:rPr>
          <w:rFonts w:ascii="Arial" w:cs="Arial" w:eastAsia="Arial" w:hAnsi="Arial"/>
          <w:sz w:val="20"/>
          <w:szCs w:val="20"/>
          <w:color w:val="000000"/>
        </w:rPr>
        <w:t>effective tax rate is primarily due to the change in judgment related to the realizability of certain deferred tax assets and the resulting valuation allowance.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To date, our principal sources of liquidity have been the proceeds of $74.4 million from our initial public offering in November 2017, $147.4 million from our follow-on public offering in March 2019 and $344.8 million from our issuance of the Convertible Notes in February 2020, each net of underwriting discounts and commissions,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2020</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24"/>
                <w:szCs w:val="24"/>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(47,452)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(239,828)</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151,947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347,057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99,082</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106,905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For the six months ended June 30, 2020, </w:t>
      </w:r>
      <w:r>
        <w:rPr>
          <w:rFonts w:ascii="Arial" w:cs="Arial" w:eastAsia="Arial" w:hAnsi="Arial"/>
          <w:sz w:val="18"/>
          <w:szCs w:val="18"/>
          <w:color w:val="231F20"/>
        </w:rPr>
        <w:t>cash used in operating activities was $0.3 million, consisting of net loss of $21.7 million</w:t>
      </w:r>
      <w:r>
        <w:rPr>
          <w:rFonts w:ascii="Arial" w:cs="Arial" w:eastAsia="Arial" w:hAnsi="Arial"/>
          <w:sz w:val="18"/>
          <w:szCs w:val="18"/>
          <w:color w:val="auto"/>
        </w:rPr>
        <w:t xml:space="preserve"> </w:t>
      </w:r>
      <w:r>
        <w:rPr>
          <w:rFonts w:ascii="Arial" w:cs="Arial" w:eastAsia="Arial" w:hAnsi="Arial"/>
          <w:sz w:val="18"/>
          <w:szCs w:val="18"/>
          <w:color w:val="231F20"/>
        </w:rPr>
        <w:t>adjusted for non-cash items. These non-cash items included deferred tax expense of $14.3 million, depreciation and amortization expense of $6.6 million, amortization of debt discount and issuance costs of $6.3 million, stock-based compensation expenses of $4.9 million, right-of-use asset amortization of $2.3 million, and loss on disposal of property and equipment of $0.3 million, offset by cash used by changes in operating assets and liabilities of $13.3 million. Cash generated in operating assets and liabilities included an increase in accrued expenses and other liabilities of $2.4 million and an increase in deferred revenue and advanced billings of $1.0 million. Offsetting these cash generating items in assets and liabilities were an increase in accounts receivable of $11.6 million, a decrease in operating right-of-use liability of $2.6 million, an increase in prepaid expenses and other assets of $2.0 million, and an increase of deferred costs of $0.6 million.</w:t>
      </w:r>
    </w:p>
    <w:p>
      <w:pPr>
        <w:spacing w:after="0" w:line="1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For the six months ended June 30, 2019, cash used in operating activities was </w:t>
      </w:r>
      <w:r>
        <w:rPr>
          <w:rFonts w:ascii="Arial" w:cs="Arial" w:eastAsia="Arial" w:hAnsi="Arial"/>
          <w:sz w:val="19"/>
          <w:szCs w:val="19"/>
          <w:color w:val="231F20"/>
        </w:rPr>
        <w:t>$5.4 million</w:t>
      </w:r>
      <w:r>
        <w:rPr>
          <w:rFonts w:ascii="Arial" w:cs="Arial" w:eastAsia="Arial" w:hAnsi="Arial"/>
          <w:sz w:val="19"/>
          <w:szCs w:val="19"/>
          <w:color w:val="auto"/>
        </w:rPr>
        <w:t xml:space="preserve">, consisting of net income of </w:t>
      </w:r>
      <w:r>
        <w:rPr>
          <w:rFonts w:ascii="Arial" w:cs="Arial" w:eastAsia="Arial" w:hAnsi="Arial"/>
          <w:sz w:val="19"/>
          <w:szCs w:val="19"/>
          <w:color w:val="231F20"/>
        </w:rPr>
        <w:t>$5.5 million</w:t>
      </w:r>
      <w:r>
        <w:rPr>
          <w:rFonts w:ascii="Arial" w:cs="Arial" w:eastAsia="Arial" w:hAnsi="Arial"/>
          <w:sz w:val="19"/>
          <w:szCs w:val="19"/>
          <w:color w:val="auto"/>
        </w:rPr>
        <w:t xml:space="preserve"> adjusted for non-cash items. These non-cash items included depreciation and amortization expense of </w:t>
      </w:r>
      <w:r>
        <w:rPr>
          <w:rFonts w:ascii="Arial" w:cs="Arial" w:eastAsia="Arial" w:hAnsi="Arial"/>
          <w:sz w:val="19"/>
          <w:szCs w:val="19"/>
          <w:color w:val="231F20"/>
        </w:rPr>
        <w:t>$4.3 million</w:t>
      </w:r>
      <w:r>
        <w:rPr>
          <w:rFonts w:ascii="Arial" w:cs="Arial" w:eastAsia="Arial" w:hAnsi="Arial"/>
          <w:sz w:val="19"/>
          <w:szCs w:val="19"/>
          <w:color w:val="auto"/>
        </w:rPr>
        <w:t xml:space="preserve">, stock-based compensation expenses of </w:t>
      </w:r>
      <w:r>
        <w:rPr>
          <w:rFonts w:ascii="Arial" w:cs="Arial" w:eastAsia="Arial" w:hAnsi="Arial"/>
          <w:sz w:val="19"/>
          <w:szCs w:val="19"/>
          <w:color w:val="231F20"/>
        </w:rPr>
        <w:t>$3.3 million</w:t>
      </w:r>
      <w:r>
        <w:rPr>
          <w:rFonts w:ascii="Arial" w:cs="Arial" w:eastAsia="Arial" w:hAnsi="Arial"/>
          <w:sz w:val="19"/>
          <w:szCs w:val="19"/>
          <w:color w:val="auto"/>
        </w:rPr>
        <w:t xml:space="preserve">, </w:t>
      </w:r>
      <w:r>
        <w:rPr>
          <w:rFonts w:ascii="Arial" w:cs="Arial" w:eastAsia="Arial" w:hAnsi="Arial"/>
          <w:sz w:val="19"/>
          <w:szCs w:val="19"/>
          <w:color w:val="231F20"/>
        </w:rPr>
        <w:t>right-of-use asset amortization of $2.0 million,</w:t>
      </w:r>
      <w:r>
        <w:rPr>
          <w:rFonts w:ascii="Arial" w:cs="Arial" w:eastAsia="Arial" w:hAnsi="Arial"/>
          <w:sz w:val="19"/>
          <w:szCs w:val="19"/>
          <w:color w:val="auto"/>
        </w:rPr>
        <w:t xml:space="preserve"> loss on disposal of property and equipment of </w:t>
      </w:r>
      <w:r>
        <w:rPr>
          <w:rFonts w:ascii="Arial" w:cs="Arial" w:eastAsia="Arial" w:hAnsi="Arial"/>
          <w:sz w:val="19"/>
          <w:szCs w:val="19"/>
          <w:color w:val="231F20"/>
        </w:rPr>
        <w:t>$0.4</w:t>
      </w:r>
      <w:r>
        <w:rPr>
          <w:rFonts w:ascii="Arial" w:cs="Arial" w:eastAsia="Arial" w:hAnsi="Arial"/>
          <w:sz w:val="19"/>
          <w:szCs w:val="19"/>
          <w:color w:val="auto"/>
        </w:rPr>
        <w:t xml:space="preserve"> </w:t>
      </w:r>
      <w:r>
        <w:rPr>
          <w:rFonts w:ascii="Arial" w:cs="Arial" w:eastAsia="Arial" w:hAnsi="Arial"/>
          <w:sz w:val="19"/>
          <w:szCs w:val="19"/>
          <w:color w:val="231F20"/>
        </w:rPr>
        <w:t>million</w:t>
      </w:r>
      <w:r>
        <w:rPr>
          <w:rFonts w:ascii="Arial" w:cs="Arial" w:eastAsia="Arial" w:hAnsi="Arial"/>
          <w:sz w:val="19"/>
          <w:szCs w:val="19"/>
          <w:color w:val="000000"/>
        </w:rPr>
        <w:t>, and amortization of debt discount and issuance cost of</w:t>
      </w:r>
      <w:r>
        <w:rPr>
          <w:rFonts w:ascii="Arial" w:cs="Arial" w:eastAsia="Arial" w:hAnsi="Arial"/>
          <w:sz w:val="19"/>
          <w:szCs w:val="19"/>
          <w:color w:val="231F20"/>
        </w:rPr>
        <w:t xml:space="preserve"> $0.1 million</w:t>
      </w:r>
      <w:r>
        <w:rPr>
          <w:rFonts w:ascii="Arial" w:cs="Arial" w:eastAsia="Arial" w:hAnsi="Arial"/>
          <w:sz w:val="19"/>
          <w:szCs w:val="19"/>
          <w:color w:val="000000"/>
        </w:rPr>
        <w:t>, offset by deferred tax benefit of</w:t>
      </w:r>
      <w:r>
        <w:rPr>
          <w:rFonts w:ascii="Arial" w:cs="Arial" w:eastAsia="Arial" w:hAnsi="Arial"/>
          <w:sz w:val="19"/>
          <w:szCs w:val="19"/>
          <w:color w:val="231F20"/>
        </w:rPr>
        <w:t xml:space="preserve"> $14.3 million, accretion of bond discount of $0.4 million </w:t>
      </w:r>
      <w:r>
        <w:rPr>
          <w:rFonts w:ascii="Arial" w:cs="Arial" w:eastAsia="Arial" w:hAnsi="Arial"/>
          <w:sz w:val="19"/>
          <w:szCs w:val="19"/>
          <w:color w:val="000000"/>
        </w:rPr>
        <w:t>and cash used by changes in operating assets and liabilities of</w:t>
      </w:r>
      <w:r>
        <w:rPr>
          <w:rFonts w:ascii="Arial" w:cs="Arial" w:eastAsia="Arial" w:hAnsi="Arial"/>
          <w:sz w:val="19"/>
          <w:szCs w:val="19"/>
          <w:color w:val="231F20"/>
        </w:rPr>
        <w:t xml:space="preserve"> $6.3 million</w:t>
      </w:r>
      <w:r>
        <w:rPr>
          <w:rFonts w:ascii="Arial" w:cs="Arial" w:eastAsia="Arial" w:hAnsi="Arial"/>
          <w:sz w:val="19"/>
          <w:szCs w:val="19"/>
          <w:color w:val="000000"/>
        </w:rPr>
        <w:t>. Cash generated from operating assets</w:t>
      </w:r>
      <w:r>
        <w:rPr>
          <w:rFonts w:ascii="Arial" w:cs="Arial" w:eastAsia="Arial" w:hAnsi="Arial"/>
          <w:sz w:val="19"/>
          <w:szCs w:val="19"/>
          <w:color w:val="231F20"/>
        </w:rPr>
        <w:t xml:space="preserve"> </w:t>
      </w:r>
      <w:r>
        <w:rPr>
          <w:rFonts w:ascii="Arial" w:cs="Arial" w:eastAsia="Arial" w:hAnsi="Arial"/>
          <w:sz w:val="19"/>
          <w:szCs w:val="19"/>
          <w:color w:val="000000"/>
        </w:rPr>
        <w:t xml:space="preserve">and liabilities included an increase in accrued expenses and other liabilities of </w:t>
      </w:r>
      <w:r>
        <w:rPr>
          <w:rFonts w:ascii="Arial" w:cs="Arial" w:eastAsia="Arial" w:hAnsi="Arial"/>
          <w:sz w:val="19"/>
          <w:szCs w:val="19"/>
          <w:color w:val="231F20"/>
        </w:rPr>
        <w:t>$1.6 million, and</w:t>
      </w:r>
      <w:r>
        <w:rPr>
          <w:rFonts w:ascii="Arial" w:cs="Arial" w:eastAsia="Arial" w:hAnsi="Arial"/>
          <w:sz w:val="19"/>
          <w:szCs w:val="19"/>
          <w:color w:val="000000"/>
        </w:rPr>
        <w:t xml:space="preserve"> a decrease in deferred costs of </w:t>
      </w:r>
      <w:r>
        <w:rPr>
          <w:rFonts w:ascii="Arial" w:cs="Arial" w:eastAsia="Arial" w:hAnsi="Arial"/>
          <w:sz w:val="19"/>
          <w:szCs w:val="19"/>
          <w:color w:val="231F20"/>
        </w:rPr>
        <w:t>$1.3 million</w:t>
      </w:r>
      <w:r>
        <w:rPr>
          <w:rFonts w:ascii="Arial" w:cs="Arial" w:eastAsia="Arial" w:hAnsi="Arial"/>
          <w:sz w:val="19"/>
          <w:szCs w:val="19"/>
          <w:color w:val="000000"/>
        </w:rPr>
        <w:t xml:space="preserve">. Offsetting these cash generating items in assets and liabilities were an increase in prepaid expenses and other assets of </w:t>
      </w:r>
      <w:r>
        <w:rPr>
          <w:rFonts w:ascii="Arial" w:cs="Arial" w:eastAsia="Arial" w:hAnsi="Arial"/>
          <w:sz w:val="19"/>
          <w:szCs w:val="19"/>
          <w:color w:val="231F20"/>
        </w:rPr>
        <w:t>$3.6 million</w:t>
      </w:r>
      <w:r>
        <w:rPr>
          <w:rFonts w:ascii="Arial" w:cs="Arial" w:eastAsia="Arial" w:hAnsi="Arial"/>
          <w:sz w:val="19"/>
          <w:szCs w:val="19"/>
          <w:color w:val="000000"/>
        </w:rPr>
        <w:t xml:space="preserve">, an increase in accounts receivable of </w:t>
      </w:r>
      <w:r>
        <w:rPr>
          <w:rFonts w:ascii="Arial" w:cs="Arial" w:eastAsia="Arial" w:hAnsi="Arial"/>
          <w:sz w:val="19"/>
          <w:szCs w:val="19"/>
          <w:color w:val="231F20"/>
        </w:rPr>
        <w:t>$2.7 million</w:t>
      </w:r>
      <w:r>
        <w:rPr>
          <w:rFonts w:ascii="Arial" w:cs="Arial" w:eastAsia="Arial" w:hAnsi="Arial"/>
          <w:sz w:val="19"/>
          <w:szCs w:val="19"/>
          <w:color w:val="000000"/>
        </w:rPr>
        <w:t xml:space="preserve">, </w:t>
      </w:r>
      <w:r>
        <w:rPr>
          <w:rFonts w:ascii="Arial" w:cs="Arial" w:eastAsia="Arial" w:hAnsi="Arial"/>
          <w:sz w:val="19"/>
          <w:szCs w:val="19"/>
          <w:color w:val="231F20"/>
        </w:rPr>
        <w:t>a decrease in operating right-of-use liability of $1.7 million,</w:t>
      </w:r>
      <w:r>
        <w:rPr>
          <w:rFonts w:ascii="Arial" w:cs="Arial" w:eastAsia="Arial" w:hAnsi="Arial"/>
          <w:sz w:val="19"/>
          <w:szCs w:val="19"/>
          <w:color w:val="000000"/>
        </w:rPr>
        <w:t xml:space="preserve"> a decrease in deferred revenue of </w:t>
      </w:r>
      <w:r>
        <w:rPr>
          <w:rFonts w:ascii="Arial" w:cs="Arial" w:eastAsia="Arial" w:hAnsi="Arial"/>
          <w:sz w:val="19"/>
          <w:szCs w:val="19"/>
          <w:color w:val="231F20"/>
        </w:rPr>
        <w:t>$1.1 million, and a decrease in accounts payable of $0.1 million</w:t>
      </w:r>
      <w:r>
        <w:rPr>
          <w:rFonts w:ascii="Arial" w:cs="Arial" w:eastAsia="Arial" w:hAnsi="Arial"/>
          <w:sz w:val="19"/>
          <w:szCs w:val="19"/>
          <w:color w:val="000000"/>
        </w:rPr>
        <w:t>.</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For the six months ended June 30, 2020, </w:t>
      </w:r>
      <w:r>
        <w:rPr>
          <w:rFonts w:ascii="Arial" w:cs="Arial" w:eastAsia="Arial" w:hAnsi="Arial"/>
          <w:sz w:val="18"/>
          <w:szCs w:val="18"/>
          <w:color w:val="231F20"/>
        </w:rPr>
        <w:t>cash used in investing activities was $239.8 million from the purchase of other investments</w:t>
      </w:r>
      <w:r>
        <w:rPr>
          <w:rFonts w:ascii="Arial" w:cs="Arial" w:eastAsia="Arial" w:hAnsi="Arial"/>
          <w:sz w:val="18"/>
          <w:szCs w:val="18"/>
          <w:color w:val="auto"/>
        </w:rPr>
        <w:t xml:space="preserve"> </w:t>
      </w:r>
      <w:r>
        <w:rPr>
          <w:rFonts w:ascii="Arial" w:cs="Arial" w:eastAsia="Arial" w:hAnsi="Arial"/>
          <w:sz w:val="18"/>
          <w:szCs w:val="18"/>
          <w:color w:val="231F20"/>
        </w:rPr>
        <w:t>of $230.8 million, the purchase of property and equipment of $7.6 million and capitalized internally developed software costs of $1.5 million.</w:t>
      </w:r>
    </w:p>
    <w:p>
      <w:pPr>
        <w:spacing w:after="0" w:line="7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For the six months ended June 30, 2019, cash used in investing activities was </w:t>
      </w:r>
      <w:r>
        <w:rPr>
          <w:rFonts w:ascii="Arial" w:cs="Arial" w:eastAsia="Arial" w:hAnsi="Arial"/>
          <w:sz w:val="20"/>
          <w:szCs w:val="20"/>
          <w:color w:val="231F20"/>
        </w:rPr>
        <w:t>$47.5 million</w:t>
      </w:r>
      <w:r>
        <w:rPr>
          <w:rFonts w:ascii="Arial" w:cs="Arial" w:eastAsia="Arial" w:hAnsi="Arial"/>
          <w:sz w:val="20"/>
          <w:szCs w:val="20"/>
          <w:color w:val="auto"/>
        </w:rPr>
        <w:t xml:space="preserve"> from the investment in marketable securities of </w:t>
      </w:r>
      <w:r>
        <w:rPr>
          <w:rFonts w:ascii="Arial" w:cs="Arial" w:eastAsia="Arial" w:hAnsi="Arial"/>
          <w:sz w:val="20"/>
          <w:szCs w:val="20"/>
          <w:color w:val="231F20"/>
        </w:rPr>
        <w:t>$55.9 million</w:t>
      </w:r>
      <w:r>
        <w:rPr>
          <w:rFonts w:ascii="Arial" w:cs="Arial" w:eastAsia="Arial" w:hAnsi="Arial"/>
          <w:sz w:val="20"/>
          <w:szCs w:val="20"/>
          <w:color w:val="auto"/>
        </w:rPr>
        <w:t xml:space="preserve">, the purchase of property and equipment of </w:t>
      </w:r>
      <w:r>
        <w:rPr>
          <w:rFonts w:ascii="Arial" w:cs="Arial" w:eastAsia="Arial" w:hAnsi="Arial"/>
          <w:sz w:val="20"/>
          <w:szCs w:val="20"/>
          <w:color w:val="231F20"/>
        </w:rPr>
        <w:t>$7.9 million</w:t>
      </w:r>
      <w:r>
        <w:rPr>
          <w:rFonts w:ascii="Arial" w:cs="Arial" w:eastAsia="Arial" w:hAnsi="Arial"/>
          <w:sz w:val="20"/>
          <w:szCs w:val="20"/>
          <w:color w:val="auto"/>
        </w:rPr>
        <w:t xml:space="preserve"> and capitalized internally developed software costs of </w:t>
      </w:r>
      <w:r>
        <w:rPr>
          <w:rFonts w:ascii="Arial" w:cs="Arial" w:eastAsia="Arial" w:hAnsi="Arial"/>
          <w:sz w:val="20"/>
          <w:szCs w:val="20"/>
          <w:color w:val="231F20"/>
        </w:rPr>
        <w:t>$1.7 million</w:t>
      </w:r>
      <w:r>
        <w:rPr>
          <w:rFonts w:ascii="Arial" w:cs="Arial" w:eastAsia="Arial" w:hAnsi="Arial"/>
          <w:sz w:val="20"/>
          <w:szCs w:val="20"/>
          <w:color w:val="000000"/>
        </w:rPr>
        <w:t>, partially offset by maturities of marketable securities of</w:t>
      </w:r>
      <w:r>
        <w:rPr>
          <w:rFonts w:ascii="Arial" w:cs="Arial" w:eastAsia="Arial" w:hAnsi="Arial"/>
          <w:sz w:val="20"/>
          <w:szCs w:val="20"/>
          <w:color w:val="231F20"/>
        </w:rPr>
        <w:t xml:space="preserve"> $18.0 million</w:t>
      </w:r>
      <w:r>
        <w:rPr>
          <w:rFonts w:ascii="Arial" w:cs="Arial" w:eastAsia="Arial" w:hAnsi="Arial"/>
          <w:sz w:val="20"/>
          <w:szCs w:val="20"/>
          <w:color w:val="000000"/>
        </w:rPr>
        <w:t>.</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six months ended June 30, 2020, </w:t>
      </w:r>
      <w:r>
        <w:rPr>
          <w:rFonts w:ascii="Arial" w:cs="Arial" w:eastAsia="Arial" w:hAnsi="Arial"/>
          <w:sz w:val="20"/>
          <w:szCs w:val="20"/>
          <w:color w:val="231F20"/>
        </w:rPr>
        <w:t>cash provided by financing activities was $347.1 million consisting primarily of $400.0</w:t>
      </w:r>
      <w:r>
        <w:rPr>
          <w:rFonts w:ascii="Arial" w:cs="Arial" w:eastAsia="Arial" w:hAnsi="Arial"/>
          <w:sz w:val="20"/>
          <w:szCs w:val="20"/>
          <w:color w:val="auto"/>
        </w:rPr>
        <w:t xml:space="preserve"> </w:t>
      </w:r>
      <w:r>
        <w:rPr>
          <w:rFonts w:ascii="Arial" w:cs="Arial" w:eastAsia="Arial" w:hAnsi="Arial"/>
          <w:sz w:val="20"/>
          <w:szCs w:val="20"/>
          <w:color w:val="231F20"/>
        </w:rPr>
        <w:t>million in proceeds from issuance of the Convertible Notes and $3.5 million in proceeds from the issuance of stock options, partially offset by $43.3 million in the purchase of the Capped Calls, $11.9 million in payments of debt issuance costs and $1.2 million in value of equity awards withheld for tax liabilities.</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six months ended June 30, 2019, cash provided by financing activities was </w:t>
      </w:r>
      <w:r>
        <w:rPr>
          <w:rFonts w:ascii="Arial" w:cs="Arial" w:eastAsia="Arial" w:hAnsi="Arial"/>
          <w:sz w:val="20"/>
          <w:szCs w:val="20"/>
          <w:color w:val="231F20"/>
        </w:rPr>
        <w:t>$151.9 million</w:t>
      </w:r>
      <w:r>
        <w:rPr>
          <w:rFonts w:ascii="Arial" w:cs="Arial" w:eastAsia="Arial" w:hAnsi="Arial"/>
          <w:sz w:val="20"/>
          <w:szCs w:val="20"/>
          <w:color w:val="auto"/>
        </w:rPr>
        <w:t xml:space="preserve"> consisting primarily of </w:t>
      </w:r>
      <w:r>
        <w:rPr>
          <w:rFonts w:ascii="Arial" w:cs="Arial" w:eastAsia="Arial" w:hAnsi="Arial"/>
          <w:sz w:val="20"/>
          <w:szCs w:val="20"/>
          <w:color w:val="231F20"/>
        </w:rPr>
        <w:t>$147.4</w:t>
      </w:r>
      <w:r>
        <w:rPr>
          <w:rFonts w:ascii="Arial" w:cs="Arial" w:eastAsia="Arial" w:hAnsi="Arial"/>
          <w:sz w:val="20"/>
          <w:szCs w:val="20"/>
          <w:color w:val="auto"/>
        </w:rPr>
        <w:t xml:space="preserve"> </w:t>
      </w:r>
      <w:r>
        <w:rPr>
          <w:rFonts w:ascii="Arial" w:cs="Arial" w:eastAsia="Arial" w:hAnsi="Arial"/>
          <w:sz w:val="20"/>
          <w:szCs w:val="20"/>
          <w:color w:val="231F20"/>
        </w:rPr>
        <w:t xml:space="preserve">million </w:t>
      </w:r>
      <w:r>
        <w:rPr>
          <w:rFonts w:ascii="Arial" w:cs="Arial" w:eastAsia="Arial" w:hAnsi="Arial"/>
          <w:sz w:val="20"/>
          <w:szCs w:val="20"/>
          <w:color w:val="000000"/>
        </w:rPr>
        <w:t>in proceeds from the follow-on public offering,</w:t>
      </w:r>
      <w:r>
        <w:rPr>
          <w:rFonts w:ascii="Arial" w:cs="Arial" w:eastAsia="Arial" w:hAnsi="Arial"/>
          <w:sz w:val="20"/>
          <w:szCs w:val="20"/>
          <w:color w:val="231F20"/>
        </w:rPr>
        <w:t xml:space="preserve"> $6.4 million </w:t>
      </w:r>
      <w:r>
        <w:rPr>
          <w:rFonts w:ascii="Arial" w:cs="Arial" w:eastAsia="Arial" w:hAnsi="Arial"/>
          <w:sz w:val="20"/>
          <w:szCs w:val="20"/>
          <w:color w:val="000000"/>
        </w:rPr>
        <w:t>in proceeds from the exercises of stock options, partially offset by</w:t>
      </w:r>
      <w:r>
        <w:rPr>
          <w:rFonts w:ascii="Arial" w:cs="Arial" w:eastAsia="Arial" w:hAnsi="Arial"/>
          <w:sz w:val="20"/>
          <w:szCs w:val="20"/>
          <w:color w:val="231F20"/>
        </w:rPr>
        <w:t xml:space="preserve"> $0.9 million </w:t>
      </w:r>
      <w:r>
        <w:rPr>
          <w:rFonts w:ascii="Arial" w:cs="Arial" w:eastAsia="Arial" w:hAnsi="Arial"/>
          <w:sz w:val="20"/>
          <w:szCs w:val="20"/>
          <w:color w:val="000000"/>
        </w:rPr>
        <w:t>in value of equity awards withheld for tax liabilities,</w:t>
      </w:r>
      <w:r>
        <w:rPr>
          <w:rFonts w:ascii="Arial" w:cs="Arial" w:eastAsia="Arial" w:hAnsi="Arial"/>
          <w:sz w:val="20"/>
          <w:szCs w:val="20"/>
          <w:color w:val="231F20"/>
        </w:rPr>
        <w:t xml:space="preserve"> $0.8 million </w:t>
      </w:r>
      <w:r>
        <w:rPr>
          <w:rFonts w:ascii="Arial" w:cs="Arial" w:eastAsia="Arial" w:hAnsi="Arial"/>
          <w:sz w:val="20"/>
          <w:szCs w:val="20"/>
          <w:color w:val="000000"/>
        </w:rPr>
        <w:t>in payments related to the cost of the follow-on public offering and</w:t>
      </w:r>
      <w:r>
        <w:rPr>
          <w:rFonts w:ascii="Arial" w:cs="Arial" w:eastAsia="Arial" w:hAnsi="Arial"/>
          <w:sz w:val="20"/>
          <w:szCs w:val="20"/>
          <w:color w:val="231F20"/>
        </w:rPr>
        <w:t xml:space="preserve"> $0.1 million </w:t>
      </w:r>
      <w:r>
        <w:rPr>
          <w:rFonts w:ascii="Arial" w:cs="Arial" w:eastAsia="Arial" w:hAnsi="Arial"/>
          <w:sz w:val="20"/>
          <w:szCs w:val="20"/>
          <w:color w:val="000000"/>
        </w:rPr>
        <w:t>in payments of debt issuance costs.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February 25, 2020, we entered into a waiver agreement, with respect to our revolving loan (the “Credit Facility”) with KeyBank National Association and Pacific Western Bank, which provides for consent to accommodate the issuance of the Convertible Notes and the Capped Calls. The waiver agreement requires us to covenant with KeyBank National Association and Pacific Western Bank to deposit an amount of funds into a controlled account, which will restrict the ability to use such funds until the Credit Facility is paid in full or terminated. If we fail to comply with these covenants or to make payments under its indebtedness when due, we would be in default under that indebtedness, which could, in turn, result in that indebtedness becoming immediately payable in full.</w:t>
      </w:r>
    </w:p>
    <w:p>
      <w:pPr>
        <w:spacing w:after="0" w:line="12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 we had $0 outstanding under the Credit Facility and were in compliance with all financial and non-financial</w:t>
      </w:r>
      <w:r>
        <w:rPr>
          <w:rFonts w:ascii="Arial" w:cs="Arial" w:eastAsia="Arial" w:hAnsi="Arial"/>
          <w:sz w:val="18"/>
          <w:szCs w:val="18"/>
          <w:color w:val="231F20"/>
        </w:rPr>
        <w:t xml:space="preserve"> </w:t>
      </w:r>
      <w:r>
        <w:rPr>
          <w:rFonts w:ascii="Arial" w:cs="Arial" w:eastAsia="Arial" w:hAnsi="Arial"/>
          <w:sz w:val="18"/>
          <w:szCs w:val="18"/>
          <w:color w:val="000000"/>
        </w:rPr>
        <w:t>covenants for all periods presented. The available borrowing capacity under our Credit Facility was $25.0 million as of June 30, 2020.</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June 30, 2020, the outstanding unamortized loan fees for the Credit Facility were $0.1 million and were included in prepaid expenses and other current assets, and other long-term assets in our consolidated balance sheets.</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February 28, 2020, we issued $400.0 million aggregate principal amount of 0.25% convertible senior notes due 2026 (the “Convertible Notes”) in a private placement to qualified institutional buyers pursuant to Rule 144A under the Securities Act, including $50.0 million aggregate principal amount of such Convertible Notes pursuant to the exercise in full of the initial purchasers’ over-allotment option. The interest on the Convertible Notes is payable semi-annually in arrears on March 1 and September 1 of each year, beginning on September 1, 2020.</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Convertible Notes may bear special interest under specified circumstances relating to our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us, or converted pursuant to their terms. The total net proceeds from the Convertible Notes, after deducting initial purchaser discounts, costs related to the Capped Calls, and debt issuance costs, paid or payable by us, were approximately $344.8 million.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June 30,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More</w:t>
            </w: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than 1</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1 to 3</w:t>
            </w:r>
          </w:p>
        </w:tc>
        <w:tc>
          <w:tcPr>
            <w:tcW w:w="28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3 to 5</w:t>
            </w:r>
          </w:p>
        </w:tc>
        <w:tc>
          <w:tcPr>
            <w:tcW w:w="28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than 5</w:t>
            </w:r>
          </w:p>
        </w:tc>
      </w:tr>
      <w:tr>
        <w:trPr>
          <w:trHeight w:val="234"/>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28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Convertible Notes (2)</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400,000</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 (3)</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37"/>
        </w:trPr>
        <w:tc>
          <w:tcPr>
            <w:tcW w:w="37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435,039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17,279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400,003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17145</wp:posOffset>
            </wp:positionV>
            <wp:extent cx="4740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-95885</wp:posOffset>
            </wp:positionV>
            <wp:extent cx="47402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5"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right="20" w:firstLine="656"/>
        <w:spacing w:after="0" w:line="251" w:lineRule="auto"/>
        <w:tabs>
          <w:tab w:leader="none" w:pos="926"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 xml:space="preserve">See Note 8, </w:t>
      </w:r>
      <w:r>
        <w:rPr>
          <w:rFonts w:ascii="Arial" w:cs="Arial" w:eastAsia="Arial" w:hAnsi="Arial"/>
          <w:sz w:val="19"/>
          <w:szCs w:val="19"/>
          <w:color w:val="000000"/>
        </w:rPr>
        <w:t>“</w:t>
      </w:r>
      <w:r>
        <w:rPr>
          <w:rFonts w:ascii="Arial" w:cs="Arial" w:eastAsia="Arial" w:hAnsi="Arial"/>
          <w:sz w:val="18"/>
          <w:szCs w:val="18"/>
          <w:color w:val="231F20"/>
        </w:rPr>
        <w:t>Debt</w:t>
      </w:r>
      <w:r>
        <w:rPr>
          <w:rFonts w:ascii="Arial" w:cs="Arial" w:eastAsia="Arial" w:hAnsi="Arial"/>
          <w:sz w:val="19"/>
          <w:szCs w:val="19"/>
          <w:color w:val="000000"/>
        </w:rPr>
        <w:t>”</w:t>
      </w:r>
      <w:r>
        <w:rPr>
          <w:rFonts w:ascii="Arial" w:cs="Arial" w:eastAsia="Arial" w:hAnsi="Arial"/>
          <w:sz w:val="18"/>
          <w:szCs w:val="18"/>
          <w:color w:val="231F20"/>
        </w:rPr>
        <w:t xml:space="preserve"> to the condensed consolidated financial statements included elsewhere in this Quarterly Report on Form 10-Q, for a discussion of our Convertible Notes.</w:t>
      </w:r>
    </w:p>
    <w:p>
      <w:pPr>
        <w:ind w:right="20" w:firstLine="656"/>
        <w:spacing w:after="0" w:line="260"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Purchase obligations represent total non-cancelable purchase commitments and future minimum payments under contracts to various service providers, excluding agreements that are cancellable without penalty.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We have not entered into any off-balance sheet arrangements and do not have any holdings in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21, 2020.</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rates and inflation.</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$291.0 million and other investments of $230.8 million as of June 30, 2020, which were held for working capital purposes. Our cash and cash equivalents are comprised primarily of interest bearing checking accounts, money market accounts and time deposits. Other investments consist of time deposits with greater than 90 days to maturity.</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debt is comprised in part of a Credit Facility, which had no amount outstanding as of June 30, 2020. Loans under the credit agreement governing the Credit Facility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consolidated financial statements.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2020, we issued $400.0 million aggregate principal amount of Convertible Notes.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customers consume our services primarily in the United States. Our revenue and expenses are primarily denominated in U.S.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dollars and as a result we have minimal foreign currency risk as of June 30, 2020.</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local currencies of our foreign subsidiaries are the Euro and the British Pound.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(expense), net in our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Controls and Procedures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Arial" w:cs="Arial" w:eastAsia="Arial" w:hAnsi="Arial"/>
          <w:sz w:val="20"/>
          <w:szCs w:val="20"/>
          <w:color w:val="000000"/>
        </w:rPr>
        <w:t>June 30, 2020</w:t>
      </w:r>
      <w:r>
        <w:rPr>
          <w:rFonts w:ascii="Arial" w:cs="Arial" w:eastAsia="Arial" w:hAnsi="Arial"/>
          <w:sz w:val="20"/>
          <w:szCs w:val="20"/>
          <w:color w:val="231F20"/>
        </w:rPr>
        <w:t>, that have materially affected, or are reasonably likely to materially affect, our internal control over financial reporting.</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Inherent limitation on the effectiveness of internal control</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68"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137"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8"/>
          <w:szCs w:val="18"/>
          <w:color w:val="auto"/>
        </w:rPr>
        <w:t>The following county or municipal governments have named us in lawsuits associated with the collection and remittance of 911 taxes and surcharges that remain unresolved: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We filed a motion to dismiss the New York Case on February 14, 2020.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August 2016, we received a Civil Investigative Demand from the Consumer Protection Division of the North Carolina Department of Justice relating to the billing, collection and remission of certain taxes and surcharges associated with 911 service pursuant to applicable laws of the State of North Carolina. We have not been served with a complaint in connection with that investigation.</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success of our growth and expansion plans depends on a number of factors that are beyond our control.</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retention of qualified and effective personnel with the expertise required to sell and operate effectively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successfully;</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w:t>
      </w:r>
    </w:p>
    <w:p>
      <w:pPr>
        <w:spacing w:after="0" w:line="161" w:lineRule="exact"/>
        <w:rPr>
          <w:rFonts w:ascii="Arial" w:cs="Arial" w:eastAsia="Arial" w:hAnsi="Arial"/>
          <w:sz w:val="20"/>
          <w:szCs w:val="20"/>
          <w:color w:val="auto"/>
        </w:rPr>
      </w:pPr>
    </w:p>
    <w:p>
      <w:pPr>
        <w:jc w:val="both"/>
        <w:ind w:right="20" w:firstLine="656"/>
        <w:spacing w:after="0" w:line="250" w:lineRule="auto"/>
        <w:tabs>
          <w:tab w:leader="none" w:pos="1284" w:val="left"/>
        </w:tabs>
        <w:numPr>
          <w:ilvl w:val="0"/>
          <w:numId w:val="16"/>
        </w:numPr>
        <w:rPr>
          <w:rFonts w:ascii="Arial" w:cs="Arial" w:eastAsia="Arial" w:hAnsi="Arial"/>
          <w:sz w:val="20"/>
          <w:szCs w:val="20"/>
          <w:color w:val="auto"/>
        </w:rPr>
      </w:pPr>
      <w:r>
        <w:rPr>
          <w:rFonts w:ascii="Arial" w:cs="Arial" w:eastAsia="Arial" w:hAnsi="Arial"/>
          <w:sz w:val="20"/>
          <w:szCs w:val="20"/>
          <w:color w:val="auto"/>
        </w:rPr>
        <w:t>federal, state and international regulatory conditions, including the maintenance of state regulation that protects us from unfair business practices by traditional network service providers or others with greater market power who have relationships with us as both competitors and suppliers; and</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changes in industry standards, laws, regulations, or regulatory enforcement in the United States and internationally.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recent COVID-19 pandemic and the global attempt to contain it may harm our business and results of operations.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global spread of COVID-19 and the various measures to contain its effects have created significant volatility, uncertainty, and economic disruption worldwide. The pandemic has severely curtailed all travel and most of our employees now work from home, which disrupts how we typically operate. We may experience slowdowns in customer payments, increased customer churn, and reduced usage of our Bandwidth Communications Platform by some customers.</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extent to which the COVID-19 pandemic impacts our business, operations and financial results will depend on numerous evolving factors that we may not be able to accurately predict. These include: the duration and scope of the pandemic; governmental, business and individual actions that have been and continue to be taken in response to the pandemic; the effect on our customers, customer demand for our services, and our customers’ ability to pay for our services; disruptions to or restrictions on our employees’ ability to work and travel; and any effects of the pandemic on our customers, suppliers and vendors. If we need to access the capital markets and other sources of liquidity, there can be no assurance that financing may be available on attractive terms, if at all.</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26" w:lineRule="exact"/>
        <w:rPr>
          <w:sz w:val="20"/>
          <w:szCs w:val="20"/>
          <w:color w:val="auto"/>
        </w:rPr>
      </w:pPr>
    </w:p>
    <w:p>
      <w:pPr>
        <w:ind w:firstLine="656"/>
        <w:spacing w:after="0" w:line="260" w:lineRule="auto"/>
        <w:tabs>
          <w:tab w:leader="none" w:pos="1284" w:val="left"/>
        </w:tabs>
        <w:numPr>
          <w:ilvl w:val="0"/>
          <w:numId w:val="17"/>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channels we currently use. As we add to or change the mix of our marketing strategies, we may need to expand into more expensive channels than those we are currently in, which could adversely affect our business, results of operations and financial condition. We also cannot predict the extent to which COVID-19 may cause us to adjust how we promote our services, including adjustments to our use of marketing channels.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geopolitical developments, global pandemics, or other causes. If our market does not experience significant growth or demand for our services and platform decreases, then our business, results of operations and financial condition could be adversely affected.</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are not able to expand the available capacity on our network to meet our customers’ demands in a timely manner;</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do not develop new large enterprise customers;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then we may be unable to increase or maintain our revenue at acceptable margins.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3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3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Bandwidth Communications Platform to adapt to changes and innovation in these technologies. Wireline and wireless telephone providers or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particularly if governmental responses to COVID-19 require that many of our employees work remotely for a prolonged period of time.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pricing and billing systems are complex and errors could adversely affect our revenue and profits.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continue to develop effective business support systems to implement customer orders and to provide and bill for services.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1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resulting from COVID-19, we have attended planned customer and industry events as virtual-only experiences and cancelled others. We may alter, postpone, or cancel other events in the future. Virtual meetings, events and interactions may not be as successful and may constrain our marketing, promotional and sales activity.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2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launching our operations internationally, which exposes us to significant risks.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part of our growth strategy, we are expanding our operations to include international offerings, including the deployment of two data centers in Frankfurt and London, the establishment of a limited presence in each of Frankfurt and Madrid primarily for regulatory purposes, and the employment of our first internationally based employee.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we will face risks in doing business internationally that could adversely affect our business, including: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46"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exposure to political developments in the United Kingdom (“U.K.”), including the January 2020 departure of the U.K. from the European Union (“EU”),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w:t>
      </w:r>
    </w:p>
    <w:p>
      <w:pPr>
        <w:spacing w:after="0" w:line="137"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effectively price our products in competitive international markets;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new and different sources of competition;</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costs associated with network service providers outside of the United States;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need to adapt and localize our products for specific countries;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foreign jurisdictions, particularly in the areas of data privacy and security;</w:t>
      </w:r>
    </w:p>
    <w:p>
      <w:pPr>
        <w:spacing w:after="0" w:line="122" w:lineRule="exact"/>
        <w:rPr>
          <w:rFonts w:ascii="Arial" w:cs="Arial" w:eastAsia="Arial" w:hAnsi="Arial"/>
          <w:sz w:val="20"/>
          <w:szCs w:val="20"/>
          <w:color w:val="auto"/>
        </w:rPr>
      </w:pPr>
    </w:p>
    <w:p>
      <w:pPr>
        <w:ind w:right="20" w:firstLine="656"/>
        <w:spacing w:after="0" w:line="287" w:lineRule="auto"/>
        <w:tabs>
          <w:tab w:leader="none" w:pos="1284" w:val="left"/>
        </w:tabs>
        <w:numPr>
          <w:ilvl w:val="0"/>
          <w:numId w:val="21"/>
        </w:numPr>
        <w:rPr>
          <w:rFonts w:ascii="Arial" w:cs="Arial" w:eastAsia="Arial" w:hAnsi="Arial"/>
          <w:sz w:val="19"/>
          <w:szCs w:val="19"/>
          <w:color w:val="auto"/>
        </w:rPr>
      </w:pPr>
      <w:r>
        <w:rPr>
          <w:rFonts w:ascii="Arial" w:cs="Arial" w:eastAsia="Arial" w:hAnsi="Arial"/>
          <w:sz w:val="19"/>
          <w:szCs w:val="19"/>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8" w:lineRule="exact"/>
        <w:rPr>
          <w:rFonts w:ascii="Arial" w:cs="Arial" w:eastAsia="Arial" w:hAnsi="Arial"/>
          <w:sz w:val="19"/>
          <w:szCs w:val="19"/>
          <w:color w:val="auto"/>
        </w:rPr>
      </w:pPr>
    </w:p>
    <w:p>
      <w:pPr>
        <w:ind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22"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compliance with various anti-bribery and anti-corruption laws, such as the U.S. Foreign Corrupt Practices Act and U.K. Bribery Act 2010;</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international trade policies, tariffs and other non-tariff barriers, such as quotas;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more limited protection for intellectual property rights in some countries;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adverse tax consequences;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currency control regulations, which might restrict or prohibit our conversion of other currencies into U.S. dollars;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deterioration of political relations between the United States and other countries;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public health epidemics, such as COVID-19, or natural disasters, which could have an adverse impact on our employees, contractors, customers, partners, travel and the global economy; and</w:t>
      </w:r>
    </w:p>
    <w:p>
      <w:pPr>
        <w:spacing w:after="0" w:line="122" w:lineRule="exact"/>
        <w:rPr>
          <w:rFonts w:ascii="Arial" w:cs="Arial" w:eastAsia="Arial" w:hAnsi="Arial"/>
          <w:sz w:val="20"/>
          <w:szCs w:val="20"/>
          <w:color w:val="auto"/>
        </w:rPr>
      </w:pPr>
    </w:p>
    <w:p>
      <w:pPr>
        <w:ind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 which could have an adverse impact on our operations in that location.</w:t>
      </w:r>
    </w:p>
    <w:p>
      <w:pPr>
        <w:spacing w:after="0" w:line="12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addition, due to potential costs from our international expansion efforts and network service provider fees outside of the United States, our gross margin for international customers may be lower than our gross margin for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domestic customers. As a result, our gross margin may fluctuate as we expand our operations and customer base internationally.</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failure to manage any of these risks successfully could delay our international expansion or, once developed, harm our international operations,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 is concentrated in a limited number of enterprise customers.</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Cyber-attacks may cause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along with many other telecommunications companies and similar service providers, currently are subject to litigation regarding our billing, collection and remittance of non-income-based taxes and other similar charges regarding 911 services alleged to apply in certain states, counties, and municipalities located in Illinois, New York, North Carolina,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customer consent. This may result in civil claims against us, including those arising due to our customers’ use of our platform, and requests for information through third-party subpoenas or regulatory investigations.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obtaining proper customer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can use our platform, although we cannot always conduct proactive audits of our customers thereafter to confirm compliance with our practices and policies, including our Acceptable Use Policy. We rely on our customers’ contractual representations to us that their use of our platform will comply with applicable law and our practices and policies.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or otherwise expend resources to remedy any damages caused by such actions and avoid future liability.</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current or future regulations change, the FCC, state or international regulators may not grant us required regulatory authorizations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Proceedings before the FCC could limit our access to various network services or further increase the rates we must pay for such services. For example, the availability and price of special access facilities could be affected by proceedings before the FCC, changes to applicable FCC rules, and FCC forbearance from the enforcement of obligations on incumbent LECs. Other proceedings before the FCC could 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The FCC also decided to give its order retroactive effect. We cannot predict the impact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effects of increased regulation of IP-based service providers are unknown.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While the FCC has to date generally subjected IP-based service providers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must obtain and maintain permits and licenses to operate our network.</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 services, interconnection, illegal robocalling and other areas, in general or particular to our industry, may increase costs, restrict operations or decrease revenue. For example, the recently enacted TRACED Act aims to mitigate illegal robocalls by directing the FCC develop rules requiring participation in the technical standard known as STIR/SHAKEN among other things. As we expand internationally, we are also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Many existing foreign laws and regulations may not fully contemplate CPaaS solutions. The interpretation and enforcement of foreign laws and regulations may involve significant uncertainties. Future legislative, regulatory or judicial actions impacting CPaaS solutions also could increase the cost and complexity of compliance and expose us to liability.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In October 2019, a three judge panel of the U.S. Court of Appeals for the District of Columbia Circuit issued a decision that largely affirmed the FCC's order, including the reclassification of broadband Internet access as an information service. The court, however, vacated the FCC’s decision that would have prospectively barred states from imposing any rule or requirement that was inconsistent with the FCC's order. The appellate court's decision is subject to rehearing by the full court or parties may seek to appeal the decision to the United States Supreme Court. Various companies appealed the federal court of appeals decision in December 2019. We cannot predict whether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2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2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is subject to complex and evolving foreign laws and regulations regarding privacy, data protection and other matters relating to information collection.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regulations and directives and we may be subject to significant consequences, including penalties and fines, for our failure to comply.</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example, as of May 25, 2018, the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1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In addition, recent legal developments in Europe have created complexity and compliance uncertainty regarding certain transfers of information from the EU to the United States. On July 16, 2020, the Court of Justice of the European Union (the “CJEU”) invalidated the</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Privacy Shield Framework. The CJEU also imposed substantial requirements upon the continued use of standard contractual clauses for data transfers from the EU to the United States, which may make the use of standard contractual clauses difficult or impossible to use under some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circumstances. We and our customers are at risk of enforcement actions taken by European regulators until such point in time that we are able to ensure that all data transfers to us from the EU are legitimized. We also may encounter additional complexity with respect to data privacy and data transfers from the U.K. resulting from the U.K.’s transition out of the EU. If we are unable to transfer PII between and among countries and regions in which we may operate in the future, it could affect the manner in which we provide our services or could adversely affect our financial results.</w:t>
      </w:r>
    </w:p>
    <w:p>
      <w:pPr>
        <w:spacing w:after="0" w:line="1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1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addition, in order to procure, distribute and retain telephone numbers in the EU and the U.K.,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registered or obtained licenses, or are in the process of registering or obtaining licenses,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As we launch and expand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385"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As we launch and expand our international offerings, 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Indemnity provisions in various agreements potentially expose us to substantial liability for intellectual property infringement and other losses.</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liable for the information that content owners or distributors distribute over our network.</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33"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40"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firstLine="656"/>
        <w:spacing w:after="0" w:line="260" w:lineRule="auto"/>
        <w:tabs>
          <w:tab w:leader="none" w:pos="1284"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a power loss or Internet access interruption experienced by a customer, our service may be interrupted.</w:t>
      </w:r>
    </w:p>
    <w:p>
      <w:pPr>
        <w:spacing w:after="0" w:line="184" w:lineRule="exact"/>
        <w:rPr>
          <w:rFonts w:ascii="Arial" w:cs="Arial" w:eastAsia="Arial" w:hAnsi="Arial"/>
          <w:sz w:val="18"/>
          <w:szCs w:val="18"/>
          <w:color w:val="auto"/>
        </w:rPr>
      </w:pPr>
    </w:p>
    <w:p>
      <w:pPr>
        <w:ind w:firstLine="656"/>
        <w:spacing w:after="0" w:line="260" w:lineRule="auto"/>
        <w:tabs>
          <w:tab w:leader="none" w:pos="1284"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customers’ end users may not be able to call premium-rate telephone numbers such as 1-900 numbers and 976 numbers.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such as COVID-19, disease, accidents, terrorist acts, power losses, security breaches, vandalism or other illegal acts, computer viruses or other causes. These delays, errors or failures could significantly impair our business due to:</w:t>
      </w:r>
    </w:p>
    <w:p>
      <w:pPr>
        <w:spacing w:after="0" w:line="14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malfunction of our Bandwidth Communications Platform on which our enterprise users rely for voice, messaging or 911</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functionality;</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delay in the completion of other corporate functions such as issuing bills and the preparation of financial statements;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Defects or errors in our services could diminish demand for our services, harm our business and results of operations and subject us to liability.</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911 services do not function properly, we may be exposed to significant liability from our users.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Certain of our IP telephony offerings, as well as the 911 solutions that we offer are subject to FCC rules governing the delivery of emergency calling services. Similar to other providers of IP telephony services, our 911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FCC’s rules also require that we timely report certain 911 service outages. The FCC may make inquiries regarding matters related to any reported 911 service outage. Any inquiry could result in FCC enforcement action, potential monetary penalties and other adverse consequences.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of relationships with key suppliers could cause delay and additional costs.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3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growth and financial health are subject to a number of economic risks.</w:t>
      </w:r>
    </w:p>
    <w:p>
      <w:pPr>
        <w:spacing w:after="0" w:line="16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The financial markets in the United States have experienced substantial uncertainty during recent years, particularly following the COVID-19 outbreak.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3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 churn rate may increase.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prices for certain of our services have decreased in the past and may decrease in the future, resulting in lower revenue than we anticipate.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123" w:lineRule="exact"/>
        <w:rPr>
          <w:sz w:val="20"/>
          <w:szCs w:val="20"/>
          <w:color w:val="auto"/>
        </w:rPr>
      </w:pPr>
    </w:p>
    <w:p>
      <w:pPr>
        <w:ind w:right="20" w:firstLine="656"/>
        <w:spacing w:after="0" w:line="260" w:lineRule="auto"/>
        <w:tabs>
          <w:tab w:leader="none" w:pos="128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22" w:lineRule="exact"/>
        <w:rPr>
          <w:rFonts w:ascii="Arial" w:cs="Arial" w:eastAsia="Arial" w:hAnsi="Arial"/>
          <w:sz w:val="20"/>
          <w:szCs w:val="20"/>
          <w:color w:val="auto"/>
        </w:rPr>
      </w:pPr>
    </w:p>
    <w:p>
      <w:pPr>
        <w:ind w:firstLine="656"/>
        <w:spacing w:after="0" w:line="260" w:lineRule="auto"/>
        <w:tabs>
          <w:tab w:leader="none" w:pos="1284" w:val="left"/>
        </w:tabs>
        <w:numPr>
          <w:ilvl w:val="0"/>
          <w:numId w:val="24"/>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Network providers also may institute additional fees due to regulatory, competitive or other industry-related changes that increase our costs. For example, in February 2020, a major U.S. cellular carrier introduced a new service offering for Application to Person (“A2P”) messages that will add a new fee for A2P messages delivered to its subscribers. Other cellular carriers may introduce similar fees. While we may be able to negotiate with network providers, absorb the increased costs, or charge these costs to our customers, we cannot assure you that we will be able to do so. In the case of new A2P fees, we are passing,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are unable to hire, retain and motivate qualified personnel, our business will suffer.</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1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 if the 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management team has limited experience managing a public company.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liability for historic and future sales, use and similar taxes, which could adversely affect our results of operations.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As we launch and expand our international operations, we also face exposure to other non-income-based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4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 subject to significant U.S. federal income tax-related liabilities and indemnity obligations if there is a determination that the Spin-Off is taxable for U.S. federal income tax purposes.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w:t>
      </w:r>
    </w:p>
    <w:p>
      <w:pPr>
        <w:spacing w:after="0" w:line="3" w:lineRule="exact"/>
        <w:rPr>
          <w:sz w:val="20"/>
          <w:szCs w:val="20"/>
          <w:color w:val="auto"/>
        </w:rPr>
      </w:pPr>
    </w:p>
    <w:p>
      <w:pPr>
        <w:jc w:val="both"/>
        <w:spacing w:after="0"/>
        <w:rPr>
          <w:sz w:val="20"/>
          <w:szCs w:val="20"/>
          <w:color w:val="auto"/>
        </w:rPr>
      </w:pPr>
      <w:r>
        <w:rPr>
          <w:rFonts w:ascii="Arial" w:cs="Arial" w:eastAsia="Arial" w:hAnsi="Arial"/>
          <w:sz w:val="20"/>
          <w:szCs w:val="20"/>
          <w:color w:val="auto"/>
        </w:rPr>
        <w:t>(1)(D)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3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w:t>
      </w:r>
    </w:p>
    <w:p>
      <w:pPr>
        <w:spacing w:after="0" w:line="3" w:lineRule="exact"/>
        <w:rPr>
          <w:sz w:val="20"/>
          <w:szCs w:val="20"/>
          <w:color w:val="auto"/>
        </w:rPr>
      </w:pPr>
    </w:p>
    <w:p>
      <w:pPr>
        <w:jc w:val="both"/>
        <w:ind w:firstLine="8"/>
        <w:spacing w:after="0" w:line="254" w:lineRule="auto"/>
        <w:tabs>
          <w:tab w:leader="none" w:pos="25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prove to be incorrect, our results of operations could be adversely affected.</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independent registered public accounting firm is required to attest to the effectiveness of our internal control over financial reporting because we are no longer an “emerging growth company” as defined in the Jumpstart Our Business Startups Act of 2012 (the “JOBS Act”). We lost status as an “emerging growth company” as of December 31, 2019.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goodwill or intangible assets become impaired, we may be required to record a significant charge to earnings.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Earthquakes, hurricanes, fires, floods, pandemics, power outages, terrorist attacks and other significant events could disrupt our business and ability to serve our clients.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 significant event, such as an earthquake, hurricane, a fire, a flood, a pandemic or a power outage, could have a material adverse effect on our business, results of operations or financial condition. For example, the rapid and global spread of COVID-19 has disrupted businesses and increased travel restrictions. Health concerns or governmental, legal, political or regulatory developments in the United States or other countries in which we or our customers, partners and service providers operate could cause economic, labor or social instability and could materially adversely affect our business and our results of operations and financial condition. Future developments, which are very uncertain, include changing information about the extent and severity of COVID-19 and evolving responses by governments and businesses. These future developments could materially adversely affect our business and our results of operations and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30" w:lineRule="exact"/>
        <w:rPr>
          <w:sz w:val="20"/>
          <w:szCs w:val="20"/>
          <w:color w:val="auto"/>
        </w:rPr>
      </w:pPr>
    </w:p>
    <w:p>
      <w:pPr>
        <w:jc w:val="both"/>
        <w:ind w:right="20"/>
        <w:spacing w:after="0" w:line="385" w:lineRule="auto"/>
        <w:rPr>
          <w:sz w:val="20"/>
          <w:szCs w:val="20"/>
          <w:color w:val="auto"/>
        </w:rPr>
      </w:pPr>
      <w:r>
        <w:rPr>
          <w:rFonts w:ascii="Arial" w:cs="Arial" w:eastAsia="Arial" w:hAnsi="Arial"/>
          <w:sz w:val="16"/>
          <w:szCs w:val="16"/>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3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8"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6"/>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1" w:lineRule="exact"/>
        <w:rPr>
          <w:rFonts w:ascii="Arial" w:cs="Arial" w:eastAsia="Arial" w:hAnsi="Arial"/>
          <w:sz w:val="20"/>
          <w:szCs w:val="20"/>
          <w:color w:val="auto"/>
        </w:rPr>
      </w:pPr>
    </w:p>
    <w:p>
      <w:pPr>
        <w:ind w:firstLine="656"/>
        <w:spacing w:after="0" w:line="260" w:lineRule="auto"/>
        <w:tabs>
          <w:tab w:leader="none" w:pos="1284"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122" w:lineRule="exact"/>
        <w:rPr>
          <w:rFonts w:ascii="Arial" w:cs="Arial" w:eastAsia="Arial" w:hAnsi="Arial"/>
          <w:sz w:val="20"/>
          <w:szCs w:val="20"/>
          <w:color w:val="auto"/>
        </w:rPr>
      </w:pPr>
    </w:p>
    <w:p>
      <w:pPr>
        <w:ind w:right="20" w:firstLine="656"/>
        <w:spacing w:after="0" w:line="287" w:lineRule="auto"/>
        <w:tabs>
          <w:tab w:leader="none" w:pos="1284" w:val="left"/>
        </w:tabs>
        <w:numPr>
          <w:ilvl w:val="0"/>
          <w:numId w:val="26"/>
        </w:numPr>
        <w:rPr>
          <w:rFonts w:ascii="Arial" w:cs="Arial" w:eastAsia="Arial" w:hAnsi="Arial"/>
          <w:sz w:val="19"/>
          <w:szCs w:val="19"/>
          <w:color w:val="auto"/>
        </w:rPr>
      </w:pPr>
      <w:r>
        <w:rPr>
          <w:rFonts w:ascii="Arial" w:cs="Arial" w:eastAsia="Arial" w:hAnsi="Arial"/>
          <w:sz w:val="19"/>
          <w:szCs w:val="19"/>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656"/>
        <w:spacing w:after="0" w:line="316" w:lineRule="auto"/>
        <w:tabs>
          <w:tab w:leader="none" w:pos="12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higher integration costs than anticipated;</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difficulties in the assimilation and retention of highly qualified, experienced employees, many of whom may be geographically dispersed;</w:t>
      </w:r>
    </w:p>
    <w:p>
      <w:pPr>
        <w:spacing w:after="0" w:line="122"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litigation, investigations, proceedings, fines, or penalties arising from or relating to the transaction or the acquired business, and any resulting liabilities may exceed our forecasts;</w:t>
      </w:r>
    </w:p>
    <w:p>
      <w:pPr>
        <w:spacing w:after="0" w:line="122"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acquisition of businesses with different revenue models, different contractual relationships, and increased customer concentration risks;</w:t>
      </w:r>
    </w:p>
    <w:p>
      <w:pPr>
        <w:spacing w:after="0" w:line="122" w:lineRule="exact"/>
        <w:rPr>
          <w:rFonts w:ascii="Arial" w:cs="Arial" w:eastAsia="Arial" w:hAnsi="Arial"/>
          <w:sz w:val="20"/>
          <w:szCs w:val="20"/>
          <w:color w:val="auto"/>
        </w:rPr>
      </w:pPr>
    </w:p>
    <w:p>
      <w:pPr>
        <w:ind w:firstLine="656"/>
        <w:spacing w:after="0" w:line="260" w:lineRule="auto"/>
        <w:tabs>
          <w:tab w:leader="none" w:pos="1284" w:val="left"/>
        </w:tabs>
        <w:numPr>
          <w:ilvl w:val="0"/>
          <w:numId w:val="27"/>
        </w:numPr>
        <w:rPr>
          <w:rFonts w:ascii="Arial" w:cs="Arial" w:eastAsia="Arial" w:hAnsi="Arial"/>
          <w:sz w:val="20"/>
          <w:szCs w:val="20"/>
          <w:color w:val="auto"/>
        </w:rPr>
      </w:pPr>
      <w:r>
        <w:rPr>
          <w:rFonts w:ascii="Arial" w:cs="Arial" w:eastAsia="Arial" w:hAnsi="Arial"/>
          <w:sz w:val="20"/>
          <w:szCs w:val="20"/>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122"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7"/>
        </w:numPr>
        <w:rPr>
          <w:rFonts w:ascii="Arial" w:cs="Arial" w:eastAsia="Arial" w:hAnsi="Arial"/>
          <w:sz w:val="20"/>
          <w:szCs w:val="20"/>
          <w:color w:val="auto"/>
        </w:rPr>
      </w:pPr>
      <w:r>
        <w:rPr>
          <w:rFonts w:ascii="Arial" w:cs="Arial" w:eastAsia="Arial" w:hAnsi="Arial"/>
          <w:sz w:val="20"/>
          <w:szCs w:val="20"/>
          <w:color w:val="auto"/>
        </w:rPr>
        <w:t>failure to successfully evaluate or utilize the acquired business’ technology and accurately forecast the financial impact of an acquisition, including accounting charges; and</w:t>
      </w:r>
    </w:p>
    <w:p>
      <w:pPr>
        <w:spacing w:after="0" w:line="122" w:lineRule="exact"/>
        <w:rPr>
          <w:rFonts w:ascii="Arial" w:cs="Arial" w:eastAsia="Arial" w:hAnsi="Arial"/>
          <w:sz w:val="20"/>
          <w:szCs w:val="20"/>
          <w:color w:val="auto"/>
        </w:rPr>
      </w:pPr>
    </w:p>
    <w:p>
      <w:pPr>
        <w:ind w:firstLine="656"/>
        <w:spacing w:after="0" w:line="260" w:lineRule="auto"/>
        <w:tabs>
          <w:tab w:leader="none" w:pos="1284" w:val="left"/>
        </w:tabs>
        <w:numPr>
          <w:ilvl w:val="0"/>
          <w:numId w:val="27"/>
        </w:numPr>
        <w:rPr>
          <w:rFonts w:ascii="Arial" w:cs="Arial" w:eastAsia="Arial" w:hAnsi="Arial"/>
          <w:sz w:val="20"/>
          <w:szCs w:val="20"/>
          <w:color w:val="auto"/>
        </w:rPr>
      </w:pPr>
      <w:r>
        <w:rPr>
          <w:rFonts w:ascii="Arial" w:cs="Arial" w:eastAsia="Arial" w:hAnsi="Arial"/>
          <w:sz w:val="20"/>
          <w:szCs w:val="20"/>
          <w:color w:val="auto"/>
        </w:rPr>
        <w:t>drag on our overall revenue growth rate or an increase of our net loss, which could cause analysts and investors to reduce their valuation of our company.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credit facility contains restrictive and financial covenants that may limit our operating flexibility.</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trading price of our Class A common stock may be volatile, and you could lose all or part of your investment.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July 30, 2020, the trading price of our Class A common stock has ranged from $18.05 per share to $153.77 per share. The trading price of our Class A common stock may continue to be volatile and could fluctuate significantly in response to numerous factors, many of which are beyond our control, including:</w:t>
      </w:r>
    </w:p>
    <w:p>
      <w:pPr>
        <w:spacing w:after="0" w:line="12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market volatility caused by COVID-19;</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161"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161"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those projections or our failure to meet those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projections;</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regulatory actions or developments affecting our operations, those of our competitors or our industry more broadly;</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announced or completed acquisitions of businesses, products, services or technologies by us or our competitors;</w:t>
      </w:r>
    </w:p>
    <w:p>
      <w:pPr>
        <w:spacing w:after="0" w:line="173" w:lineRule="exact"/>
        <w:rPr>
          <w:rFonts w:ascii="Arial" w:cs="Arial" w:eastAsia="Arial" w:hAnsi="Arial"/>
          <w:sz w:val="19"/>
          <w:szCs w:val="19"/>
          <w:color w:val="auto"/>
        </w:rPr>
      </w:pPr>
    </w:p>
    <w:p>
      <w:pPr>
        <w:jc w:val="both"/>
        <w:ind w:firstLine="656"/>
        <w:spacing w:after="0" w:line="250" w:lineRule="auto"/>
        <w:tabs>
          <w:tab w:leader="none" w:pos="12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0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61.9% of the voting power of our capital as of June 30, 2020.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Class A common stock has one vote per share, and our Class B common stock has ten votes per share. As of June 30, 2020, our directors, executive officers and holders of more than 5% of our common stock, and their respective affiliates, hold in the aggregate 61.9%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predict the impact our capital structure may have on our stock price.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requires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2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become controlled by David A. Morken, our Co-Founder and Chief Executive Officer, whose interests may differ from other stockholders.</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If all or substantially all of the holders of our Class B common stock convert their shares into Class A common stock voluntarily or otherwise, Mr. Morken may control approximately 42.5% of the combined voting power of our outstanding capital stock. As a result, Mr. Morken may have the ability to effectively control the appointment of our management, the entering into of mergers, sales of substantially all or all of our assets and other extraordinary transactions and influence amendments to our certificate of incorporation and bylaws. If Mr. Morken obtains control of a majority of the voting power of our outstanding capital stock, he would have the ability to control the vote in any election of directors and would have the ability to prevent any transaction that requires stockholder approval regardless of whether other stockholders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stockholder.</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publish reports on us, we could lose visibility in the financial markets, which in turn could cause the trading price of our Class A common stock or trading volume to decline.</w:t>
      </w:r>
    </w:p>
    <w:p>
      <w:pPr>
        <w:spacing w:after="0" w:line="1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7" w:lineRule="exact"/>
        <w:rPr>
          <w:sz w:val="20"/>
          <w:szCs w:val="20"/>
          <w:color w:val="auto"/>
        </w:rPr>
      </w:pPr>
    </w:p>
    <w:p>
      <w:pPr>
        <w:ind w:firstLine="656"/>
        <w:spacing w:after="0" w:line="260" w:lineRule="auto"/>
        <w:tabs>
          <w:tab w:leader="none" w:pos="12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prohibiting stockholder action by written consent, which requires all stockholder actions to be taken at a meeting of our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stockholders;</w:t>
      </w:r>
    </w:p>
    <w:p>
      <w:pPr>
        <w:spacing w:after="0" w:line="145" w:lineRule="exact"/>
        <w:rPr>
          <w:rFonts w:ascii="Arial" w:cs="Arial" w:eastAsia="Arial" w:hAnsi="Arial"/>
          <w:sz w:val="19"/>
          <w:szCs w:val="19"/>
          <w:color w:val="auto"/>
        </w:rPr>
      </w:pPr>
    </w:p>
    <w:p>
      <w:pPr>
        <w:ind w:firstLine="656"/>
        <w:spacing w:after="0" w:line="260" w:lineRule="auto"/>
        <w:tabs>
          <w:tab w:leader="none" w:pos="12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22" w:lineRule="exact"/>
        <w:rPr>
          <w:rFonts w:ascii="Arial" w:cs="Arial" w:eastAsia="Arial" w:hAnsi="Arial"/>
          <w:sz w:val="20"/>
          <w:szCs w:val="20"/>
          <w:color w:val="auto"/>
        </w:rPr>
      </w:pPr>
    </w:p>
    <w:p>
      <w:pPr>
        <w:ind w:firstLine="656"/>
        <w:spacing w:after="0" w:line="260" w:lineRule="auto"/>
        <w:tabs>
          <w:tab w:leader="none" w:pos="12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w:t>
      </w:r>
    </w:p>
    <w:p>
      <w:pPr>
        <w:spacing w:after="0" w:line="1"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stockholder to us or our stockholders;</w:t>
      </w:r>
    </w:p>
    <w:p>
      <w:pPr>
        <w:spacing w:after="0" w:line="22" w:lineRule="exact"/>
        <w:rPr>
          <w:rFonts w:ascii="Arial" w:cs="Arial" w:eastAsia="Arial" w:hAnsi="Arial"/>
          <w:sz w:val="18"/>
          <w:szCs w:val="18"/>
          <w:color w:val="auto"/>
        </w:rPr>
      </w:pPr>
    </w:p>
    <w:p>
      <w:pPr>
        <w:jc w:val="both"/>
        <w:ind w:firstLine="8"/>
        <w:spacing w:after="0" w:line="254" w:lineRule="auto"/>
        <w:tabs>
          <w:tab w:leader="none" w:pos="379"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dividends for the foreseeable future.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Convertible Notes and Our Indebtedness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Servicing our future indebtedness may require a significant amount of cash, and we may not have sufficient cash flow from our business to pay our indebtedness.</w:t>
      </w:r>
    </w:p>
    <w:p>
      <w:pPr>
        <w:spacing w:after="0" w:line="1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may limit our ability to pay any cash amount upon the conversion or repurchase of the Convertible Notes.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Credit Facility prohibits us from making any cash payments on the conversion or repurchase of the Convertible Notes if, after giving effect to such conversion or repurchase (and any additional indebtedness incurred in connection with such conversion or a repurchase), we would not be in pro forma compliance with our financial covenants under the Credit Facility. Any new credit facility that we may enter into may have similar restrictions. Our failure to make cash payments upon the conversion or repurchase of the Convertible Notes as required under the terms of the Convertible Notes would permit holders of the Convertible Notes to accelerate our obligations under the Convertible Notes. In addition, our Credit Facility with KeyBank National Association and Pacific Western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indebtedness becoming immediately payable in full.</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substantially more debt or take other actions which would intensify the risks discussed above.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Credit Facility restricts our ability to incur additional indebtedness,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including secured indebtedness, but if the facility matures or is repaid, we may not be subject to such restrictions under the terms of any subsequent indebtedness.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We may not have the ability to raise the funds necessary for cash settlement upon conversion of the Convertible Notes or to repurchase the Convertible Notes for cash following a fundamental change, and our future debt may contain limitations on our ability to pay cash upon conversion of the Convertible Notes or to repurchase the Convertible Notes.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 governing the Convertible Notes or to pay the cash amounts due upon future conversions of the Convertible Notes as required by such indenture would constitute a default under such indenture. A default under the indenture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triggering of the conditional conversion feature of the Convertible Notes may adversely affect our financial condition and operating results.</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the event the conditional conversion feature of the Convertible Notes is triggered, holders of the Convertible Notes will be entitled to convert the Convertible Notes at any time during specified periods at their option. If one or more holders elect to convert their Convertible Notes during a period in which the Convertible Notes are convertible,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under certain circumstances, such as a fundamental change or event of default, as described in the indenture,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accounting method for convertible debt securities that may be settled in cash, such as the Convertible Notes, could have a material effect on our reported financial results.</w:t>
      </w:r>
    </w:p>
    <w:p>
      <w:pPr>
        <w:spacing w:after="0" w:line="123"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20"/>
          <w:szCs w:val="20"/>
          <w:color w:val="auto"/>
        </w:rPr>
        <w:t>Under Financial Accounting Standards Board Accounting Standards Codification 470</w:t>
      </w:r>
      <w:r>
        <w:rPr>
          <w:rFonts w:ascii="MS PGothic" w:cs="MS PGothic" w:eastAsia="MS PGothic" w:hAnsi="MS PGothic"/>
          <w:sz w:val="20"/>
          <w:szCs w:val="20"/>
          <w:color w:val="auto"/>
        </w:rPr>
        <w:t>‑</w:t>
      </w:r>
      <w:r>
        <w:rPr>
          <w:rFonts w:ascii="Arial" w:cs="Arial" w:eastAsia="Arial" w:hAnsi="Arial"/>
          <w:sz w:val="20"/>
          <w:szCs w:val="20"/>
          <w:color w:val="auto"/>
        </w:rPr>
        <w:t>20, Debt with Conversion and Other Options, which we refer to as ASC 470</w:t>
      </w:r>
      <w:r>
        <w:rPr>
          <w:rFonts w:ascii="MS PGothic" w:cs="MS PGothic" w:eastAsia="MS PGothic" w:hAnsi="MS PGothic"/>
          <w:sz w:val="20"/>
          <w:szCs w:val="20"/>
          <w:color w:val="auto"/>
        </w:rPr>
        <w:t>‑</w:t>
      </w:r>
      <w:r>
        <w:rPr>
          <w:rFonts w:ascii="Arial" w:cs="Arial" w:eastAsia="Arial" w:hAnsi="Arial"/>
          <w:sz w:val="20"/>
          <w:szCs w:val="20"/>
          <w:color w:val="auto"/>
        </w:rPr>
        <w:t>20, an entity must separately account for the liability and equity components of convertible debt instruments (such as the Convertible Notes) that may be settled entirely or partially in cash upon conversion in a manner that reflects the issuer’s economic interest cost. ASC 470-20 requires the value of the conversion option of the Convertible Notes, representing the equity component, to be recorded as additional paid-in capital within stockholders’ equity in our consolidated balance sheet and as a discount to the debt component of the Convertible Notes, which reduces their initial debt carrying value reflected as a liability on our balance sheets. The carrying value of the debt component of the Convertible Notes, net of the discount recorded, will be accreted up to the principal amount of the Convertible Notes from the issuance date until maturity, which will result in non-cash charges to interest expense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6" w:lineRule="exact"/>
        <w:rPr>
          <w:sz w:val="20"/>
          <w:szCs w:val="20"/>
          <w:color w:val="auto"/>
        </w:rPr>
      </w:pPr>
      <w:r>
        <w:rPr>
          <w:rFonts w:ascii="Arial" w:cs="Arial" w:eastAsia="Arial" w:hAnsi="Arial"/>
          <w:sz w:val="19"/>
          <w:szCs w:val="19"/>
          <w:color w:val="auto"/>
        </w:rPr>
        <w:t>Accordingly, we will report lower net income or higher net loss in our financial results because ASC 470</w:t>
      </w:r>
      <w:r>
        <w:rPr>
          <w:rFonts w:ascii="MS PGothic" w:cs="MS PGothic" w:eastAsia="MS PGothic" w:hAnsi="MS PGothic"/>
          <w:sz w:val="19"/>
          <w:szCs w:val="19"/>
          <w:color w:val="auto"/>
        </w:rPr>
        <w:t>‑</w:t>
      </w:r>
      <w:r>
        <w:rPr>
          <w:rFonts w:ascii="Arial" w:cs="Arial" w:eastAsia="Arial" w:hAnsi="Arial"/>
          <w:sz w:val="19"/>
          <w:szCs w:val="19"/>
          <w:color w:val="auto"/>
        </w:rPr>
        <w:t>20 requires interest to include both the current period’s accretion of the debt discount and the instrument’s coupon interest, which could adversely affect our reported or future financial results, the trading price of our Class A common stock and the trading price of the Convertible Notes.</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 in periods when we report net income.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capped call transactions may affect the value of the Convertible Notes and our Class A common stock.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In connection with the pricing of the Convertible Notes, we entered into privately negotiated Capped Calls transactions with certain financial institutions (the “Option Counterparties”). The Capped Calls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w:t>
      </w:r>
    </w:p>
    <w:p>
      <w:pPr>
        <w:spacing w:after="0" w:line="1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have been advised that in connection with establishing their initial hedges of the Capped Calls, the Option Counterparties or their respective affiliates entered into various derivative transactions with respect to our Class A common stock and/or purchased shares of our Class A common stock concurrently with or shortly after the pricing of the Convertible Notes.</w:t>
      </w:r>
    </w:p>
    <w:p>
      <w:pPr>
        <w:spacing w:after="0" w:line="1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addition, we have been advised that the Option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at any time prior to the maturity of the Convertible Notes (and are likely to do so during any observation period related to a conversion of Convertible Notes). This activity could cause or avoid an increase or a decrease in the market price of our Class A common stock.</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counterparty risk with respect to the Capped Calls.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 and Financial Statement Schedules</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7"/>
              </w:rPr>
              <w:t>Form</w:t>
            </w:r>
          </w:p>
        </w:tc>
        <w:tc>
          <w:tcPr>
            <w:tcW w:w="42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File No.</w:t>
            </w:r>
          </w:p>
        </w:tc>
        <w:tc>
          <w:tcPr>
            <w:tcW w:w="520" w:type="dxa"/>
            <w:vAlign w:val="bottom"/>
            <w:vMerge w:val="restart"/>
          </w:tcPr>
          <w:p>
            <w:pPr>
              <w:spacing w:after="0"/>
              <w:rPr>
                <w:sz w:val="14"/>
                <w:szCs w:val="14"/>
                <w:color w:val="auto"/>
              </w:rPr>
            </w:pP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500" w:type="dxa"/>
            <w:vAlign w:val="bottom"/>
          </w:tcPr>
          <w:p>
            <w:pPr>
              <w:spacing w:after="0" w:line="149" w:lineRule="exact"/>
              <w:rPr>
                <w:sz w:val="20"/>
                <w:szCs w:val="20"/>
                <w:color w:val="auto"/>
              </w:rPr>
            </w:pPr>
            <w:r>
              <w:rPr>
                <w:rFonts w:ascii="Arial" w:cs="Arial" w:eastAsia="Arial" w:hAnsi="Arial"/>
                <w:sz w:val="14"/>
                <w:szCs w:val="14"/>
                <w:b w:val="1"/>
                <w:bCs w:val="1"/>
                <w:color w:val="auto"/>
                <w:w w:val="93"/>
              </w:rPr>
              <w:t>number</w:t>
            </w:r>
          </w:p>
        </w:tc>
        <w:tc>
          <w:tcPr>
            <w:tcW w:w="4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3.1</w:t>
              </w:r>
            </w:hyperlink>
          </w:p>
        </w:tc>
        <w:tc>
          <w:tcPr>
            <w:tcW w:w="4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Q3 10-Q</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70"/>
        </w:trPr>
        <w:tc>
          <w:tcPr>
            <w:tcW w:w="500" w:type="dxa"/>
            <w:vAlign w:val="bottom"/>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3.2</w:t>
              </w:r>
            </w:hyperlink>
          </w:p>
        </w:tc>
        <w:tc>
          <w:tcPr>
            <w:tcW w:w="480" w:type="dxa"/>
            <w:vAlign w:val="bottom"/>
          </w:tcPr>
          <w:p>
            <w:pPr>
              <w:spacing w:after="0"/>
              <w:rPr>
                <w:sz w:val="23"/>
                <w:szCs w:val="23"/>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Q3 10-Q</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56"/>
        </w:trPr>
        <w:tc>
          <w:tcPr>
            <w:tcW w:w="500" w:type="dxa"/>
            <w:vAlign w:val="bottom"/>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10.1</w:t>
              </w:r>
            </w:hyperlink>
          </w:p>
        </w:tc>
        <w:tc>
          <w:tcPr>
            <w:tcW w:w="4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5"/>
              </w:rPr>
              <w:t>First Amendment Agreement to the Credit and Security Agreement, dated</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8-K</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4/30/2020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as of November 4, 2016, as amended and restated as of March 1, 2019, with</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KeyBank and Pacific Western Bank.</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10.2</w:t>
              </w:r>
            </w:hyperlink>
          </w:p>
        </w:tc>
        <w:tc>
          <w:tcPr>
            <w:tcW w:w="4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Purchase and Sale Agreement, entered into on June 15, 2020, with the State</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8-K</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6/17/2020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of North Carolina.</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31.1</w:t>
              </w:r>
            </w:hyperlink>
          </w:p>
        </w:tc>
        <w:tc>
          <w:tcPr>
            <w:tcW w:w="4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6"/>
              </w:rPr>
              <w:t>Certificate of the Chief Executive Officer pursuant to Exchange Act Rules</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13a-14(a) and 15d-14(a), as adopted pursuant to Section 302 of the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31.2</w:t>
              </w:r>
            </w:hyperlink>
          </w:p>
        </w:tc>
        <w:tc>
          <w:tcPr>
            <w:tcW w:w="4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5"/>
              </w:rPr>
              <w:t>Certification of the Chief Financial Officer pursuant to Exchange Act Rules</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13a-14(a) and 15d-14(a), as adopted pursuant to Section 302 of the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32.1*</w:t>
              </w:r>
            </w:hyperlink>
          </w:p>
        </w:tc>
        <w:tc>
          <w:tcPr>
            <w:tcW w:w="4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and Chief Financial Officer</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4"/>
              </w:rPr>
              <w:t>pursuant to 18 U.S.C. Section 1350, as adopted pursuant to Section 906 of</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the Sarbanes-Oxley Act 2002.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640" w:type="dxa"/>
            <w:vAlign w:val="bottom"/>
            <w:gridSpan w:val="2"/>
          </w:tcPr>
          <w:p>
            <w:pPr>
              <w:spacing w:after="0"/>
              <w:rPr>
                <w:sz w:val="20"/>
                <w:szCs w:val="20"/>
                <w:color w:val="auto"/>
              </w:rPr>
            </w:pPr>
            <w:r>
              <w:rPr>
                <w:rFonts w:ascii="Arial" w:cs="Arial" w:eastAsia="Arial" w:hAnsi="Arial"/>
                <w:sz w:val="18"/>
                <w:szCs w:val="18"/>
                <w:color w:val="auto"/>
                <w:w w:val="94"/>
              </w:rPr>
              <w:t>XBRL Instance Document - the Instance Document does not appear in the</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XBRL Document.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Schema Document.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92"/>
        <w:spacing w:after="0" w:line="263" w:lineRule="auto"/>
        <w:tabs>
          <w:tab w:leader="none" w:pos="3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980" w:type="dxa"/>
            <w:vAlign w:val="bottom"/>
            <w:gridSpan w:val="2"/>
          </w:tcPr>
          <w:p>
            <w:pPr>
              <w:ind w:left="1380"/>
              <w:spacing w:after="0"/>
              <w:rPr>
                <w:sz w:val="20"/>
                <w:szCs w:val="20"/>
                <w:color w:val="auto"/>
              </w:rPr>
            </w:pPr>
            <w:r>
              <w:rPr>
                <w:rFonts w:ascii="Arial" w:cs="Arial" w:eastAsia="Arial" w:hAnsi="Arial"/>
                <w:sz w:val="18"/>
                <w:szCs w:val="18"/>
                <w:color w:val="auto"/>
              </w:rPr>
              <w:t>BANDWIDTH INC.</w:t>
            </w: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760" w:type="dxa"/>
            <w:vAlign w:val="bottom"/>
          </w:tcPr>
          <w:p>
            <w:pPr>
              <w:ind w:left="400"/>
              <w:spacing w:after="0"/>
              <w:rPr>
                <w:sz w:val="20"/>
                <w:szCs w:val="20"/>
                <w:color w:val="auto"/>
              </w:rPr>
            </w:pPr>
            <w:r>
              <w:rPr>
                <w:rFonts w:ascii="Arial" w:cs="Arial" w:eastAsia="Arial" w:hAnsi="Arial"/>
                <w:sz w:val="18"/>
                <w:szCs w:val="18"/>
                <w:color w:val="auto"/>
              </w:rPr>
              <w:t>July 31, 2020</w:t>
            </w:r>
          </w:p>
        </w:tc>
        <w:tc>
          <w:tcPr>
            <w:tcW w:w="1920" w:type="dxa"/>
            <w:vAlign w:val="bottom"/>
          </w:tcPr>
          <w:p>
            <w:pPr>
              <w:ind w:left="1380"/>
              <w:spacing w:after="0"/>
              <w:rPr>
                <w:sz w:val="20"/>
                <w:szCs w:val="20"/>
                <w:color w:val="auto"/>
              </w:rPr>
            </w:pPr>
            <w:r>
              <w:rPr>
                <w:rFonts w:ascii="Arial" w:cs="Arial" w:eastAsia="Arial" w:hAnsi="Arial"/>
                <w:sz w:val="18"/>
                <w:szCs w:val="18"/>
                <w:color w:val="auto"/>
              </w:rPr>
              <w:t>By:</w:t>
            </w:r>
          </w:p>
        </w:tc>
        <w:tc>
          <w:tcPr>
            <w:tcW w:w="5060" w:type="dxa"/>
            <w:vAlign w:val="bottom"/>
          </w:tcPr>
          <w:p>
            <w:pPr>
              <w:ind w:left="20"/>
              <w:spacing w:after="0"/>
              <w:rPr>
                <w:sz w:val="20"/>
                <w:szCs w:val="20"/>
                <w:color w:val="auto"/>
              </w:rPr>
            </w:pPr>
            <w:r>
              <w:rPr>
                <w:rFonts w:ascii="Arial" w:cs="Arial" w:eastAsia="Arial" w:hAnsi="Arial"/>
                <w:sz w:val="18"/>
                <w:szCs w:val="18"/>
                <w:color w:val="auto"/>
              </w:rPr>
              <w:t>/s/ David A. Morken</w:t>
            </w:r>
          </w:p>
        </w:tc>
      </w:tr>
      <w:tr>
        <w:trPr>
          <w:trHeight w:val="27"/>
        </w:trPr>
        <w:tc>
          <w:tcPr>
            <w:tcW w:w="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David A. Morken</w:t>
            </w:r>
          </w:p>
        </w:tc>
      </w:tr>
      <w:tr>
        <w:trPr>
          <w:trHeight w:val="270"/>
        </w:trPr>
        <w:tc>
          <w:tcPr>
            <w:tcW w:w="8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8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760" w:type="dxa"/>
            <w:vAlign w:val="bottom"/>
          </w:tcPr>
          <w:p>
            <w:pPr>
              <w:ind w:left="400"/>
              <w:spacing w:after="0"/>
              <w:rPr>
                <w:sz w:val="20"/>
                <w:szCs w:val="20"/>
                <w:color w:val="auto"/>
              </w:rPr>
            </w:pPr>
            <w:r>
              <w:rPr>
                <w:rFonts w:ascii="Arial" w:cs="Arial" w:eastAsia="Arial" w:hAnsi="Arial"/>
                <w:sz w:val="18"/>
                <w:szCs w:val="18"/>
                <w:color w:val="auto"/>
              </w:rPr>
              <w:t>July 31, 2020</w:t>
            </w:r>
          </w:p>
        </w:tc>
        <w:tc>
          <w:tcPr>
            <w:tcW w:w="1920" w:type="dxa"/>
            <w:vAlign w:val="bottom"/>
          </w:tcPr>
          <w:p>
            <w:pPr>
              <w:ind w:left="1380"/>
              <w:spacing w:after="0"/>
              <w:rPr>
                <w:sz w:val="20"/>
                <w:szCs w:val="20"/>
                <w:color w:val="auto"/>
              </w:rPr>
            </w:pPr>
            <w:r>
              <w:rPr>
                <w:rFonts w:ascii="Arial" w:cs="Arial" w:eastAsia="Arial" w:hAnsi="Arial"/>
                <w:sz w:val="18"/>
                <w:szCs w:val="18"/>
                <w:color w:val="auto"/>
              </w:rPr>
              <w:t>By:</w:t>
            </w:r>
          </w:p>
        </w:tc>
        <w:tc>
          <w:tcPr>
            <w:tcW w:w="5060" w:type="dxa"/>
            <w:vAlign w:val="bottom"/>
          </w:tcPr>
          <w:p>
            <w:pPr>
              <w:ind w:left="20"/>
              <w:spacing w:after="0"/>
              <w:rPr>
                <w:sz w:val="20"/>
                <w:szCs w:val="20"/>
                <w:color w:val="auto"/>
              </w:rPr>
            </w:pPr>
            <w:r>
              <w:rPr>
                <w:rFonts w:ascii="Arial" w:cs="Arial" w:eastAsia="Arial" w:hAnsi="Arial"/>
                <w:sz w:val="18"/>
                <w:szCs w:val="18"/>
                <w:color w:val="auto"/>
              </w:rPr>
              <w:t>/s/ Jeffrey A. Hoffman</w:t>
            </w:r>
          </w:p>
        </w:tc>
      </w:tr>
      <w:tr>
        <w:trPr>
          <w:trHeight w:val="27"/>
        </w:trPr>
        <w:tc>
          <w:tcPr>
            <w:tcW w:w="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Jeffrey A. Hoffman</w:t>
            </w:r>
          </w:p>
        </w:tc>
      </w:tr>
      <w:tr>
        <w:trPr>
          <w:trHeight w:val="270"/>
        </w:trPr>
        <w:tc>
          <w:tcPr>
            <w:tcW w:w="8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8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1" w:right="339" w:bottom="1440" w:gutter="0" w:footer="0" w:header="0"/>
        </w:sectPr>
      </w:pPr>
    </w:p>
    <w:bookmarkStart w:id="93" w:name="page94"/>
    <w:bookmarkEnd w:id="93"/>
    <w:p>
      <w:pPr>
        <w:ind w:left="10400"/>
        <w:spacing w:after="0"/>
        <w:rPr>
          <w:sz w:val="20"/>
          <w:szCs w:val="20"/>
          <w:color w:val="auto"/>
        </w:rPr>
      </w:pPr>
      <w:r>
        <w:rPr>
          <w:rFonts w:ascii="Arial" w:cs="Arial" w:eastAsia="Arial" w:hAnsi="Arial"/>
          <w:sz w:val="15"/>
          <w:szCs w:val="15"/>
          <w:b w:val="1"/>
          <w:bCs w:val="1"/>
          <w:color w:val="auto"/>
        </w:rPr>
        <w:t>Exhibit 31.1</w:t>
      </w:r>
    </w:p>
    <w:p>
      <w:pPr>
        <w:spacing w:after="0" w:line="197" w:lineRule="exact"/>
        <w:rPr>
          <w:sz w:val="20"/>
          <w:szCs w:val="20"/>
          <w:color w:val="auto"/>
        </w:rPr>
      </w:pPr>
    </w:p>
    <w:p>
      <w:pPr>
        <w:jc w:val="center"/>
        <w:ind w:left="340" w:right="2600"/>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July 31, 2020</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27305</wp:posOffset>
            </wp:positionV>
            <wp:extent cx="35572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936" w:right="339" w:bottom="1440" w:gutter="0" w:footer="0" w:header="0"/>
        </w:sectPr>
      </w:pPr>
    </w:p>
    <w:bookmarkStart w:id="94" w:name="page95"/>
    <w:bookmarkEnd w:id="94"/>
    <w:p>
      <w:pPr>
        <w:ind w:left="10400"/>
        <w:spacing w:after="0"/>
        <w:rPr>
          <w:sz w:val="20"/>
          <w:szCs w:val="20"/>
          <w:color w:val="auto"/>
        </w:rPr>
      </w:pPr>
      <w:r>
        <w:rPr>
          <w:rFonts w:ascii="Arial" w:cs="Arial" w:eastAsia="Arial" w:hAnsi="Arial"/>
          <w:sz w:val="15"/>
          <w:szCs w:val="15"/>
          <w:b w:val="1"/>
          <w:bCs w:val="1"/>
          <w:color w:val="auto"/>
        </w:rPr>
        <w:t>Exhibit 31.2</w:t>
      </w:r>
    </w:p>
    <w:p>
      <w:pPr>
        <w:spacing w:after="0" w:line="197" w:lineRule="exact"/>
        <w:rPr>
          <w:sz w:val="20"/>
          <w:szCs w:val="20"/>
          <w:color w:val="auto"/>
        </w:rPr>
      </w:pPr>
    </w:p>
    <w:p>
      <w:pPr>
        <w:jc w:val="center"/>
        <w:ind w:left="340" w:right="2600"/>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3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July 31, 2020</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549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p>
      <w:pPr>
        <w:sectPr>
          <w:pgSz w:w="11900" w:h="16838" w:orient="portrait"/>
          <w:cols w:equalWidth="0" w:num="1">
            <w:col w:w="11240"/>
          </w:cols>
          <w:pgMar w:left="320" w:top="93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56" w:lineRule="exact"/>
        <w:rPr>
          <w:sz w:val="20"/>
          <w:szCs w:val="20"/>
          <w:color w:val="auto"/>
        </w:rPr>
      </w:pPr>
    </w:p>
    <w:p>
      <w:pPr>
        <w:jc w:val="both"/>
        <w:ind w:left="660" w:hanging="328"/>
        <w:spacing w:after="0" w:line="25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Company’s Quarterly Report on Form 10-Q for the quarterly period ended June 30, 2020, to which this Certification is attached as Exhibit 32.1 (the “Periodic Report”), fully complies with the requirements of Section 13(a) or Section 15(d) of the Exchange Act; and</w:t>
      </w:r>
    </w:p>
    <w:p>
      <w:pPr>
        <w:spacing w:after="0" w:line="64"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Periodic Report fairly presents, in all material respects, the financial condition and results of operations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Date: July 31, 2020</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658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Executive Officer)</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658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Accounting and Financial Officer)</w:t>
      </w: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0"/>
    </w:lvl>
  </w:abstractNum>
  <w:abstractNum w:abstractNumId="8">
    <w:nsid w:val="721DA317"/>
    <w:multiLevelType w:val="hybridMultilevel"/>
    <w:lvl w:ilvl="0">
      <w:lvlJc w:val="left"/>
      <w:lvlText w:val="%1."/>
      <w:numFmt w:val="decimal"/>
      <w:start w:val="1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21" Type="http://schemas.openxmlformats.org/officeDocument/2006/relationships/hyperlink" Target="http://www.sec.gov/Archives/edgar/data/1514416/000151441617000006/a10qq32017exhibit31.htm" TargetMode="External"/><Relationship Id="rId122" Type="http://schemas.openxmlformats.org/officeDocument/2006/relationships/hyperlink" Target="http://www.sec.gov/Archives/edgar/data/1514416/000151441617000006/a10qq32017exhibit32.htm" TargetMode="External"/><Relationship Id="rId123" Type="http://schemas.openxmlformats.org/officeDocument/2006/relationships/hyperlink" Target="http://www.sec.gov/ix?doc=/Archives/edgar/data/1514416/000151441620000101/band-20200427.htm" TargetMode="External"/><Relationship Id="rId124" Type="http://schemas.openxmlformats.org/officeDocument/2006/relationships/hyperlink" Target="http://www.sec.gov/ix?doc=/Archives/edgar/data/1514416/000151441620000148/band-202006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2020-07-31T08:14:23Z</dcterms:created>
  <dcterms:modified xsi:type="dcterms:W3CDTF">2020-07-31T08:14:23Z</dcterms:modified>
</cp:coreProperties>
</file>